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4DAD6" w14:textId="77777777" w:rsidR="00431D67" w:rsidRDefault="00431D67">
      <w:pPr>
        <w:pStyle w:val="Sinespaciado"/>
        <w:rPr>
          <w:rFonts w:eastAsiaTheme="minorHAnsi"/>
          <w:lang w:eastAsia="en-US"/>
        </w:rPr>
      </w:pPr>
    </w:p>
    <w:sdt>
      <w:sdtPr>
        <w:rPr>
          <w:rFonts w:eastAsiaTheme="minorHAnsi"/>
          <w:lang w:eastAsia="en-US"/>
        </w:rPr>
        <w:id w:val="-1755430211"/>
        <w:docPartObj>
          <w:docPartGallery w:val="Cover Pages"/>
          <w:docPartUnique/>
        </w:docPartObj>
      </w:sdtPr>
      <w:sdtEndPr>
        <w:rPr>
          <w:rFonts w:ascii="Century Gothic" w:hAnsi="Century Gothic"/>
          <w:i/>
          <w:iCs/>
          <w:sz w:val="19"/>
          <w:szCs w:val="19"/>
        </w:rPr>
      </w:sdtEndPr>
      <w:sdtContent>
        <w:p w14:paraId="559B41DD" w14:textId="531CED9F" w:rsidR="00555CB3" w:rsidRPr="009A501D" w:rsidRDefault="00375293">
          <w:pPr>
            <w:pStyle w:val="Sinespaciado"/>
          </w:pPr>
          <w:r w:rsidRPr="009A501D">
            <w:rPr>
              <w:noProof/>
            </w:rPr>
            <mc:AlternateContent>
              <mc:Choice Requires="wps">
                <w:drawing>
                  <wp:anchor distT="0" distB="0" distL="114300" distR="114300" simplePos="0" relativeHeight="251658240" behindDoc="1" locked="0" layoutInCell="1" allowOverlap="1" wp14:anchorId="1100FBF8" wp14:editId="3D8F824E">
                    <wp:simplePos x="0" y="0"/>
                    <wp:positionH relativeFrom="column">
                      <wp:posOffset>-143301</wp:posOffset>
                    </wp:positionH>
                    <wp:positionV relativeFrom="paragraph">
                      <wp:posOffset>-211540</wp:posOffset>
                    </wp:positionV>
                    <wp:extent cx="270026" cy="9125712"/>
                    <wp:effectExtent l="0" t="0" r="0" b="0"/>
                    <wp:wrapNone/>
                    <wp:docPr id="8" name="Rectángulo 8"/>
                    <wp:cNvGraphicFramePr/>
                    <a:graphic xmlns:a="http://schemas.openxmlformats.org/drawingml/2006/main">
                      <a:graphicData uri="http://schemas.microsoft.com/office/word/2010/wordprocessingShape">
                        <wps:wsp>
                          <wps:cNvSpPr/>
                          <wps:spPr>
                            <a:xfrm>
                              <a:off x="0" y="0"/>
                              <a:ext cx="270026" cy="912571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5857B9FB" id="Rectángulo 8" o:spid="_x0000_s1026" style="position:absolute;margin-left:-11.3pt;margin-top:-16.65pt;width:21.25pt;height:71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" fillcolor="#002060" stroked="f" strokeweight="1pt"/>
                </w:pict>
              </mc:Fallback>
            </mc:AlternateContent>
          </w:r>
        </w:p>
        <w:p w14:paraId="4C7933D5" w14:textId="0FA0A09E" w:rsidR="00555CB3" w:rsidRPr="009A501D" w:rsidRDefault="00195817">
          <w:pPr>
            <w:rPr>
              <w:rFonts w:ascii="Century Gothic" w:hAnsi="Century Gothic"/>
              <w:i/>
              <w:iCs/>
              <w:sz w:val="19"/>
              <w:szCs w:val="19"/>
            </w:rPr>
          </w:pPr>
          <w:r w:rsidRPr="009A501D">
            <w:rPr>
              <w:noProof/>
            </w:rPr>
            <mc:AlternateContent>
              <mc:Choice Requires="wps">
                <w:drawing>
                  <wp:anchor distT="0" distB="0" distL="114300" distR="114300" simplePos="0" relativeHeight="251658241" behindDoc="0" locked="0" layoutInCell="1" allowOverlap="1" wp14:anchorId="610CC230" wp14:editId="5D019CE8">
                    <wp:simplePos x="0" y="0"/>
                    <wp:positionH relativeFrom="margin">
                      <wp:align>center</wp:align>
                    </wp:positionH>
                    <wp:positionV relativeFrom="page">
                      <wp:posOffset>3998453</wp:posOffset>
                    </wp:positionV>
                    <wp:extent cx="3657600" cy="1069848"/>
                    <wp:effectExtent l="0" t="0" r="7620" b="10160"/>
                    <wp:wrapNone/>
                    <wp:docPr id="51" name="Cuadro de texto 5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3BBCC" w14:textId="28323AD1" w:rsidR="00431D67" w:rsidRDefault="00431D67" w:rsidP="00375293">
                                <w:pPr>
                                  <w:spacing w:before="120"/>
                                  <w:jc w:val="center"/>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10CC230" id="_x0000_t202" coordsize="21600,21600" o:spt="202" path="m,l,21600r21600,l21600,xe">
                    <v:stroke joinstyle="miter"/>
                    <v:path gradientshapeok="t" o:connecttype="rect"/>
                  </v:shapetype>
                  <v:shape id="Cuadro de texto 51" o:spid="_x0000_s1026" type="#_x0000_t202" style="position:absolute;margin-left:0;margin-top:314.85pt;width:4in;height:84.25pt;z-index:251658241;visibility:visible;mso-wrap-style:square;mso-width-percent:450;mso-height-percent:0;mso-wrap-distance-left:9pt;mso-wrap-distance-top:0;mso-wrap-distance-right:9pt;mso-wrap-distance-bottom:0;mso-position-horizontal:center;mso-position-horizontal-relative:margin;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" filled="f" stroked="f" strokeweight=".5pt">
                    <v:textbox style="mso-fit-shape-to-text:t" inset="0,0,0,0">
                      <w:txbxContent>
                        <w:p w14:paraId="4E83BBCC" w14:textId="28323AD1" w:rsidR="00431D67" w:rsidRDefault="00431D67" w:rsidP="00375293">
                          <w:pPr>
                            <w:spacing w:before="120"/>
                            <w:jc w:val="center"/>
                            <w:rPr>
                              <w:color w:val="404040" w:themeColor="text1" w:themeTint="BF"/>
                              <w:sz w:val="36"/>
                              <w:szCs w:val="36"/>
                            </w:rPr>
                          </w:pPr>
                        </w:p>
                      </w:txbxContent>
                    </v:textbox>
                    <w10:wrap anchorx="margin" anchory="page"/>
                  </v:shape>
                </w:pict>
              </mc:Fallback>
            </mc:AlternateContent>
          </w:r>
        </w:p>
      </w:sdtContent>
    </w:sdt>
    <w:p w14:paraId="310541ED" w14:textId="24A7DE4E" w:rsidR="00555CB3" w:rsidRPr="009A501D" w:rsidRDefault="00375293" w:rsidP="00375293">
      <w:pPr>
        <w:jc w:val="right"/>
      </w:pPr>
      <w:r w:rsidRPr="009A501D">
        <w:rPr>
          <w:rFonts w:ascii="Century Gothic" w:hAnsi="Century Gothic"/>
          <w:noProof/>
          <w:lang w:eastAsia="es-MX"/>
        </w:rPr>
        <w:drawing>
          <wp:inline distT="0" distB="0" distL="0" distR="0" wp14:anchorId="412B7F53" wp14:editId="6D4A4141">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bl>
      <w:tblPr>
        <w:tblW w:w="10065" w:type="dxa"/>
        <w:tblLook w:val="04A0" w:firstRow="1" w:lastRow="0" w:firstColumn="1" w:lastColumn="0" w:noHBand="0" w:noVBand="1"/>
      </w:tblPr>
      <w:tblGrid>
        <w:gridCol w:w="4962"/>
        <w:gridCol w:w="5103"/>
      </w:tblGrid>
      <w:tr w:rsidR="00AB0F93" w:rsidRPr="009A501D" w14:paraId="385699B2" w14:textId="77777777" w:rsidTr="00AB0F93">
        <w:tc>
          <w:tcPr>
            <w:tcW w:w="4962" w:type="dxa"/>
            <w:vAlign w:val="center"/>
          </w:tcPr>
          <w:p w14:paraId="680EBF7C" w14:textId="48B69E98" w:rsidR="00AB0F93" w:rsidRPr="009A501D" w:rsidRDefault="00AB0F93" w:rsidP="00E36E92">
            <w:pPr>
              <w:spacing w:before="240"/>
              <w:jc w:val="center"/>
              <w:rPr>
                <w:rFonts w:ascii="Century Gothic" w:hAnsi="Century Gothic"/>
              </w:rPr>
            </w:pPr>
          </w:p>
        </w:tc>
        <w:tc>
          <w:tcPr>
            <w:tcW w:w="5103" w:type="dxa"/>
            <w:vAlign w:val="center"/>
          </w:tcPr>
          <w:p w14:paraId="18D4D75C" w14:textId="6C6A2568" w:rsidR="00AB0F93" w:rsidRPr="009A501D" w:rsidRDefault="00AB0F93" w:rsidP="00E36E92">
            <w:pPr>
              <w:spacing w:before="240"/>
              <w:jc w:val="right"/>
              <w:rPr>
                <w:rFonts w:ascii="Century Gothic" w:hAnsi="Century Gothic"/>
              </w:rPr>
            </w:pPr>
          </w:p>
        </w:tc>
      </w:tr>
    </w:tbl>
    <w:p w14:paraId="14FAEC33" w14:textId="2D8BDBED" w:rsidR="006F5BC6" w:rsidRPr="009A501D" w:rsidRDefault="006F5BC6" w:rsidP="00723568">
      <w:pPr>
        <w:spacing w:before="240"/>
        <w:rPr>
          <w:rFonts w:ascii="Century Gothic" w:hAnsi="Century Gothic"/>
        </w:rPr>
      </w:pPr>
    </w:p>
    <w:p w14:paraId="79442C94" w14:textId="31056D69" w:rsidR="006F5BC6" w:rsidRPr="009A501D" w:rsidRDefault="00375293" w:rsidP="00723568">
      <w:pPr>
        <w:spacing w:before="240"/>
        <w:rPr>
          <w:rFonts w:ascii="Century Gothic" w:hAnsi="Century Gothic"/>
        </w:rPr>
      </w:pPr>
      <w:r w:rsidRPr="009A501D">
        <w:rPr>
          <w:rFonts w:ascii="Century Gothic" w:hAnsi="Century Gothic"/>
          <w:noProof/>
          <w:lang w:eastAsia="es-MX"/>
        </w:rPr>
        <w:drawing>
          <wp:anchor distT="0" distB="0" distL="114300" distR="114300" simplePos="0" relativeHeight="251658242" behindDoc="0" locked="0" layoutInCell="1" allowOverlap="1" wp14:anchorId="701BF96E" wp14:editId="02EFFC6C">
            <wp:simplePos x="0" y="0"/>
            <wp:positionH relativeFrom="column">
              <wp:posOffset>1930684</wp:posOffset>
            </wp:positionH>
            <wp:positionV relativeFrom="paragraph">
              <wp:posOffset>71546</wp:posOffset>
            </wp:positionV>
            <wp:extent cx="3483610" cy="1177265"/>
            <wp:effectExtent l="0" t="0" r="2540" b="4445"/>
            <wp:wrapThrough wrapText="bothSides">
              <wp:wrapPolygon edited="0">
                <wp:start x="0" y="0"/>
                <wp:lineTo x="0" y="21332"/>
                <wp:lineTo x="21498" y="21332"/>
                <wp:lineTo x="21498" y="0"/>
                <wp:lineTo x="0" y="0"/>
              </wp:wrapPolygon>
            </wp:wrapThrough>
            <wp:docPr id="19" name="Imagen 1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Logotipo&#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83610" cy="1177265"/>
                    </a:xfrm>
                    <a:prstGeom prst="rect">
                      <a:avLst/>
                    </a:prstGeom>
                  </pic:spPr>
                </pic:pic>
              </a:graphicData>
            </a:graphic>
          </wp:anchor>
        </w:drawing>
      </w:r>
    </w:p>
    <w:p w14:paraId="476F119E" w14:textId="265624B0" w:rsidR="006F5BC6" w:rsidRPr="009A501D" w:rsidRDefault="006F5BC6" w:rsidP="007E0FE1">
      <w:pPr>
        <w:spacing w:before="240"/>
        <w:rPr>
          <w:rFonts w:ascii="Century Gothic" w:hAnsi="Century Gothic"/>
        </w:rPr>
      </w:pPr>
    </w:p>
    <w:p w14:paraId="1D3C8067" w14:textId="5BADAE52" w:rsidR="00A722D3" w:rsidRPr="009A501D" w:rsidRDefault="00A722D3" w:rsidP="007E0FE1">
      <w:pPr>
        <w:spacing w:before="240"/>
        <w:rPr>
          <w:rFonts w:ascii="Century Gothic" w:hAnsi="Century Gothic"/>
        </w:rPr>
      </w:pPr>
    </w:p>
    <w:p w14:paraId="3E84E9C1" w14:textId="7317F206" w:rsidR="00A722D3" w:rsidRPr="009A501D" w:rsidRDefault="00A722D3" w:rsidP="00575DE0">
      <w:pPr>
        <w:spacing w:before="240"/>
        <w:jc w:val="center"/>
        <w:rPr>
          <w:rFonts w:ascii="Century Gothic" w:hAnsi="Century Gothic"/>
        </w:rPr>
      </w:pPr>
    </w:p>
    <w:p w14:paraId="26C1E9DF" w14:textId="2A3E9C77" w:rsidR="00672104" w:rsidRPr="009A501D" w:rsidRDefault="00672104" w:rsidP="00723568">
      <w:pPr>
        <w:spacing w:before="240"/>
        <w:rPr>
          <w:rFonts w:ascii="Century Gothic" w:hAnsi="Century Gothic"/>
        </w:rPr>
      </w:pPr>
    </w:p>
    <w:p w14:paraId="3F279683" w14:textId="59CE4B05" w:rsidR="00883A0F" w:rsidRPr="009A501D" w:rsidRDefault="00A722D3" w:rsidP="00375293">
      <w:pPr>
        <w:pStyle w:val="Default"/>
        <w:spacing w:before="240" w:after="160"/>
        <w:ind w:left="990"/>
        <w:jc w:val="center"/>
        <w:rPr>
          <w:rFonts w:ascii="Century Gothic" w:hAnsi="Century Gothic"/>
          <w:b/>
          <w:bCs/>
          <w:smallCaps/>
          <w:color w:val="002060"/>
          <w:sz w:val="56"/>
          <w:szCs w:val="56"/>
          <w:lang w:val="es-MX"/>
        </w:rPr>
      </w:pPr>
      <w:r w:rsidRPr="009A501D">
        <w:rPr>
          <w:rFonts w:ascii="Century Gothic" w:hAnsi="Century Gothic"/>
          <w:b/>
          <w:bCs/>
          <w:smallCaps/>
          <w:color w:val="002060"/>
          <w:sz w:val="56"/>
          <w:szCs w:val="56"/>
          <w:lang w:val="es-MX"/>
        </w:rPr>
        <w:t>INFORME DE RESULTADOS</w:t>
      </w:r>
    </w:p>
    <w:p w14:paraId="09D47944" w14:textId="118A5826" w:rsidR="00575DE0" w:rsidRPr="009A501D" w:rsidRDefault="00883A0F" w:rsidP="00375293">
      <w:pPr>
        <w:pStyle w:val="Default"/>
        <w:spacing w:before="240" w:after="160"/>
        <w:ind w:left="990"/>
        <w:jc w:val="center"/>
        <w:rPr>
          <w:rFonts w:ascii="Century Gothic" w:hAnsi="Century Gothic"/>
          <w:b/>
          <w:bCs/>
          <w:smallCaps/>
          <w:color w:val="002060"/>
          <w:sz w:val="56"/>
          <w:szCs w:val="56"/>
          <w:lang w:val="es-MX"/>
        </w:rPr>
      </w:pPr>
      <w:r w:rsidRPr="009A501D">
        <w:rPr>
          <w:rFonts w:ascii="Century Gothic" w:hAnsi="Century Gothic"/>
          <w:b/>
          <w:bCs/>
          <w:smallCaps/>
          <w:color w:val="002060"/>
          <w:sz w:val="56"/>
          <w:szCs w:val="56"/>
          <w:lang w:val="es-MX"/>
        </w:rPr>
        <w:t>2022</w:t>
      </w:r>
    </w:p>
    <w:p w14:paraId="7835CF53" w14:textId="74EE3558" w:rsidR="006F5BC6" w:rsidRPr="009A501D" w:rsidRDefault="00410030" w:rsidP="00723568">
      <w:pPr>
        <w:spacing w:before="240"/>
        <w:rPr>
          <w:rFonts w:ascii="Century Gothic" w:hAnsi="Century Gothic"/>
        </w:rPr>
      </w:pPr>
      <w:r w:rsidRPr="009A501D">
        <w:rPr>
          <w:rFonts w:ascii="Century Gothic" w:hAnsi="Century Gothic"/>
          <w:noProof/>
        </w:rPr>
        <w:drawing>
          <wp:anchor distT="0" distB="0" distL="114300" distR="114300" simplePos="0" relativeHeight="251658243" behindDoc="1" locked="0" layoutInCell="1" allowOverlap="1" wp14:anchorId="51808757" wp14:editId="1372D014">
            <wp:simplePos x="0" y="0"/>
            <wp:positionH relativeFrom="column">
              <wp:posOffset>-1020767</wp:posOffset>
            </wp:positionH>
            <wp:positionV relativeFrom="paragraph">
              <wp:posOffset>344805</wp:posOffset>
            </wp:positionV>
            <wp:extent cx="4719090" cy="3700088"/>
            <wp:effectExtent l="0" t="0" r="571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alphaModFix amt="20000"/>
                      <a:extLst>
                        <a:ext uri="{BEBA8EAE-BF5A-486C-A8C5-ECC9F3942E4B}">
                          <a14:imgProps xmlns:a14="http://schemas.microsoft.com/office/drawing/2010/main">
                            <a14:imgLayer r:embed="rId12">
                              <a14:imgEffect>
                                <a14:artisticPaintStrokes/>
                              </a14:imgEffect>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719090" cy="3700088"/>
                    </a:xfrm>
                    <a:prstGeom prst="rect">
                      <a:avLst/>
                    </a:prstGeom>
                    <a:noFill/>
                  </pic:spPr>
                </pic:pic>
              </a:graphicData>
            </a:graphic>
            <wp14:sizeRelH relativeFrom="margin">
              <wp14:pctWidth>0</wp14:pctWidth>
            </wp14:sizeRelH>
            <wp14:sizeRelV relativeFrom="margin">
              <wp14:pctHeight>0</wp14:pctHeight>
            </wp14:sizeRelV>
          </wp:anchor>
        </w:drawing>
      </w:r>
    </w:p>
    <w:p w14:paraId="4416ADBE" w14:textId="06717B48" w:rsidR="00F2382C" w:rsidRPr="009A501D" w:rsidRDefault="00F2382C" w:rsidP="00723568">
      <w:pPr>
        <w:spacing w:before="240"/>
        <w:rPr>
          <w:rFonts w:ascii="Century Gothic" w:hAnsi="Century Gothic"/>
        </w:rPr>
      </w:pPr>
    </w:p>
    <w:p w14:paraId="35143514" w14:textId="33C5AA76" w:rsidR="00256978" w:rsidRPr="009A501D" w:rsidRDefault="00F232B8" w:rsidP="00F232B8">
      <w:pPr>
        <w:tabs>
          <w:tab w:val="left" w:pos="1719"/>
        </w:tabs>
        <w:spacing w:before="240"/>
        <w:rPr>
          <w:rFonts w:ascii="Century Gothic" w:hAnsi="Century Gothic"/>
        </w:rPr>
      </w:pPr>
      <w:r w:rsidRPr="009A501D">
        <w:rPr>
          <w:rFonts w:ascii="Century Gothic" w:hAnsi="Century Gothic"/>
        </w:rPr>
        <w:tab/>
      </w:r>
    </w:p>
    <w:p w14:paraId="63451F0C" w14:textId="0C81C3EE" w:rsidR="00256978" w:rsidRPr="009A501D" w:rsidRDefault="00256978" w:rsidP="00723568">
      <w:pPr>
        <w:spacing w:before="240"/>
        <w:jc w:val="center"/>
        <w:rPr>
          <w:rFonts w:ascii="Century Gothic" w:hAnsi="Century Gothic"/>
        </w:rPr>
      </w:pPr>
    </w:p>
    <w:p w14:paraId="1E849365" w14:textId="61E2219D" w:rsidR="006F5BC6" w:rsidRPr="009A501D" w:rsidRDefault="006F5BC6" w:rsidP="00E36E92">
      <w:pPr>
        <w:spacing w:before="240"/>
        <w:jc w:val="right"/>
        <w:rPr>
          <w:rFonts w:ascii="Century Gothic" w:hAnsi="Century Gothic"/>
          <w:sz w:val="28"/>
        </w:rPr>
      </w:pPr>
    </w:p>
    <w:p w14:paraId="3569A6E1" w14:textId="77777777" w:rsidR="007B36F6" w:rsidRPr="009A501D" w:rsidRDefault="007B36F6" w:rsidP="00E36E92">
      <w:pPr>
        <w:spacing w:before="240"/>
        <w:jc w:val="right"/>
        <w:rPr>
          <w:rFonts w:ascii="Century Gothic" w:hAnsi="Century Gothic"/>
          <w:sz w:val="28"/>
        </w:rPr>
      </w:pPr>
    </w:p>
    <w:p w14:paraId="2CB37259" w14:textId="72F077B5" w:rsidR="007B36F6" w:rsidRPr="009A501D" w:rsidRDefault="007B36F6" w:rsidP="00883A0F">
      <w:pPr>
        <w:tabs>
          <w:tab w:val="left" w:pos="731"/>
        </w:tabs>
        <w:spacing w:before="240"/>
        <w:rPr>
          <w:rFonts w:ascii="Century Gothic" w:hAnsi="Century Gothic"/>
          <w:sz w:val="28"/>
        </w:rPr>
      </w:pPr>
    </w:p>
    <w:p w14:paraId="0E8899D5" w14:textId="77777777" w:rsidR="00375293" w:rsidRPr="009A501D" w:rsidRDefault="00375293" w:rsidP="00E36E92">
      <w:pPr>
        <w:spacing w:before="240"/>
        <w:jc w:val="right"/>
        <w:rPr>
          <w:rFonts w:ascii="Century Gothic" w:hAnsi="Century Gothic"/>
          <w:sz w:val="28"/>
        </w:rPr>
      </w:pPr>
    </w:p>
    <w:p w14:paraId="5EB7A842" w14:textId="77777777" w:rsidR="00A044A1" w:rsidRPr="009A501D" w:rsidRDefault="00A044A1" w:rsidP="00E36E92">
      <w:pPr>
        <w:spacing w:before="240"/>
        <w:jc w:val="right"/>
        <w:rPr>
          <w:rFonts w:ascii="Century Gothic" w:hAnsi="Century Gothic"/>
          <w:sz w:val="28"/>
        </w:rPr>
      </w:pPr>
    </w:p>
    <w:p w14:paraId="227AD4C9" w14:textId="77777777" w:rsidR="00A044A1" w:rsidRPr="009A501D" w:rsidRDefault="00A044A1" w:rsidP="00E36E92">
      <w:pPr>
        <w:spacing w:before="240"/>
        <w:jc w:val="right"/>
        <w:rPr>
          <w:rFonts w:ascii="Century Gothic" w:hAnsi="Century Gothic"/>
          <w:sz w:val="28"/>
        </w:rPr>
      </w:pPr>
    </w:p>
    <w:p w14:paraId="5BCFCEC5" w14:textId="7EED6120" w:rsidR="00375293" w:rsidRPr="009A501D" w:rsidRDefault="00A044A1" w:rsidP="00545D77">
      <w:pPr>
        <w:spacing w:before="240"/>
        <w:ind w:right="990"/>
        <w:jc w:val="right"/>
        <w:rPr>
          <w:rFonts w:ascii="Century Gothic" w:hAnsi="Century Gothic"/>
          <w:b/>
          <w:bCs/>
          <w:sz w:val="28"/>
        </w:rPr>
      </w:pPr>
      <w:r w:rsidRPr="009A501D">
        <w:rPr>
          <w:rFonts w:ascii="Century Gothic" w:hAnsi="Century Gothic"/>
          <w:b/>
          <w:bCs/>
          <w:color w:val="002060"/>
          <w:sz w:val="28"/>
        </w:rPr>
        <w:t>Marzo, 2023</w:t>
      </w:r>
    </w:p>
    <w:tbl>
      <w:tblPr>
        <w:tblW w:w="12763" w:type="dxa"/>
        <w:tblInd w:w="-1139" w:type="dxa"/>
        <w:tblLook w:val="04A0" w:firstRow="1" w:lastRow="0" w:firstColumn="1" w:lastColumn="0" w:noHBand="0" w:noVBand="1"/>
      </w:tblPr>
      <w:tblGrid>
        <w:gridCol w:w="8085"/>
        <w:gridCol w:w="4678"/>
      </w:tblGrid>
      <w:tr w:rsidR="00C801C8" w:rsidRPr="009A501D" w14:paraId="4F14DDC1" w14:textId="77777777" w:rsidTr="00C801C8">
        <w:trPr>
          <w:trHeight w:val="201"/>
        </w:trPr>
        <w:tc>
          <w:tcPr>
            <w:tcW w:w="8085" w:type="dxa"/>
            <w:shd w:val="clear" w:color="auto" w:fill="auto"/>
          </w:tcPr>
          <w:p w14:paraId="1A0846FE" w14:textId="601DE3CD" w:rsidR="00C801C8" w:rsidRPr="009A501D" w:rsidRDefault="00C801C8" w:rsidP="00A044A1">
            <w:pPr>
              <w:spacing w:before="240"/>
              <w:ind w:left="5172" w:right="85"/>
              <w:jc w:val="right"/>
              <w:rPr>
                <w:rFonts w:cstheme="minorHAnsi"/>
                <w:color w:val="FFFFFF" w:themeColor="background1"/>
                <w:sz w:val="2"/>
                <w:szCs w:val="12"/>
              </w:rPr>
            </w:pPr>
          </w:p>
        </w:tc>
        <w:tc>
          <w:tcPr>
            <w:tcW w:w="4678" w:type="dxa"/>
            <w:shd w:val="clear" w:color="auto" w:fill="auto"/>
          </w:tcPr>
          <w:p w14:paraId="4A984827" w14:textId="733C8CA2" w:rsidR="00C801C8" w:rsidRPr="009A501D" w:rsidRDefault="00C801C8" w:rsidP="00E36E92">
            <w:pPr>
              <w:spacing w:before="240"/>
              <w:rPr>
                <w:rFonts w:cstheme="minorHAnsi"/>
                <w:color w:val="FFFFFF" w:themeColor="background1"/>
                <w:sz w:val="2"/>
                <w:szCs w:val="12"/>
              </w:rPr>
            </w:pPr>
          </w:p>
        </w:tc>
      </w:tr>
    </w:tbl>
    <w:p w14:paraId="0D65E0FB" w14:textId="6891DE8D" w:rsidR="00252CA7" w:rsidRPr="009A501D" w:rsidRDefault="00A144BD" w:rsidP="00575DE0">
      <w:pPr>
        <w:spacing w:after="0" w:line="276" w:lineRule="auto"/>
        <w:jc w:val="right"/>
        <w:rPr>
          <w:rFonts w:ascii="Century Gothic" w:hAnsi="Century Gothic"/>
          <w:b/>
          <w:bCs/>
          <w:color w:val="002060"/>
          <w:sz w:val="28"/>
        </w:rPr>
      </w:pPr>
      <w:r w:rsidRPr="009A501D">
        <w:rPr>
          <w:rFonts w:ascii="Century Gothic" w:hAnsi="Century Gothic"/>
          <w:b/>
          <w:bCs/>
          <w:color w:val="002060"/>
          <w:sz w:val="32"/>
        </w:rPr>
        <w:t>CONTENIDO</w:t>
      </w:r>
    </w:p>
    <w:p w14:paraId="54497A5C" w14:textId="19DB3F0E" w:rsidR="00893989" w:rsidRDefault="00252CA7" w:rsidP="004C726D">
      <w:pPr>
        <w:pStyle w:val="TDC1"/>
        <w:tabs>
          <w:tab w:val="clear" w:pos="10490"/>
          <w:tab w:val="right" w:leader="dot" w:pos="10632"/>
        </w:tabs>
        <w:spacing w:before="0" w:after="0"/>
        <w:rPr>
          <w:rFonts w:eastAsiaTheme="minorEastAsia"/>
          <w:noProof/>
          <w:lang w:eastAsia="es-MX"/>
        </w:rPr>
      </w:pPr>
      <w:r w:rsidRPr="009A501D">
        <w:rPr>
          <w:rFonts w:ascii="Century Gothic" w:hAnsi="Century Gothic"/>
          <w:szCs w:val="18"/>
        </w:rPr>
        <w:fldChar w:fldCharType="begin"/>
      </w:r>
      <w:r w:rsidRPr="009A501D">
        <w:rPr>
          <w:rFonts w:ascii="Century Gothic" w:hAnsi="Century Gothic"/>
          <w:szCs w:val="18"/>
        </w:rPr>
        <w:instrText xml:space="preserve"> TOC \o "1-3" \h \z \u </w:instrText>
      </w:r>
      <w:r w:rsidRPr="009A501D">
        <w:rPr>
          <w:rFonts w:ascii="Century Gothic" w:hAnsi="Century Gothic"/>
          <w:szCs w:val="18"/>
        </w:rPr>
        <w:fldChar w:fldCharType="separate"/>
      </w:r>
      <w:hyperlink w:anchor="_Toc131161791" w:history="1">
        <w:r w:rsidR="00893989" w:rsidRPr="00150137">
          <w:rPr>
            <w:rStyle w:val="Hipervnculo"/>
            <w:rFonts w:ascii="Century Gothic" w:hAnsi="Century Gothic" w:cstheme="minorHAnsi"/>
            <w:b/>
            <w:bCs/>
            <w:noProof/>
          </w:rPr>
          <w:t>I. INTRODUCCIÓN</w:t>
        </w:r>
        <w:r w:rsidR="00893989">
          <w:rPr>
            <w:noProof/>
            <w:webHidden/>
          </w:rPr>
          <w:tab/>
        </w:r>
        <w:r w:rsidR="00893989">
          <w:rPr>
            <w:noProof/>
            <w:webHidden/>
          </w:rPr>
          <w:fldChar w:fldCharType="begin"/>
        </w:r>
        <w:r w:rsidR="00893989">
          <w:rPr>
            <w:noProof/>
            <w:webHidden/>
          </w:rPr>
          <w:instrText xml:space="preserve"> PAGEREF _Toc131161791 \h </w:instrText>
        </w:r>
        <w:r w:rsidR="00893989">
          <w:rPr>
            <w:noProof/>
            <w:webHidden/>
          </w:rPr>
        </w:r>
        <w:r w:rsidR="00893989">
          <w:rPr>
            <w:noProof/>
            <w:webHidden/>
          </w:rPr>
          <w:fldChar w:fldCharType="separate"/>
        </w:r>
        <w:r w:rsidR="00893989">
          <w:rPr>
            <w:noProof/>
            <w:webHidden/>
          </w:rPr>
          <w:t>3</w:t>
        </w:r>
        <w:r w:rsidR="00893989">
          <w:rPr>
            <w:noProof/>
            <w:webHidden/>
          </w:rPr>
          <w:fldChar w:fldCharType="end"/>
        </w:r>
      </w:hyperlink>
    </w:p>
    <w:p w14:paraId="21E807FF" w14:textId="241F7862"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792" w:history="1">
        <w:r w:rsidR="00893989" w:rsidRPr="00150137">
          <w:rPr>
            <w:rStyle w:val="Hipervnculo"/>
            <w:rFonts w:ascii="Century Gothic" w:hAnsi="Century Gothic" w:cstheme="minorHAnsi"/>
            <w:b/>
            <w:bCs/>
            <w:noProof/>
          </w:rPr>
          <w:t>II. AVANCES EN METAS DEL COMITÉ Y RETOS</w:t>
        </w:r>
        <w:r w:rsidR="00893989">
          <w:rPr>
            <w:noProof/>
            <w:webHidden/>
          </w:rPr>
          <w:tab/>
        </w:r>
        <w:r w:rsidR="00893989">
          <w:rPr>
            <w:noProof/>
            <w:webHidden/>
          </w:rPr>
          <w:fldChar w:fldCharType="begin"/>
        </w:r>
        <w:r w:rsidR="00893989">
          <w:rPr>
            <w:noProof/>
            <w:webHidden/>
          </w:rPr>
          <w:instrText xml:space="preserve"> PAGEREF _Toc131161792 \h </w:instrText>
        </w:r>
        <w:r w:rsidR="00893989">
          <w:rPr>
            <w:noProof/>
            <w:webHidden/>
          </w:rPr>
        </w:r>
        <w:r w:rsidR="00893989">
          <w:rPr>
            <w:noProof/>
            <w:webHidden/>
          </w:rPr>
          <w:fldChar w:fldCharType="separate"/>
        </w:r>
        <w:r w:rsidR="00893989">
          <w:rPr>
            <w:noProof/>
            <w:webHidden/>
          </w:rPr>
          <w:t>6</w:t>
        </w:r>
        <w:r w:rsidR="00893989">
          <w:rPr>
            <w:noProof/>
            <w:webHidden/>
          </w:rPr>
          <w:fldChar w:fldCharType="end"/>
        </w:r>
      </w:hyperlink>
    </w:p>
    <w:p w14:paraId="5D877CAE" w14:textId="71DB5FBA" w:rsidR="00893989" w:rsidRDefault="00000000" w:rsidP="004C726D">
      <w:pPr>
        <w:pStyle w:val="TDC2"/>
        <w:tabs>
          <w:tab w:val="right" w:leader="dot" w:pos="10632"/>
        </w:tabs>
        <w:spacing w:after="0"/>
        <w:rPr>
          <w:rFonts w:eastAsiaTheme="minorEastAsia"/>
          <w:noProof/>
          <w:lang w:eastAsia="es-MX"/>
        </w:rPr>
      </w:pPr>
      <w:hyperlink w:anchor="_Toc131161793" w:history="1">
        <w:r w:rsidR="00893989" w:rsidRPr="00150137">
          <w:rPr>
            <w:rStyle w:val="Hipervnculo"/>
            <w:rFonts w:ascii="Century Gothic" w:hAnsi="Century Gothic"/>
            <w:bCs/>
            <w:noProof/>
          </w:rPr>
          <w:t>Actividad estratégica 1: Establecer controles de calidad en procesos estandarizados y documentados.</w:t>
        </w:r>
        <w:r w:rsidR="00893989">
          <w:rPr>
            <w:noProof/>
            <w:webHidden/>
          </w:rPr>
          <w:tab/>
        </w:r>
        <w:r w:rsidR="00893989">
          <w:rPr>
            <w:noProof/>
            <w:webHidden/>
          </w:rPr>
          <w:fldChar w:fldCharType="begin"/>
        </w:r>
        <w:r w:rsidR="00893989">
          <w:rPr>
            <w:noProof/>
            <w:webHidden/>
          </w:rPr>
          <w:instrText xml:space="preserve"> PAGEREF _Toc131161793 \h </w:instrText>
        </w:r>
        <w:r w:rsidR="00893989">
          <w:rPr>
            <w:noProof/>
            <w:webHidden/>
          </w:rPr>
        </w:r>
        <w:r w:rsidR="00893989">
          <w:rPr>
            <w:noProof/>
            <w:webHidden/>
          </w:rPr>
          <w:fldChar w:fldCharType="separate"/>
        </w:r>
        <w:r w:rsidR="00893989">
          <w:rPr>
            <w:noProof/>
            <w:webHidden/>
          </w:rPr>
          <w:t>6</w:t>
        </w:r>
        <w:r w:rsidR="00893989">
          <w:rPr>
            <w:noProof/>
            <w:webHidden/>
          </w:rPr>
          <w:fldChar w:fldCharType="end"/>
        </w:r>
      </w:hyperlink>
    </w:p>
    <w:p w14:paraId="31C6FE25" w14:textId="23B44FDA" w:rsidR="00893989" w:rsidRDefault="00000000" w:rsidP="004C726D">
      <w:pPr>
        <w:pStyle w:val="TDC2"/>
        <w:tabs>
          <w:tab w:val="right" w:leader="dot" w:pos="10632"/>
        </w:tabs>
        <w:spacing w:after="0"/>
        <w:rPr>
          <w:rFonts w:eastAsiaTheme="minorEastAsia"/>
          <w:noProof/>
          <w:lang w:eastAsia="es-MX"/>
        </w:rPr>
      </w:pPr>
      <w:hyperlink w:anchor="_Toc131161794" w:history="1">
        <w:r w:rsidR="00893989" w:rsidRPr="00150137">
          <w:rPr>
            <w:rStyle w:val="Hipervnculo"/>
            <w:rFonts w:ascii="Century Gothic" w:hAnsi="Century Gothic"/>
            <w:bCs/>
            <w:noProof/>
          </w:rPr>
          <w:t>Actividad estratégica 2: Evaluar de forma sistemática la calidad de la información.</w:t>
        </w:r>
        <w:r w:rsidR="00893989">
          <w:rPr>
            <w:noProof/>
            <w:webHidden/>
          </w:rPr>
          <w:tab/>
        </w:r>
        <w:r w:rsidR="00893989">
          <w:rPr>
            <w:noProof/>
            <w:webHidden/>
          </w:rPr>
          <w:fldChar w:fldCharType="begin"/>
        </w:r>
        <w:r w:rsidR="00893989">
          <w:rPr>
            <w:noProof/>
            <w:webHidden/>
          </w:rPr>
          <w:instrText xml:space="preserve"> PAGEREF _Toc131161794 \h </w:instrText>
        </w:r>
        <w:r w:rsidR="00893989">
          <w:rPr>
            <w:noProof/>
            <w:webHidden/>
          </w:rPr>
        </w:r>
        <w:r w:rsidR="00893989">
          <w:rPr>
            <w:noProof/>
            <w:webHidden/>
          </w:rPr>
          <w:fldChar w:fldCharType="separate"/>
        </w:r>
        <w:r w:rsidR="00893989">
          <w:rPr>
            <w:noProof/>
            <w:webHidden/>
          </w:rPr>
          <w:t>7</w:t>
        </w:r>
        <w:r w:rsidR="00893989">
          <w:rPr>
            <w:noProof/>
            <w:webHidden/>
          </w:rPr>
          <w:fldChar w:fldCharType="end"/>
        </w:r>
      </w:hyperlink>
    </w:p>
    <w:p w14:paraId="3A10B09A" w14:textId="7020722D" w:rsidR="00893989" w:rsidRDefault="00000000" w:rsidP="004C726D">
      <w:pPr>
        <w:pStyle w:val="TDC2"/>
        <w:tabs>
          <w:tab w:val="right" w:leader="dot" w:pos="10632"/>
        </w:tabs>
        <w:spacing w:after="0"/>
        <w:rPr>
          <w:rFonts w:eastAsiaTheme="minorEastAsia"/>
          <w:noProof/>
          <w:lang w:eastAsia="es-MX"/>
        </w:rPr>
      </w:pPr>
      <w:hyperlink w:anchor="_Toc131161795" w:history="1">
        <w:r w:rsidR="00893989" w:rsidRPr="00150137">
          <w:rPr>
            <w:rStyle w:val="Hipervnculo"/>
            <w:rFonts w:ascii="Century Gothic" w:hAnsi="Century Gothic"/>
            <w:bCs/>
            <w:noProof/>
          </w:rPr>
          <w:t>Actividad estratégica 3: Desarrollar protocolos para medir y documentar el impacto de las mejoras.</w:t>
        </w:r>
        <w:r w:rsidR="00893989">
          <w:rPr>
            <w:noProof/>
            <w:webHidden/>
          </w:rPr>
          <w:tab/>
        </w:r>
        <w:r w:rsidR="00893989">
          <w:rPr>
            <w:noProof/>
            <w:webHidden/>
          </w:rPr>
          <w:fldChar w:fldCharType="begin"/>
        </w:r>
        <w:r w:rsidR="00893989">
          <w:rPr>
            <w:noProof/>
            <w:webHidden/>
          </w:rPr>
          <w:instrText xml:space="preserve"> PAGEREF _Toc131161795 \h </w:instrText>
        </w:r>
        <w:r w:rsidR="00893989">
          <w:rPr>
            <w:noProof/>
            <w:webHidden/>
          </w:rPr>
        </w:r>
        <w:r w:rsidR="00893989">
          <w:rPr>
            <w:noProof/>
            <w:webHidden/>
          </w:rPr>
          <w:fldChar w:fldCharType="separate"/>
        </w:r>
        <w:r w:rsidR="00893989">
          <w:rPr>
            <w:noProof/>
            <w:webHidden/>
          </w:rPr>
          <w:t>7</w:t>
        </w:r>
        <w:r w:rsidR="00893989">
          <w:rPr>
            <w:noProof/>
            <w:webHidden/>
          </w:rPr>
          <w:fldChar w:fldCharType="end"/>
        </w:r>
      </w:hyperlink>
    </w:p>
    <w:p w14:paraId="2D53D1A6" w14:textId="37ACFDC8"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796" w:history="1">
        <w:r w:rsidR="00893989" w:rsidRPr="00150137">
          <w:rPr>
            <w:rStyle w:val="Hipervnculo"/>
            <w:rFonts w:ascii="Century Gothic" w:hAnsi="Century Gothic" w:cstheme="minorHAnsi"/>
            <w:b/>
            <w:bCs/>
            <w:noProof/>
          </w:rPr>
          <w:t>III. RESULTADOS DE LOS INDICADORES DE CALIDAD</w:t>
        </w:r>
        <w:r w:rsidR="00893989">
          <w:rPr>
            <w:noProof/>
            <w:webHidden/>
          </w:rPr>
          <w:tab/>
        </w:r>
        <w:r w:rsidR="00893989">
          <w:rPr>
            <w:noProof/>
            <w:webHidden/>
          </w:rPr>
          <w:fldChar w:fldCharType="begin"/>
        </w:r>
        <w:r w:rsidR="00893989">
          <w:rPr>
            <w:noProof/>
            <w:webHidden/>
          </w:rPr>
          <w:instrText xml:space="preserve"> PAGEREF _Toc131161796 \h </w:instrText>
        </w:r>
        <w:r w:rsidR="00893989">
          <w:rPr>
            <w:noProof/>
            <w:webHidden/>
          </w:rPr>
        </w:r>
        <w:r w:rsidR="00893989">
          <w:rPr>
            <w:noProof/>
            <w:webHidden/>
          </w:rPr>
          <w:fldChar w:fldCharType="separate"/>
        </w:r>
        <w:r w:rsidR="00893989">
          <w:rPr>
            <w:noProof/>
            <w:webHidden/>
          </w:rPr>
          <w:t>9</w:t>
        </w:r>
        <w:r w:rsidR="00893989">
          <w:rPr>
            <w:noProof/>
            <w:webHidden/>
          </w:rPr>
          <w:fldChar w:fldCharType="end"/>
        </w:r>
      </w:hyperlink>
    </w:p>
    <w:p w14:paraId="039E8EA5" w14:textId="79ADB78B" w:rsidR="00893989" w:rsidRDefault="00000000" w:rsidP="004C726D">
      <w:pPr>
        <w:pStyle w:val="TDC2"/>
        <w:tabs>
          <w:tab w:val="right" w:leader="dot" w:pos="10632"/>
        </w:tabs>
        <w:spacing w:after="0"/>
        <w:rPr>
          <w:rFonts w:eastAsiaTheme="minorEastAsia"/>
          <w:noProof/>
          <w:lang w:eastAsia="es-MX"/>
        </w:rPr>
      </w:pPr>
      <w:hyperlink w:anchor="_Toc131161797" w:history="1">
        <w:r w:rsidR="00893989" w:rsidRPr="00150137">
          <w:rPr>
            <w:rStyle w:val="Hipervnculo"/>
            <w:rFonts w:ascii="Century Gothic" w:hAnsi="Century Gothic"/>
            <w:bCs/>
            <w:noProof/>
          </w:rPr>
          <w:t>III.1. Indicadores de pertinencia</w:t>
        </w:r>
        <w:r w:rsidR="00893989">
          <w:rPr>
            <w:noProof/>
            <w:webHidden/>
          </w:rPr>
          <w:tab/>
        </w:r>
        <w:r w:rsidR="00893989">
          <w:rPr>
            <w:noProof/>
            <w:webHidden/>
          </w:rPr>
          <w:fldChar w:fldCharType="begin"/>
        </w:r>
        <w:r w:rsidR="00893989">
          <w:rPr>
            <w:noProof/>
            <w:webHidden/>
          </w:rPr>
          <w:instrText xml:space="preserve"> PAGEREF _Toc131161797 \h </w:instrText>
        </w:r>
        <w:r w:rsidR="00893989">
          <w:rPr>
            <w:noProof/>
            <w:webHidden/>
          </w:rPr>
        </w:r>
        <w:r w:rsidR="00893989">
          <w:rPr>
            <w:noProof/>
            <w:webHidden/>
          </w:rPr>
          <w:fldChar w:fldCharType="separate"/>
        </w:r>
        <w:r w:rsidR="00893989">
          <w:rPr>
            <w:noProof/>
            <w:webHidden/>
          </w:rPr>
          <w:t>9</w:t>
        </w:r>
        <w:r w:rsidR="00893989">
          <w:rPr>
            <w:noProof/>
            <w:webHidden/>
          </w:rPr>
          <w:fldChar w:fldCharType="end"/>
        </w:r>
      </w:hyperlink>
    </w:p>
    <w:p w14:paraId="74D31266" w14:textId="552CB6D4" w:rsidR="00893989" w:rsidRDefault="00000000" w:rsidP="004C726D">
      <w:pPr>
        <w:pStyle w:val="TDC2"/>
        <w:tabs>
          <w:tab w:val="right" w:leader="dot" w:pos="10632"/>
        </w:tabs>
        <w:spacing w:after="0"/>
        <w:rPr>
          <w:rFonts w:eastAsiaTheme="minorEastAsia"/>
          <w:noProof/>
          <w:lang w:eastAsia="es-MX"/>
        </w:rPr>
      </w:pPr>
      <w:hyperlink w:anchor="_Toc131161798" w:history="1">
        <w:r w:rsidR="00893989" w:rsidRPr="00150137">
          <w:rPr>
            <w:rStyle w:val="Hipervnculo"/>
            <w:rFonts w:ascii="Century Gothic" w:hAnsi="Century Gothic"/>
            <w:bCs/>
            <w:noProof/>
          </w:rPr>
          <w:t>III.2. Indicadores de oportunidad</w:t>
        </w:r>
        <w:r w:rsidR="00893989">
          <w:rPr>
            <w:noProof/>
            <w:webHidden/>
          </w:rPr>
          <w:tab/>
        </w:r>
        <w:r w:rsidR="00893989">
          <w:rPr>
            <w:noProof/>
            <w:webHidden/>
          </w:rPr>
          <w:fldChar w:fldCharType="begin"/>
        </w:r>
        <w:r w:rsidR="00893989">
          <w:rPr>
            <w:noProof/>
            <w:webHidden/>
          </w:rPr>
          <w:instrText xml:space="preserve"> PAGEREF _Toc131161798 \h </w:instrText>
        </w:r>
        <w:r w:rsidR="00893989">
          <w:rPr>
            <w:noProof/>
            <w:webHidden/>
          </w:rPr>
        </w:r>
        <w:r w:rsidR="00893989">
          <w:rPr>
            <w:noProof/>
            <w:webHidden/>
          </w:rPr>
          <w:fldChar w:fldCharType="separate"/>
        </w:r>
        <w:r w:rsidR="00893989">
          <w:rPr>
            <w:noProof/>
            <w:webHidden/>
          </w:rPr>
          <w:t>10</w:t>
        </w:r>
        <w:r w:rsidR="00893989">
          <w:rPr>
            <w:noProof/>
            <w:webHidden/>
          </w:rPr>
          <w:fldChar w:fldCharType="end"/>
        </w:r>
      </w:hyperlink>
    </w:p>
    <w:p w14:paraId="6075D7AD" w14:textId="058067E4" w:rsidR="00893989" w:rsidRDefault="00000000" w:rsidP="004C726D">
      <w:pPr>
        <w:pStyle w:val="TDC2"/>
        <w:tabs>
          <w:tab w:val="right" w:leader="dot" w:pos="10632"/>
        </w:tabs>
        <w:spacing w:after="0"/>
        <w:rPr>
          <w:rFonts w:eastAsiaTheme="minorEastAsia"/>
          <w:noProof/>
          <w:lang w:eastAsia="es-MX"/>
        </w:rPr>
      </w:pPr>
      <w:hyperlink w:anchor="_Toc131161799" w:history="1">
        <w:r w:rsidR="00893989" w:rsidRPr="00150137">
          <w:rPr>
            <w:rStyle w:val="Hipervnculo"/>
            <w:rFonts w:ascii="Century Gothic" w:hAnsi="Century Gothic"/>
            <w:bCs/>
            <w:noProof/>
          </w:rPr>
          <w:t>III.3. Indicador de accesibilidad</w:t>
        </w:r>
        <w:r w:rsidR="00893989">
          <w:rPr>
            <w:noProof/>
            <w:webHidden/>
          </w:rPr>
          <w:tab/>
        </w:r>
        <w:r w:rsidR="00893989">
          <w:rPr>
            <w:noProof/>
            <w:webHidden/>
          </w:rPr>
          <w:fldChar w:fldCharType="begin"/>
        </w:r>
        <w:r w:rsidR="00893989">
          <w:rPr>
            <w:noProof/>
            <w:webHidden/>
          </w:rPr>
          <w:instrText xml:space="preserve"> PAGEREF _Toc131161799 \h </w:instrText>
        </w:r>
        <w:r w:rsidR="00893989">
          <w:rPr>
            <w:noProof/>
            <w:webHidden/>
          </w:rPr>
        </w:r>
        <w:r w:rsidR="00893989">
          <w:rPr>
            <w:noProof/>
            <w:webHidden/>
          </w:rPr>
          <w:fldChar w:fldCharType="separate"/>
        </w:r>
        <w:r w:rsidR="00893989">
          <w:rPr>
            <w:noProof/>
            <w:webHidden/>
          </w:rPr>
          <w:t>13</w:t>
        </w:r>
        <w:r w:rsidR="00893989">
          <w:rPr>
            <w:noProof/>
            <w:webHidden/>
          </w:rPr>
          <w:fldChar w:fldCharType="end"/>
        </w:r>
      </w:hyperlink>
    </w:p>
    <w:p w14:paraId="23DFF52C" w14:textId="3FCD0862" w:rsidR="00893989" w:rsidRDefault="00000000" w:rsidP="004C726D">
      <w:pPr>
        <w:pStyle w:val="TDC2"/>
        <w:tabs>
          <w:tab w:val="right" w:leader="dot" w:pos="10632"/>
        </w:tabs>
        <w:spacing w:after="0"/>
        <w:rPr>
          <w:rFonts w:eastAsiaTheme="minorEastAsia"/>
          <w:noProof/>
          <w:lang w:eastAsia="es-MX"/>
        </w:rPr>
      </w:pPr>
      <w:hyperlink w:anchor="_Toc131161800" w:history="1">
        <w:r w:rsidR="00893989" w:rsidRPr="00150137">
          <w:rPr>
            <w:rStyle w:val="Hipervnculo"/>
            <w:rFonts w:ascii="Century Gothic" w:hAnsi="Century Gothic"/>
            <w:noProof/>
          </w:rPr>
          <w:t>III.4. Indicadores de puntualidad</w:t>
        </w:r>
        <w:r w:rsidR="00893989">
          <w:rPr>
            <w:noProof/>
            <w:webHidden/>
          </w:rPr>
          <w:tab/>
        </w:r>
        <w:r w:rsidR="00893989">
          <w:rPr>
            <w:noProof/>
            <w:webHidden/>
          </w:rPr>
          <w:fldChar w:fldCharType="begin"/>
        </w:r>
        <w:r w:rsidR="00893989">
          <w:rPr>
            <w:noProof/>
            <w:webHidden/>
          </w:rPr>
          <w:instrText xml:space="preserve"> PAGEREF _Toc131161800 \h </w:instrText>
        </w:r>
        <w:r w:rsidR="00893989">
          <w:rPr>
            <w:noProof/>
            <w:webHidden/>
          </w:rPr>
        </w:r>
        <w:r w:rsidR="00893989">
          <w:rPr>
            <w:noProof/>
            <w:webHidden/>
          </w:rPr>
          <w:fldChar w:fldCharType="separate"/>
        </w:r>
        <w:r w:rsidR="00893989">
          <w:rPr>
            <w:noProof/>
            <w:webHidden/>
          </w:rPr>
          <w:t>17</w:t>
        </w:r>
        <w:r w:rsidR="00893989">
          <w:rPr>
            <w:noProof/>
            <w:webHidden/>
          </w:rPr>
          <w:fldChar w:fldCharType="end"/>
        </w:r>
      </w:hyperlink>
    </w:p>
    <w:p w14:paraId="61CD4CFC" w14:textId="4C3BA2E0" w:rsidR="00893989" w:rsidRDefault="00000000" w:rsidP="004C726D">
      <w:pPr>
        <w:pStyle w:val="TDC2"/>
        <w:tabs>
          <w:tab w:val="right" w:leader="dot" w:pos="10632"/>
        </w:tabs>
        <w:spacing w:after="0"/>
        <w:rPr>
          <w:rFonts w:eastAsiaTheme="minorEastAsia"/>
          <w:noProof/>
          <w:lang w:eastAsia="es-MX"/>
        </w:rPr>
      </w:pPr>
      <w:hyperlink w:anchor="_Toc131161801" w:history="1">
        <w:r w:rsidR="00893989" w:rsidRPr="00150137">
          <w:rPr>
            <w:rStyle w:val="Hipervnculo"/>
            <w:rFonts w:ascii="Century Gothic" w:hAnsi="Century Gothic"/>
            <w:bCs/>
            <w:noProof/>
          </w:rPr>
          <w:t>III.5. Indicadores de precisión</w:t>
        </w:r>
        <w:r w:rsidR="00893989">
          <w:rPr>
            <w:noProof/>
            <w:webHidden/>
          </w:rPr>
          <w:tab/>
        </w:r>
        <w:r w:rsidR="00893989">
          <w:rPr>
            <w:noProof/>
            <w:webHidden/>
          </w:rPr>
          <w:fldChar w:fldCharType="begin"/>
        </w:r>
        <w:r w:rsidR="00893989">
          <w:rPr>
            <w:noProof/>
            <w:webHidden/>
          </w:rPr>
          <w:instrText xml:space="preserve"> PAGEREF _Toc131161801 \h </w:instrText>
        </w:r>
        <w:r w:rsidR="00893989">
          <w:rPr>
            <w:noProof/>
            <w:webHidden/>
          </w:rPr>
        </w:r>
        <w:r w:rsidR="00893989">
          <w:rPr>
            <w:noProof/>
            <w:webHidden/>
          </w:rPr>
          <w:fldChar w:fldCharType="separate"/>
        </w:r>
        <w:r w:rsidR="00893989">
          <w:rPr>
            <w:noProof/>
            <w:webHidden/>
          </w:rPr>
          <w:t>19</w:t>
        </w:r>
        <w:r w:rsidR="00893989">
          <w:rPr>
            <w:noProof/>
            <w:webHidden/>
          </w:rPr>
          <w:fldChar w:fldCharType="end"/>
        </w:r>
      </w:hyperlink>
    </w:p>
    <w:p w14:paraId="1C0F3BA3" w14:textId="36678951" w:rsidR="00893989" w:rsidRDefault="00000000" w:rsidP="004C726D">
      <w:pPr>
        <w:pStyle w:val="TDC3"/>
        <w:tabs>
          <w:tab w:val="right" w:leader="dot" w:pos="10632"/>
          <w:tab w:val="right" w:leader="dot" w:pos="10790"/>
        </w:tabs>
        <w:spacing w:after="0"/>
        <w:rPr>
          <w:rFonts w:eastAsiaTheme="minorEastAsia"/>
          <w:noProof/>
          <w:lang w:eastAsia="es-MX"/>
        </w:rPr>
      </w:pPr>
      <w:hyperlink w:anchor="_Toc131161802" w:history="1">
        <w:r w:rsidR="00893989" w:rsidRPr="00150137">
          <w:rPr>
            <w:rStyle w:val="Hipervnculo"/>
            <w:rFonts w:ascii="Century Gothic" w:hAnsi="Century Gothic"/>
            <w:bCs/>
            <w:noProof/>
          </w:rPr>
          <w:t>III.5.A. Indicadores de precisión de procesos de producción cuyo único insumo son registros administrativos</w:t>
        </w:r>
        <w:r w:rsidR="00893989">
          <w:rPr>
            <w:noProof/>
            <w:webHidden/>
          </w:rPr>
          <w:tab/>
        </w:r>
        <w:r w:rsidR="00893989">
          <w:rPr>
            <w:noProof/>
            <w:webHidden/>
          </w:rPr>
          <w:fldChar w:fldCharType="begin"/>
        </w:r>
        <w:r w:rsidR="00893989">
          <w:rPr>
            <w:noProof/>
            <w:webHidden/>
          </w:rPr>
          <w:instrText xml:space="preserve"> PAGEREF _Toc131161802 \h </w:instrText>
        </w:r>
        <w:r w:rsidR="00893989">
          <w:rPr>
            <w:noProof/>
            <w:webHidden/>
          </w:rPr>
        </w:r>
        <w:r w:rsidR="00893989">
          <w:rPr>
            <w:noProof/>
            <w:webHidden/>
          </w:rPr>
          <w:fldChar w:fldCharType="separate"/>
        </w:r>
        <w:r w:rsidR="00893989">
          <w:rPr>
            <w:noProof/>
            <w:webHidden/>
          </w:rPr>
          <w:t>21</w:t>
        </w:r>
        <w:r w:rsidR="00893989">
          <w:rPr>
            <w:noProof/>
            <w:webHidden/>
          </w:rPr>
          <w:fldChar w:fldCharType="end"/>
        </w:r>
      </w:hyperlink>
    </w:p>
    <w:p w14:paraId="0F6F98C3" w14:textId="56FCC976" w:rsidR="00893989" w:rsidRDefault="00000000" w:rsidP="004C726D">
      <w:pPr>
        <w:pStyle w:val="TDC3"/>
        <w:tabs>
          <w:tab w:val="right" w:leader="dot" w:pos="10632"/>
          <w:tab w:val="right" w:leader="dot" w:pos="10790"/>
        </w:tabs>
        <w:spacing w:after="0"/>
        <w:rPr>
          <w:rFonts w:eastAsiaTheme="minorEastAsia"/>
          <w:noProof/>
          <w:lang w:eastAsia="es-MX"/>
        </w:rPr>
      </w:pPr>
      <w:hyperlink w:anchor="_Toc131161803" w:history="1">
        <w:r w:rsidR="00893989" w:rsidRPr="00150137">
          <w:rPr>
            <w:rStyle w:val="Hipervnculo"/>
            <w:rFonts w:ascii="Century Gothic" w:hAnsi="Century Gothic"/>
            <w:noProof/>
          </w:rPr>
          <w:t>III.5.B. Indicadores de precisión de censos</w:t>
        </w:r>
        <w:r w:rsidR="00893989">
          <w:rPr>
            <w:noProof/>
            <w:webHidden/>
          </w:rPr>
          <w:tab/>
        </w:r>
        <w:r w:rsidR="00893989">
          <w:rPr>
            <w:noProof/>
            <w:webHidden/>
          </w:rPr>
          <w:fldChar w:fldCharType="begin"/>
        </w:r>
        <w:r w:rsidR="00893989">
          <w:rPr>
            <w:noProof/>
            <w:webHidden/>
          </w:rPr>
          <w:instrText xml:space="preserve"> PAGEREF _Toc131161803 \h </w:instrText>
        </w:r>
        <w:r w:rsidR="00893989">
          <w:rPr>
            <w:noProof/>
            <w:webHidden/>
          </w:rPr>
        </w:r>
        <w:r w:rsidR="00893989">
          <w:rPr>
            <w:noProof/>
            <w:webHidden/>
          </w:rPr>
          <w:fldChar w:fldCharType="separate"/>
        </w:r>
        <w:r w:rsidR="00893989">
          <w:rPr>
            <w:noProof/>
            <w:webHidden/>
          </w:rPr>
          <w:t>22</w:t>
        </w:r>
        <w:r w:rsidR="00893989">
          <w:rPr>
            <w:noProof/>
            <w:webHidden/>
          </w:rPr>
          <w:fldChar w:fldCharType="end"/>
        </w:r>
      </w:hyperlink>
    </w:p>
    <w:p w14:paraId="47441B53" w14:textId="029A69F7" w:rsidR="00893989" w:rsidRDefault="00000000" w:rsidP="004C726D">
      <w:pPr>
        <w:pStyle w:val="TDC3"/>
        <w:tabs>
          <w:tab w:val="right" w:leader="dot" w:pos="10632"/>
          <w:tab w:val="right" w:leader="dot" w:pos="10790"/>
        </w:tabs>
        <w:spacing w:after="0"/>
        <w:rPr>
          <w:rFonts w:eastAsiaTheme="minorEastAsia"/>
          <w:noProof/>
          <w:lang w:eastAsia="es-MX"/>
        </w:rPr>
      </w:pPr>
      <w:hyperlink w:anchor="_Toc131161804" w:history="1">
        <w:r w:rsidR="00893989" w:rsidRPr="00150137">
          <w:rPr>
            <w:rStyle w:val="Hipervnculo"/>
            <w:rFonts w:ascii="Century Gothic" w:hAnsi="Century Gothic"/>
            <w:noProof/>
          </w:rPr>
          <w:t>III.5.C. Indicadores de precisión de encuestas</w:t>
        </w:r>
        <w:r w:rsidR="00893989">
          <w:rPr>
            <w:noProof/>
            <w:webHidden/>
          </w:rPr>
          <w:tab/>
        </w:r>
        <w:r w:rsidR="00893989">
          <w:rPr>
            <w:noProof/>
            <w:webHidden/>
          </w:rPr>
          <w:fldChar w:fldCharType="begin"/>
        </w:r>
        <w:r w:rsidR="00893989">
          <w:rPr>
            <w:noProof/>
            <w:webHidden/>
          </w:rPr>
          <w:instrText xml:space="preserve"> PAGEREF _Toc131161804 \h </w:instrText>
        </w:r>
        <w:r w:rsidR="00893989">
          <w:rPr>
            <w:noProof/>
            <w:webHidden/>
          </w:rPr>
        </w:r>
        <w:r w:rsidR="00893989">
          <w:rPr>
            <w:noProof/>
            <w:webHidden/>
          </w:rPr>
          <w:fldChar w:fldCharType="separate"/>
        </w:r>
        <w:r w:rsidR="00893989">
          <w:rPr>
            <w:noProof/>
            <w:webHidden/>
          </w:rPr>
          <w:t>22</w:t>
        </w:r>
        <w:r w:rsidR="00893989">
          <w:rPr>
            <w:noProof/>
            <w:webHidden/>
          </w:rPr>
          <w:fldChar w:fldCharType="end"/>
        </w:r>
      </w:hyperlink>
    </w:p>
    <w:p w14:paraId="1AD9189F" w14:textId="498CA24B" w:rsidR="00893989" w:rsidRDefault="00000000" w:rsidP="004C726D">
      <w:pPr>
        <w:pStyle w:val="TDC3"/>
        <w:tabs>
          <w:tab w:val="right" w:leader="dot" w:pos="10632"/>
          <w:tab w:val="right" w:leader="dot" w:pos="10790"/>
        </w:tabs>
        <w:spacing w:after="0"/>
        <w:rPr>
          <w:rFonts w:eastAsiaTheme="minorEastAsia"/>
          <w:noProof/>
          <w:lang w:eastAsia="es-MX"/>
        </w:rPr>
      </w:pPr>
      <w:hyperlink w:anchor="_Toc131161805" w:history="1">
        <w:r w:rsidR="00893989" w:rsidRPr="00150137">
          <w:rPr>
            <w:rStyle w:val="Hipervnculo"/>
            <w:rFonts w:ascii="Century Gothic" w:hAnsi="Century Gothic"/>
            <w:noProof/>
          </w:rPr>
          <w:t>III.5.D. Indicadores de precisión de información geográfica</w:t>
        </w:r>
        <w:r w:rsidR="00893989">
          <w:rPr>
            <w:noProof/>
            <w:webHidden/>
          </w:rPr>
          <w:tab/>
        </w:r>
        <w:r w:rsidR="00893989">
          <w:rPr>
            <w:noProof/>
            <w:webHidden/>
          </w:rPr>
          <w:fldChar w:fldCharType="begin"/>
        </w:r>
        <w:r w:rsidR="00893989">
          <w:rPr>
            <w:noProof/>
            <w:webHidden/>
          </w:rPr>
          <w:instrText xml:space="preserve"> PAGEREF _Toc131161805 \h </w:instrText>
        </w:r>
        <w:r w:rsidR="00893989">
          <w:rPr>
            <w:noProof/>
            <w:webHidden/>
          </w:rPr>
        </w:r>
        <w:r w:rsidR="00893989">
          <w:rPr>
            <w:noProof/>
            <w:webHidden/>
          </w:rPr>
          <w:fldChar w:fldCharType="separate"/>
        </w:r>
        <w:r w:rsidR="00893989">
          <w:rPr>
            <w:noProof/>
            <w:webHidden/>
          </w:rPr>
          <w:t>26</w:t>
        </w:r>
        <w:r w:rsidR="00893989">
          <w:rPr>
            <w:noProof/>
            <w:webHidden/>
          </w:rPr>
          <w:fldChar w:fldCharType="end"/>
        </w:r>
      </w:hyperlink>
    </w:p>
    <w:p w14:paraId="15923A98" w14:textId="28F2FA54"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806" w:history="1">
        <w:r w:rsidR="00893989" w:rsidRPr="00150137">
          <w:rPr>
            <w:rStyle w:val="Hipervnculo"/>
            <w:rFonts w:ascii="Century Gothic" w:hAnsi="Century Gothic" w:cstheme="minorHAnsi"/>
            <w:b/>
            <w:bCs/>
            <w:noProof/>
          </w:rPr>
          <w:t>IV. MODELO DEL PROCESO ESTADÍSTICO Y GEOGRÁFICO (MPEG)</w:t>
        </w:r>
        <w:r w:rsidR="00893989">
          <w:rPr>
            <w:noProof/>
            <w:webHidden/>
          </w:rPr>
          <w:tab/>
        </w:r>
        <w:r w:rsidR="00893989">
          <w:rPr>
            <w:noProof/>
            <w:webHidden/>
          </w:rPr>
          <w:fldChar w:fldCharType="begin"/>
        </w:r>
        <w:r w:rsidR="00893989">
          <w:rPr>
            <w:noProof/>
            <w:webHidden/>
          </w:rPr>
          <w:instrText xml:space="preserve"> PAGEREF _Toc131161806 \h </w:instrText>
        </w:r>
        <w:r w:rsidR="00893989">
          <w:rPr>
            <w:noProof/>
            <w:webHidden/>
          </w:rPr>
        </w:r>
        <w:r w:rsidR="00893989">
          <w:rPr>
            <w:noProof/>
            <w:webHidden/>
          </w:rPr>
          <w:fldChar w:fldCharType="separate"/>
        </w:r>
        <w:r w:rsidR="00893989">
          <w:rPr>
            <w:noProof/>
            <w:webHidden/>
          </w:rPr>
          <w:t>28</w:t>
        </w:r>
        <w:r w:rsidR="00893989">
          <w:rPr>
            <w:noProof/>
            <w:webHidden/>
          </w:rPr>
          <w:fldChar w:fldCharType="end"/>
        </w:r>
      </w:hyperlink>
    </w:p>
    <w:p w14:paraId="25DEA0DA" w14:textId="399AA222" w:rsidR="00893989" w:rsidRDefault="00000000" w:rsidP="004C726D">
      <w:pPr>
        <w:pStyle w:val="TDC2"/>
        <w:tabs>
          <w:tab w:val="right" w:leader="dot" w:pos="10632"/>
        </w:tabs>
        <w:spacing w:after="0"/>
        <w:rPr>
          <w:rFonts w:eastAsiaTheme="minorEastAsia"/>
          <w:noProof/>
          <w:lang w:eastAsia="es-MX"/>
        </w:rPr>
      </w:pPr>
      <w:hyperlink w:anchor="_Toc131161807" w:history="1">
        <w:r w:rsidR="00893989" w:rsidRPr="00150137">
          <w:rPr>
            <w:rStyle w:val="Hipervnculo"/>
            <w:rFonts w:ascii="Century Gothic" w:hAnsi="Century Gothic"/>
            <w:bCs/>
            <w:noProof/>
          </w:rPr>
          <w:t>IV.1. Evidencias registradas en el PTRACKING</w:t>
        </w:r>
        <w:r w:rsidR="00893989">
          <w:rPr>
            <w:noProof/>
            <w:webHidden/>
          </w:rPr>
          <w:tab/>
        </w:r>
        <w:r w:rsidR="00893989">
          <w:rPr>
            <w:noProof/>
            <w:webHidden/>
          </w:rPr>
          <w:fldChar w:fldCharType="begin"/>
        </w:r>
        <w:r w:rsidR="00893989">
          <w:rPr>
            <w:noProof/>
            <w:webHidden/>
          </w:rPr>
          <w:instrText xml:space="preserve"> PAGEREF _Toc131161807 \h </w:instrText>
        </w:r>
        <w:r w:rsidR="00893989">
          <w:rPr>
            <w:noProof/>
            <w:webHidden/>
          </w:rPr>
        </w:r>
        <w:r w:rsidR="00893989">
          <w:rPr>
            <w:noProof/>
            <w:webHidden/>
          </w:rPr>
          <w:fldChar w:fldCharType="separate"/>
        </w:r>
        <w:r w:rsidR="00893989">
          <w:rPr>
            <w:noProof/>
            <w:webHidden/>
          </w:rPr>
          <w:t>28</w:t>
        </w:r>
        <w:r w:rsidR="00893989">
          <w:rPr>
            <w:noProof/>
            <w:webHidden/>
          </w:rPr>
          <w:fldChar w:fldCharType="end"/>
        </w:r>
      </w:hyperlink>
    </w:p>
    <w:p w14:paraId="68CD978C" w14:textId="768CB770" w:rsidR="00893989" w:rsidRDefault="00000000" w:rsidP="004C726D">
      <w:pPr>
        <w:pStyle w:val="TDC2"/>
        <w:tabs>
          <w:tab w:val="right" w:leader="dot" w:pos="10632"/>
        </w:tabs>
        <w:spacing w:after="0"/>
        <w:rPr>
          <w:rFonts w:eastAsiaTheme="minorEastAsia"/>
          <w:noProof/>
          <w:lang w:eastAsia="es-MX"/>
        </w:rPr>
      </w:pPr>
      <w:hyperlink w:anchor="_Toc131161808" w:history="1">
        <w:r w:rsidR="00893989" w:rsidRPr="00150137">
          <w:rPr>
            <w:rStyle w:val="Hipervnculo"/>
            <w:rFonts w:ascii="Century Gothic" w:hAnsi="Century Gothic"/>
            <w:bCs/>
            <w:noProof/>
          </w:rPr>
          <w:t>IV.2. Modelo de Costos por Proceso</w:t>
        </w:r>
        <w:r w:rsidR="00893989">
          <w:rPr>
            <w:noProof/>
            <w:webHidden/>
          </w:rPr>
          <w:tab/>
        </w:r>
        <w:r w:rsidR="00893989">
          <w:rPr>
            <w:noProof/>
            <w:webHidden/>
          </w:rPr>
          <w:fldChar w:fldCharType="begin"/>
        </w:r>
        <w:r w:rsidR="00893989">
          <w:rPr>
            <w:noProof/>
            <w:webHidden/>
          </w:rPr>
          <w:instrText xml:space="preserve"> PAGEREF _Toc131161808 \h </w:instrText>
        </w:r>
        <w:r w:rsidR="00893989">
          <w:rPr>
            <w:noProof/>
            <w:webHidden/>
          </w:rPr>
        </w:r>
        <w:r w:rsidR="00893989">
          <w:rPr>
            <w:noProof/>
            <w:webHidden/>
          </w:rPr>
          <w:fldChar w:fldCharType="separate"/>
        </w:r>
        <w:r w:rsidR="00893989">
          <w:rPr>
            <w:noProof/>
            <w:webHidden/>
          </w:rPr>
          <w:t>30</w:t>
        </w:r>
        <w:r w:rsidR="00893989">
          <w:rPr>
            <w:noProof/>
            <w:webHidden/>
          </w:rPr>
          <w:fldChar w:fldCharType="end"/>
        </w:r>
      </w:hyperlink>
    </w:p>
    <w:p w14:paraId="323BB339" w14:textId="58E8D87E" w:rsidR="00893989" w:rsidRDefault="00000000" w:rsidP="004C726D">
      <w:pPr>
        <w:pStyle w:val="TDC2"/>
        <w:tabs>
          <w:tab w:val="right" w:leader="dot" w:pos="10632"/>
        </w:tabs>
        <w:spacing w:after="0"/>
        <w:rPr>
          <w:rFonts w:eastAsiaTheme="minorEastAsia"/>
          <w:noProof/>
          <w:lang w:eastAsia="es-MX"/>
        </w:rPr>
      </w:pPr>
      <w:hyperlink w:anchor="_Toc131161809" w:history="1">
        <w:r w:rsidR="00893989" w:rsidRPr="00150137">
          <w:rPr>
            <w:rStyle w:val="Hipervnculo"/>
            <w:rFonts w:ascii="Century Gothic" w:hAnsi="Century Gothic"/>
            <w:bCs/>
            <w:noProof/>
          </w:rPr>
          <w:t>IV.3. Seguimiento de cambios</w:t>
        </w:r>
        <w:r w:rsidR="00893989">
          <w:rPr>
            <w:noProof/>
            <w:webHidden/>
          </w:rPr>
          <w:tab/>
        </w:r>
        <w:r w:rsidR="00893989">
          <w:rPr>
            <w:noProof/>
            <w:webHidden/>
          </w:rPr>
          <w:fldChar w:fldCharType="begin"/>
        </w:r>
        <w:r w:rsidR="00893989">
          <w:rPr>
            <w:noProof/>
            <w:webHidden/>
          </w:rPr>
          <w:instrText xml:space="preserve"> PAGEREF _Toc131161809 \h </w:instrText>
        </w:r>
        <w:r w:rsidR="00893989">
          <w:rPr>
            <w:noProof/>
            <w:webHidden/>
          </w:rPr>
        </w:r>
        <w:r w:rsidR="00893989">
          <w:rPr>
            <w:noProof/>
            <w:webHidden/>
          </w:rPr>
          <w:fldChar w:fldCharType="separate"/>
        </w:r>
        <w:r w:rsidR="00893989">
          <w:rPr>
            <w:noProof/>
            <w:webHidden/>
          </w:rPr>
          <w:t>31</w:t>
        </w:r>
        <w:r w:rsidR="00893989">
          <w:rPr>
            <w:noProof/>
            <w:webHidden/>
          </w:rPr>
          <w:fldChar w:fldCharType="end"/>
        </w:r>
      </w:hyperlink>
    </w:p>
    <w:p w14:paraId="3757519F" w14:textId="3374F070"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810" w:history="1">
        <w:r w:rsidR="00893989" w:rsidRPr="00150137">
          <w:rPr>
            <w:rStyle w:val="Hipervnculo"/>
            <w:rFonts w:ascii="Century Gothic" w:hAnsi="Century Gothic" w:cstheme="minorHAnsi"/>
            <w:b/>
            <w:bCs/>
            <w:noProof/>
          </w:rPr>
          <w:t>V. CONCLUSIONES</w:t>
        </w:r>
        <w:r w:rsidR="00893989">
          <w:rPr>
            <w:noProof/>
            <w:webHidden/>
          </w:rPr>
          <w:tab/>
        </w:r>
        <w:r w:rsidR="00893989">
          <w:rPr>
            <w:noProof/>
            <w:webHidden/>
          </w:rPr>
          <w:fldChar w:fldCharType="begin"/>
        </w:r>
        <w:r w:rsidR="00893989">
          <w:rPr>
            <w:noProof/>
            <w:webHidden/>
          </w:rPr>
          <w:instrText xml:space="preserve"> PAGEREF _Toc131161810 \h </w:instrText>
        </w:r>
        <w:r w:rsidR="00893989">
          <w:rPr>
            <w:noProof/>
            <w:webHidden/>
          </w:rPr>
        </w:r>
        <w:r w:rsidR="00893989">
          <w:rPr>
            <w:noProof/>
            <w:webHidden/>
          </w:rPr>
          <w:fldChar w:fldCharType="separate"/>
        </w:r>
        <w:r w:rsidR="00893989">
          <w:rPr>
            <w:noProof/>
            <w:webHidden/>
          </w:rPr>
          <w:t>34</w:t>
        </w:r>
        <w:r w:rsidR="00893989">
          <w:rPr>
            <w:noProof/>
            <w:webHidden/>
          </w:rPr>
          <w:fldChar w:fldCharType="end"/>
        </w:r>
      </w:hyperlink>
    </w:p>
    <w:p w14:paraId="2BE31848" w14:textId="434ED438"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811" w:history="1">
        <w:r w:rsidR="00893989" w:rsidRPr="00150137">
          <w:rPr>
            <w:rStyle w:val="Hipervnculo"/>
            <w:rFonts w:ascii="Century Gothic" w:hAnsi="Century Gothic"/>
            <w:b/>
            <w:bCs/>
            <w:smallCaps/>
            <w:noProof/>
          </w:rPr>
          <w:t>ANEXOS</w:t>
        </w:r>
        <w:r w:rsidR="00893989">
          <w:rPr>
            <w:noProof/>
            <w:webHidden/>
          </w:rPr>
          <w:tab/>
        </w:r>
        <w:r w:rsidR="00893989">
          <w:rPr>
            <w:noProof/>
            <w:webHidden/>
          </w:rPr>
          <w:fldChar w:fldCharType="begin"/>
        </w:r>
        <w:r w:rsidR="00893989">
          <w:rPr>
            <w:noProof/>
            <w:webHidden/>
          </w:rPr>
          <w:instrText xml:space="preserve"> PAGEREF _Toc131161811 \h </w:instrText>
        </w:r>
        <w:r w:rsidR="00893989">
          <w:rPr>
            <w:noProof/>
            <w:webHidden/>
          </w:rPr>
        </w:r>
        <w:r w:rsidR="00893989">
          <w:rPr>
            <w:noProof/>
            <w:webHidden/>
          </w:rPr>
          <w:fldChar w:fldCharType="separate"/>
        </w:r>
        <w:r w:rsidR="00893989">
          <w:rPr>
            <w:noProof/>
            <w:webHidden/>
          </w:rPr>
          <w:t>35</w:t>
        </w:r>
        <w:r w:rsidR="00893989">
          <w:rPr>
            <w:noProof/>
            <w:webHidden/>
          </w:rPr>
          <w:fldChar w:fldCharType="end"/>
        </w:r>
      </w:hyperlink>
    </w:p>
    <w:p w14:paraId="42273BA0" w14:textId="0B0F0389" w:rsidR="00893989" w:rsidRDefault="00000000" w:rsidP="004C726D">
      <w:pPr>
        <w:pStyle w:val="TDC2"/>
        <w:tabs>
          <w:tab w:val="right" w:leader="dot" w:pos="10632"/>
        </w:tabs>
        <w:spacing w:after="0"/>
        <w:rPr>
          <w:rFonts w:eastAsiaTheme="minorEastAsia"/>
          <w:noProof/>
          <w:lang w:eastAsia="es-MX"/>
        </w:rPr>
      </w:pPr>
      <w:hyperlink w:anchor="_Toc131161812" w:history="1">
        <w:r w:rsidR="00893989" w:rsidRPr="00150137">
          <w:rPr>
            <w:rStyle w:val="Hipervnculo"/>
            <w:rFonts w:ascii="Century Gothic" w:hAnsi="Century Gothic"/>
            <w:bCs/>
            <w:noProof/>
          </w:rPr>
          <w:t>Anexo 1: Marco conceptual e insumos para el cálculo de los indicadores de pertinencia</w:t>
        </w:r>
        <w:r w:rsidR="00893989">
          <w:rPr>
            <w:noProof/>
            <w:webHidden/>
          </w:rPr>
          <w:tab/>
        </w:r>
        <w:r w:rsidR="00893989">
          <w:rPr>
            <w:noProof/>
            <w:webHidden/>
          </w:rPr>
          <w:fldChar w:fldCharType="begin"/>
        </w:r>
        <w:r w:rsidR="00893989">
          <w:rPr>
            <w:noProof/>
            <w:webHidden/>
          </w:rPr>
          <w:instrText xml:space="preserve"> PAGEREF _Toc131161812 \h </w:instrText>
        </w:r>
        <w:r w:rsidR="00893989">
          <w:rPr>
            <w:noProof/>
            <w:webHidden/>
          </w:rPr>
        </w:r>
        <w:r w:rsidR="00893989">
          <w:rPr>
            <w:noProof/>
            <w:webHidden/>
          </w:rPr>
          <w:fldChar w:fldCharType="separate"/>
        </w:r>
        <w:r w:rsidR="00893989">
          <w:rPr>
            <w:noProof/>
            <w:webHidden/>
          </w:rPr>
          <w:t>37</w:t>
        </w:r>
        <w:r w:rsidR="00893989">
          <w:rPr>
            <w:noProof/>
            <w:webHidden/>
          </w:rPr>
          <w:fldChar w:fldCharType="end"/>
        </w:r>
      </w:hyperlink>
    </w:p>
    <w:p w14:paraId="76274F2D" w14:textId="45E3BE0D" w:rsidR="00893989" w:rsidRDefault="00000000" w:rsidP="004C726D">
      <w:pPr>
        <w:pStyle w:val="TDC2"/>
        <w:tabs>
          <w:tab w:val="right" w:leader="dot" w:pos="10632"/>
        </w:tabs>
        <w:spacing w:after="0"/>
        <w:rPr>
          <w:rFonts w:eastAsiaTheme="minorEastAsia"/>
          <w:noProof/>
          <w:lang w:eastAsia="es-MX"/>
        </w:rPr>
      </w:pPr>
      <w:hyperlink w:anchor="_Toc131161813" w:history="1">
        <w:r w:rsidR="00893989" w:rsidRPr="00150137">
          <w:rPr>
            <w:rStyle w:val="Hipervnculo"/>
            <w:rFonts w:ascii="Century Gothic" w:hAnsi="Century Gothic"/>
            <w:bCs/>
            <w:noProof/>
          </w:rPr>
          <w:t>Anexo 2: Matriz de parámetros de oportunidad 2022</w:t>
        </w:r>
        <w:r w:rsidR="00893989">
          <w:rPr>
            <w:noProof/>
            <w:webHidden/>
          </w:rPr>
          <w:tab/>
        </w:r>
        <w:r w:rsidR="00893989">
          <w:rPr>
            <w:noProof/>
            <w:webHidden/>
          </w:rPr>
          <w:fldChar w:fldCharType="begin"/>
        </w:r>
        <w:r w:rsidR="00893989">
          <w:rPr>
            <w:noProof/>
            <w:webHidden/>
          </w:rPr>
          <w:instrText xml:space="preserve"> PAGEREF _Toc131161813 \h </w:instrText>
        </w:r>
        <w:r w:rsidR="00893989">
          <w:rPr>
            <w:noProof/>
            <w:webHidden/>
          </w:rPr>
        </w:r>
        <w:r w:rsidR="00893989">
          <w:rPr>
            <w:noProof/>
            <w:webHidden/>
          </w:rPr>
          <w:fldChar w:fldCharType="separate"/>
        </w:r>
        <w:r w:rsidR="00893989">
          <w:rPr>
            <w:noProof/>
            <w:webHidden/>
          </w:rPr>
          <w:t>46</w:t>
        </w:r>
        <w:r w:rsidR="00893989">
          <w:rPr>
            <w:noProof/>
            <w:webHidden/>
          </w:rPr>
          <w:fldChar w:fldCharType="end"/>
        </w:r>
      </w:hyperlink>
    </w:p>
    <w:p w14:paraId="5D155A52" w14:textId="39710867" w:rsidR="00893989" w:rsidRDefault="00000000" w:rsidP="004C726D">
      <w:pPr>
        <w:pStyle w:val="TDC2"/>
        <w:tabs>
          <w:tab w:val="right" w:leader="dot" w:pos="10632"/>
        </w:tabs>
        <w:spacing w:after="0"/>
        <w:rPr>
          <w:rFonts w:eastAsiaTheme="minorEastAsia"/>
          <w:noProof/>
          <w:lang w:eastAsia="es-MX"/>
        </w:rPr>
      </w:pPr>
      <w:hyperlink w:anchor="_Toc131161814" w:history="1">
        <w:r w:rsidR="00893989" w:rsidRPr="00150137">
          <w:rPr>
            <w:rStyle w:val="Hipervnculo"/>
            <w:rFonts w:ascii="Century Gothic" w:hAnsi="Century Gothic"/>
            <w:bCs/>
            <w:noProof/>
          </w:rPr>
          <w:t>Anexo 3: Marco conceptual y resultados de indicadores para procesos de producción cuyo insumo son registros administrativos</w:t>
        </w:r>
        <w:r w:rsidR="00893989">
          <w:rPr>
            <w:noProof/>
            <w:webHidden/>
          </w:rPr>
          <w:tab/>
        </w:r>
        <w:r w:rsidR="00893989">
          <w:rPr>
            <w:noProof/>
            <w:webHidden/>
          </w:rPr>
          <w:fldChar w:fldCharType="begin"/>
        </w:r>
        <w:r w:rsidR="00893989">
          <w:rPr>
            <w:noProof/>
            <w:webHidden/>
          </w:rPr>
          <w:instrText xml:space="preserve"> PAGEREF _Toc131161814 \h </w:instrText>
        </w:r>
        <w:r w:rsidR="00893989">
          <w:rPr>
            <w:noProof/>
            <w:webHidden/>
          </w:rPr>
        </w:r>
        <w:r w:rsidR="00893989">
          <w:rPr>
            <w:noProof/>
            <w:webHidden/>
          </w:rPr>
          <w:fldChar w:fldCharType="separate"/>
        </w:r>
        <w:r w:rsidR="00893989">
          <w:rPr>
            <w:noProof/>
            <w:webHidden/>
          </w:rPr>
          <w:t>50</w:t>
        </w:r>
        <w:r w:rsidR="00893989">
          <w:rPr>
            <w:noProof/>
            <w:webHidden/>
          </w:rPr>
          <w:fldChar w:fldCharType="end"/>
        </w:r>
      </w:hyperlink>
    </w:p>
    <w:p w14:paraId="1736E810" w14:textId="383CD8FC" w:rsidR="00893989" w:rsidRDefault="00000000" w:rsidP="004C726D">
      <w:pPr>
        <w:pStyle w:val="TDC2"/>
        <w:tabs>
          <w:tab w:val="right" w:leader="dot" w:pos="10632"/>
        </w:tabs>
        <w:spacing w:after="0"/>
        <w:rPr>
          <w:rFonts w:eastAsiaTheme="minorEastAsia"/>
          <w:noProof/>
          <w:lang w:eastAsia="es-MX"/>
        </w:rPr>
      </w:pPr>
      <w:hyperlink w:anchor="_Toc131161815" w:history="1">
        <w:r w:rsidR="00893989" w:rsidRPr="00150137">
          <w:rPr>
            <w:rStyle w:val="Hipervnculo"/>
            <w:rFonts w:ascii="Century Gothic" w:hAnsi="Century Gothic"/>
            <w:bCs/>
            <w:noProof/>
          </w:rPr>
          <w:t>Anexo 4: Indicadores de precisión y confiabilidad para censos</w:t>
        </w:r>
        <w:r w:rsidR="00893989">
          <w:rPr>
            <w:noProof/>
            <w:webHidden/>
          </w:rPr>
          <w:tab/>
        </w:r>
        <w:r w:rsidR="00893989">
          <w:rPr>
            <w:noProof/>
            <w:webHidden/>
          </w:rPr>
          <w:fldChar w:fldCharType="begin"/>
        </w:r>
        <w:r w:rsidR="00893989">
          <w:rPr>
            <w:noProof/>
            <w:webHidden/>
          </w:rPr>
          <w:instrText xml:space="preserve"> PAGEREF _Toc131161815 \h </w:instrText>
        </w:r>
        <w:r w:rsidR="00893989">
          <w:rPr>
            <w:noProof/>
            <w:webHidden/>
          </w:rPr>
        </w:r>
        <w:r w:rsidR="00893989">
          <w:rPr>
            <w:noProof/>
            <w:webHidden/>
          </w:rPr>
          <w:fldChar w:fldCharType="separate"/>
        </w:r>
        <w:r w:rsidR="00893989">
          <w:rPr>
            <w:noProof/>
            <w:webHidden/>
          </w:rPr>
          <w:t>57</w:t>
        </w:r>
        <w:r w:rsidR="00893989">
          <w:rPr>
            <w:noProof/>
            <w:webHidden/>
          </w:rPr>
          <w:fldChar w:fldCharType="end"/>
        </w:r>
      </w:hyperlink>
    </w:p>
    <w:p w14:paraId="30717359" w14:textId="26A85C09" w:rsidR="00893989" w:rsidRDefault="00000000" w:rsidP="004C726D">
      <w:pPr>
        <w:pStyle w:val="TDC2"/>
        <w:tabs>
          <w:tab w:val="right" w:leader="dot" w:pos="10632"/>
        </w:tabs>
        <w:spacing w:after="0"/>
        <w:rPr>
          <w:rFonts w:eastAsiaTheme="minorEastAsia"/>
          <w:noProof/>
          <w:lang w:eastAsia="es-MX"/>
        </w:rPr>
      </w:pPr>
      <w:hyperlink w:anchor="_Toc131161816" w:history="1">
        <w:r w:rsidR="00893989" w:rsidRPr="00150137">
          <w:rPr>
            <w:rStyle w:val="Hipervnculo"/>
            <w:rFonts w:ascii="Century Gothic" w:hAnsi="Century Gothic"/>
            <w:noProof/>
          </w:rPr>
          <w:t>Anexo 5: Resultados de los indicadores de precisión y confiabilidad en encuestas</w:t>
        </w:r>
        <w:r w:rsidR="00893989">
          <w:rPr>
            <w:noProof/>
            <w:webHidden/>
          </w:rPr>
          <w:tab/>
        </w:r>
        <w:r w:rsidR="00893989">
          <w:rPr>
            <w:noProof/>
            <w:webHidden/>
          </w:rPr>
          <w:fldChar w:fldCharType="begin"/>
        </w:r>
        <w:r w:rsidR="00893989">
          <w:rPr>
            <w:noProof/>
            <w:webHidden/>
          </w:rPr>
          <w:instrText xml:space="preserve"> PAGEREF _Toc131161816 \h </w:instrText>
        </w:r>
        <w:r w:rsidR="00893989">
          <w:rPr>
            <w:noProof/>
            <w:webHidden/>
          </w:rPr>
        </w:r>
        <w:r w:rsidR="00893989">
          <w:rPr>
            <w:noProof/>
            <w:webHidden/>
          </w:rPr>
          <w:fldChar w:fldCharType="separate"/>
        </w:r>
        <w:r w:rsidR="00893989">
          <w:rPr>
            <w:noProof/>
            <w:webHidden/>
          </w:rPr>
          <w:t>66</w:t>
        </w:r>
        <w:r w:rsidR="00893989">
          <w:rPr>
            <w:noProof/>
            <w:webHidden/>
          </w:rPr>
          <w:fldChar w:fldCharType="end"/>
        </w:r>
      </w:hyperlink>
    </w:p>
    <w:p w14:paraId="0B62E664" w14:textId="0A3C3C00" w:rsidR="00893989" w:rsidRDefault="00000000" w:rsidP="004C726D">
      <w:pPr>
        <w:pStyle w:val="TDC2"/>
        <w:tabs>
          <w:tab w:val="right" w:leader="dot" w:pos="10632"/>
        </w:tabs>
        <w:spacing w:after="0"/>
        <w:rPr>
          <w:rFonts w:eastAsiaTheme="minorEastAsia"/>
          <w:noProof/>
          <w:lang w:eastAsia="es-MX"/>
        </w:rPr>
      </w:pPr>
      <w:hyperlink w:anchor="_Toc131161817" w:history="1">
        <w:r w:rsidR="00893989" w:rsidRPr="00150137">
          <w:rPr>
            <w:rStyle w:val="Hipervnculo"/>
            <w:rFonts w:ascii="Century Gothic" w:hAnsi="Century Gothic"/>
            <w:bCs/>
            <w:noProof/>
          </w:rPr>
          <w:t>Anexo 6: Indicadores-Objetivo</w:t>
        </w:r>
        <w:r w:rsidR="00893989">
          <w:rPr>
            <w:noProof/>
            <w:webHidden/>
          </w:rPr>
          <w:tab/>
        </w:r>
        <w:r w:rsidR="00893989">
          <w:rPr>
            <w:noProof/>
            <w:webHidden/>
          </w:rPr>
          <w:fldChar w:fldCharType="begin"/>
        </w:r>
        <w:r w:rsidR="00893989">
          <w:rPr>
            <w:noProof/>
            <w:webHidden/>
          </w:rPr>
          <w:instrText xml:space="preserve"> PAGEREF _Toc131161817 \h </w:instrText>
        </w:r>
        <w:r w:rsidR="00893989">
          <w:rPr>
            <w:noProof/>
            <w:webHidden/>
          </w:rPr>
        </w:r>
        <w:r w:rsidR="00893989">
          <w:rPr>
            <w:noProof/>
            <w:webHidden/>
          </w:rPr>
          <w:fldChar w:fldCharType="separate"/>
        </w:r>
        <w:r w:rsidR="00893989">
          <w:rPr>
            <w:noProof/>
            <w:webHidden/>
          </w:rPr>
          <w:t>79</w:t>
        </w:r>
        <w:r w:rsidR="00893989">
          <w:rPr>
            <w:noProof/>
            <w:webHidden/>
          </w:rPr>
          <w:fldChar w:fldCharType="end"/>
        </w:r>
      </w:hyperlink>
    </w:p>
    <w:p w14:paraId="6C2D419F" w14:textId="28EBCF50" w:rsidR="00893989" w:rsidRDefault="00000000" w:rsidP="004C726D">
      <w:pPr>
        <w:pStyle w:val="TDC2"/>
        <w:tabs>
          <w:tab w:val="right" w:leader="dot" w:pos="10632"/>
        </w:tabs>
        <w:spacing w:after="0"/>
        <w:rPr>
          <w:rFonts w:eastAsiaTheme="minorEastAsia"/>
          <w:noProof/>
          <w:lang w:eastAsia="es-MX"/>
        </w:rPr>
      </w:pPr>
      <w:hyperlink w:anchor="_Toc131161818" w:history="1">
        <w:r w:rsidR="00893989" w:rsidRPr="00150137">
          <w:rPr>
            <w:rStyle w:val="Hipervnculo"/>
            <w:rFonts w:ascii="Century Gothic" w:hAnsi="Century Gothic"/>
            <w:bCs/>
            <w:noProof/>
          </w:rPr>
          <w:t>Anexo 7: Costos por proceso y fase</w:t>
        </w:r>
        <w:r w:rsidR="00893989">
          <w:rPr>
            <w:noProof/>
            <w:webHidden/>
          </w:rPr>
          <w:tab/>
        </w:r>
        <w:r w:rsidR="00893989">
          <w:rPr>
            <w:noProof/>
            <w:webHidden/>
          </w:rPr>
          <w:fldChar w:fldCharType="begin"/>
        </w:r>
        <w:r w:rsidR="00893989">
          <w:rPr>
            <w:noProof/>
            <w:webHidden/>
          </w:rPr>
          <w:instrText xml:space="preserve"> PAGEREF _Toc131161818 \h </w:instrText>
        </w:r>
        <w:r w:rsidR="00893989">
          <w:rPr>
            <w:noProof/>
            <w:webHidden/>
          </w:rPr>
        </w:r>
        <w:r w:rsidR="00893989">
          <w:rPr>
            <w:noProof/>
            <w:webHidden/>
          </w:rPr>
          <w:fldChar w:fldCharType="separate"/>
        </w:r>
        <w:r w:rsidR="00893989">
          <w:rPr>
            <w:noProof/>
            <w:webHidden/>
          </w:rPr>
          <w:t>90</w:t>
        </w:r>
        <w:r w:rsidR="00893989">
          <w:rPr>
            <w:noProof/>
            <w:webHidden/>
          </w:rPr>
          <w:fldChar w:fldCharType="end"/>
        </w:r>
      </w:hyperlink>
    </w:p>
    <w:p w14:paraId="1F3B72EA" w14:textId="5061D18D" w:rsidR="00893989" w:rsidRDefault="00000000" w:rsidP="004C726D">
      <w:pPr>
        <w:pStyle w:val="TDC2"/>
        <w:tabs>
          <w:tab w:val="right" w:leader="dot" w:pos="10632"/>
        </w:tabs>
        <w:spacing w:after="0"/>
        <w:rPr>
          <w:rFonts w:eastAsiaTheme="minorEastAsia"/>
          <w:noProof/>
          <w:lang w:eastAsia="es-MX"/>
        </w:rPr>
      </w:pPr>
      <w:hyperlink w:anchor="_Toc131161819" w:history="1">
        <w:r w:rsidR="00893989" w:rsidRPr="00150137">
          <w:rPr>
            <w:rStyle w:val="Hipervnculo"/>
            <w:rFonts w:ascii="Century Gothic" w:hAnsi="Century Gothic"/>
            <w:bCs/>
            <w:noProof/>
          </w:rPr>
          <w:t>Anexo 8: Registros en el Sistema de Seguimiento de Cambios</w:t>
        </w:r>
        <w:r w:rsidR="00893989">
          <w:rPr>
            <w:noProof/>
            <w:webHidden/>
          </w:rPr>
          <w:tab/>
        </w:r>
        <w:r w:rsidR="00893989">
          <w:rPr>
            <w:noProof/>
            <w:webHidden/>
          </w:rPr>
          <w:fldChar w:fldCharType="begin"/>
        </w:r>
        <w:r w:rsidR="00893989">
          <w:rPr>
            <w:noProof/>
            <w:webHidden/>
          </w:rPr>
          <w:instrText xml:space="preserve"> PAGEREF _Toc131161819 \h </w:instrText>
        </w:r>
        <w:r w:rsidR="00893989">
          <w:rPr>
            <w:noProof/>
            <w:webHidden/>
          </w:rPr>
        </w:r>
        <w:r w:rsidR="00893989">
          <w:rPr>
            <w:noProof/>
            <w:webHidden/>
          </w:rPr>
          <w:fldChar w:fldCharType="separate"/>
        </w:r>
        <w:r w:rsidR="00893989">
          <w:rPr>
            <w:noProof/>
            <w:webHidden/>
          </w:rPr>
          <w:t>95</w:t>
        </w:r>
        <w:r w:rsidR="00893989">
          <w:rPr>
            <w:noProof/>
            <w:webHidden/>
          </w:rPr>
          <w:fldChar w:fldCharType="end"/>
        </w:r>
      </w:hyperlink>
    </w:p>
    <w:p w14:paraId="46B4421D" w14:textId="565C7462"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820" w:history="1">
        <w:r w:rsidR="00893989" w:rsidRPr="00150137">
          <w:rPr>
            <w:rStyle w:val="Hipervnculo"/>
            <w:rFonts w:ascii="Century Gothic" w:hAnsi="Century Gothic"/>
            <w:smallCaps/>
            <w:noProof/>
          </w:rPr>
          <w:t>GLOSARIO DE ACRÓNIMOS</w:t>
        </w:r>
        <w:r w:rsidR="00893989">
          <w:rPr>
            <w:noProof/>
            <w:webHidden/>
          </w:rPr>
          <w:tab/>
        </w:r>
        <w:r w:rsidR="00893989">
          <w:rPr>
            <w:noProof/>
            <w:webHidden/>
          </w:rPr>
          <w:fldChar w:fldCharType="begin"/>
        </w:r>
        <w:r w:rsidR="00893989">
          <w:rPr>
            <w:noProof/>
            <w:webHidden/>
          </w:rPr>
          <w:instrText xml:space="preserve"> PAGEREF _Toc131161820 \h </w:instrText>
        </w:r>
        <w:r w:rsidR="00893989">
          <w:rPr>
            <w:noProof/>
            <w:webHidden/>
          </w:rPr>
        </w:r>
        <w:r w:rsidR="00893989">
          <w:rPr>
            <w:noProof/>
            <w:webHidden/>
          </w:rPr>
          <w:fldChar w:fldCharType="separate"/>
        </w:r>
        <w:r w:rsidR="00893989">
          <w:rPr>
            <w:noProof/>
            <w:webHidden/>
          </w:rPr>
          <w:t>99</w:t>
        </w:r>
        <w:r w:rsidR="00893989">
          <w:rPr>
            <w:noProof/>
            <w:webHidden/>
          </w:rPr>
          <w:fldChar w:fldCharType="end"/>
        </w:r>
      </w:hyperlink>
    </w:p>
    <w:p w14:paraId="0C593AD7" w14:textId="37840952" w:rsidR="00893989" w:rsidRDefault="00000000" w:rsidP="004C726D">
      <w:pPr>
        <w:pStyle w:val="TDC1"/>
        <w:tabs>
          <w:tab w:val="clear" w:pos="10490"/>
          <w:tab w:val="right" w:leader="dot" w:pos="10632"/>
        </w:tabs>
        <w:spacing w:before="0" w:after="0"/>
        <w:rPr>
          <w:rFonts w:eastAsiaTheme="minorEastAsia"/>
          <w:noProof/>
          <w:lang w:eastAsia="es-MX"/>
        </w:rPr>
      </w:pPr>
      <w:hyperlink w:anchor="_Toc131161821" w:history="1">
        <w:r w:rsidR="00893989" w:rsidRPr="00150137">
          <w:rPr>
            <w:rStyle w:val="Hipervnculo"/>
            <w:rFonts w:ascii="Century Gothic" w:hAnsi="Century Gothic"/>
            <w:smallCaps/>
            <w:noProof/>
          </w:rPr>
          <w:t>GLOSARIO DE  TÉRMINOS</w:t>
        </w:r>
        <w:r w:rsidR="00893989">
          <w:rPr>
            <w:noProof/>
            <w:webHidden/>
          </w:rPr>
          <w:tab/>
        </w:r>
        <w:r w:rsidR="00893989">
          <w:rPr>
            <w:noProof/>
            <w:webHidden/>
          </w:rPr>
          <w:fldChar w:fldCharType="begin"/>
        </w:r>
        <w:r w:rsidR="00893989">
          <w:rPr>
            <w:noProof/>
            <w:webHidden/>
          </w:rPr>
          <w:instrText xml:space="preserve"> PAGEREF _Toc131161821 \h </w:instrText>
        </w:r>
        <w:r w:rsidR="00893989">
          <w:rPr>
            <w:noProof/>
            <w:webHidden/>
          </w:rPr>
        </w:r>
        <w:r w:rsidR="00893989">
          <w:rPr>
            <w:noProof/>
            <w:webHidden/>
          </w:rPr>
          <w:fldChar w:fldCharType="separate"/>
        </w:r>
        <w:r w:rsidR="00893989">
          <w:rPr>
            <w:noProof/>
            <w:webHidden/>
          </w:rPr>
          <w:t>101</w:t>
        </w:r>
        <w:r w:rsidR="00893989">
          <w:rPr>
            <w:noProof/>
            <w:webHidden/>
          </w:rPr>
          <w:fldChar w:fldCharType="end"/>
        </w:r>
      </w:hyperlink>
    </w:p>
    <w:p w14:paraId="13C44493" w14:textId="5632F796" w:rsidR="00FE5D49" w:rsidRPr="009A501D" w:rsidRDefault="00252CA7" w:rsidP="001A1E22">
      <w:pPr>
        <w:tabs>
          <w:tab w:val="right" w:leader="dot" w:pos="10490"/>
          <w:tab w:val="right" w:leader="dot" w:pos="10632"/>
        </w:tabs>
        <w:spacing w:after="0" w:line="240" w:lineRule="auto"/>
        <w:rPr>
          <w:rFonts w:ascii="Century Gothic" w:hAnsi="Century Gothic"/>
          <w:sz w:val="18"/>
          <w:szCs w:val="18"/>
        </w:rPr>
      </w:pPr>
      <w:r w:rsidRPr="009A501D">
        <w:rPr>
          <w:rFonts w:ascii="Century Gothic" w:hAnsi="Century Gothic" w:cstheme="minorHAnsi"/>
          <w:b/>
          <w:bCs/>
          <w:color w:val="0079BF"/>
          <w:sz w:val="18"/>
          <w:szCs w:val="18"/>
        </w:rPr>
        <w:fldChar w:fldCharType="end"/>
      </w:r>
      <w:r w:rsidR="00FE5D49" w:rsidRPr="009A501D">
        <w:rPr>
          <w:rFonts w:ascii="Century Gothic" w:hAnsi="Century Gothic"/>
          <w:sz w:val="18"/>
          <w:szCs w:val="18"/>
        </w:rPr>
        <w:br w:type="page"/>
      </w:r>
    </w:p>
    <w:p w14:paraId="2EE9DD9B" w14:textId="08E5FC3D" w:rsidR="001F4D54" w:rsidRPr="009A501D" w:rsidRDefault="00714614" w:rsidP="001F4D54">
      <w:pPr>
        <w:pStyle w:val="Ttulo1"/>
        <w:jc w:val="right"/>
        <w:rPr>
          <w:rFonts w:ascii="Century Gothic" w:hAnsi="Century Gothic" w:cstheme="minorHAnsi"/>
          <w:b/>
          <w:bCs/>
          <w:color w:val="002060"/>
        </w:rPr>
      </w:pPr>
      <w:bookmarkStart w:id="0" w:name="_Toc131161791"/>
      <w:r w:rsidRPr="009A501D">
        <w:rPr>
          <w:rFonts w:ascii="Century Gothic" w:hAnsi="Century Gothic" w:cstheme="minorHAnsi"/>
          <w:b/>
          <w:bCs/>
          <w:color w:val="002060"/>
        </w:rPr>
        <w:lastRenderedPageBreak/>
        <w:t>I. INTRODUCCIÓN</w:t>
      </w:r>
      <w:bookmarkEnd w:id="0"/>
    </w:p>
    <w:p w14:paraId="5F9482FD" w14:textId="5AAA3F02" w:rsidR="00E66136" w:rsidRPr="009A501D" w:rsidRDefault="005823E5" w:rsidP="00C47A98">
      <w:pPr>
        <w:spacing w:before="240"/>
        <w:jc w:val="both"/>
        <w:rPr>
          <w:rFonts w:ascii="Century Gothic" w:hAnsi="Century Gothic"/>
          <w:sz w:val="19"/>
          <w:szCs w:val="19"/>
        </w:rPr>
      </w:pPr>
      <w:r w:rsidRPr="009A501D">
        <w:rPr>
          <w:rFonts w:ascii="Century Gothic" w:hAnsi="Century Gothic"/>
          <w:sz w:val="19"/>
          <w:szCs w:val="19"/>
        </w:rPr>
        <w:t>El Comité de Aseguramiento de la Calidad (</w:t>
      </w:r>
      <w:r w:rsidR="001F4D54" w:rsidRPr="009A501D">
        <w:rPr>
          <w:rFonts w:ascii="Century Gothic" w:hAnsi="Century Gothic"/>
          <w:sz w:val="19"/>
          <w:szCs w:val="19"/>
        </w:rPr>
        <w:t xml:space="preserve">en lo sucesivo, </w:t>
      </w:r>
      <w:r w:rsidRPr="009A501D">
        <w:rPr>
          <w:rFonts w:ascii="Century Gothic" w:hAnsi="Century Gothic"/>
          <w:sz w:val="19"/>
          <w:szCs w:val="19"/>
        </w:rPr>
        <w:t>Comité) del Instituto Nacional de Estadística y Geografía (INEGI)</w:t>
      </w:r>
      <w:r w:rsidR="00834117" w:rsidRPr="009A501D">
        <w:rPr>
          <w:rFonts w:ascii="Century Gothic" w:hAnsi="Century Gothic"/>
          <w:sz w:val="19"/>
          <w:szCs w:val="19"/>
        </w:rPr>
        <w:t>, creado</w:t>
      </w:r>
      <w:r w:rsidRPr="009A501D">
        <w:rPr>
          <w:rFonts w:ascii="Century Gothic" w:hAnsi="Century Gothic"/>
          <w:sz w:val="19"/>
          <w:szCs w:val="19"/>
        </w:rPr>
        <w:t xml:space="preserve"> en 2015</w:t>
      </w:r>
      <w:r w:rsidR="002B2C11" w:rsidRPr="009A501D">
        <w:rPr>
          <w:rFonts w:ascii="Century Gothic" w:hAnsi="Century Gothic"/>
          <w:sz w:val="19"/>
          <w:szCs w:val="19"/>
        </w:rPr>
        <w:t xml:space="preserve">, </w:t>
      </w:r>
      <w:r w:rsidR="00774203" w:rsidRPr="009A501D">
        <w:rPr>
          <w:rFonts w:ascii="Century Gothic" w:hAnsi="Century Gothic"/>
          <w:sz w:val="19"/>
          <w:szCs w:val="19"/>
        </w:rPr>
        <w:t xml:space="preserve">es </w:t>
      </w:r>
      <w:r w:rsidR="007E5549" w:rsidRPr="009A501D">
        <w:rPr>
          <w:rFonts w:ascii="Century Gothic" w:hAnsi="Century Gothic"/>
          <w:sz w:val="19"/>
          <w:szCs w:val="19"/>
        </w:rPr>
        <w:t>encabezado</w:t>
      </w:r>
      <w:r w:rsidR="00774203" w:rsidRPr="009A501D">
        <w:rPr>
          <w:rFonts w:ascii="Century Gothic" w:hAnsi="Century Gothic"/>
          <w:sz w:val="19"/>
          <w:szCs w:val="19"/>
        </w:rPr>
        <w:t xml:space="preserve"> por l</w:t>
      </w:r>
      <w:r w:rsidR="00BF347F" w:rsidRPr="009A501D">
        <w:rPr>
          <w:rFonts w:ascii="Century Gothic" w:hAnsi="Century Gothic"/>
          <w:sz w:val="19"/>
          <w:szCs w:val="19"/>
        </w:rPr>
        <w:t>a</w:t>
      </w:r>
      <w:r w:rsidR="00774203" w:rsidRPr="009A501D">
        <w:rPr>
          <w:rFonts w:ascii="Century Gothic" w:hAnsi="Century Gothic"/>
          <w:sz w:val="19"/>
          <w:szCs w:val="19"/>
        </w:rPr>
        <w:t xml:space="preserve"> </w:t>
      </w:r>
      <w:r w:rsidR="00834117" w:rsidRPr="009A501D">
        <w:rPr>
          <w:rFonts w:ascii="Century Gothic" w:hAnsi="Century Gothic"/>
          <w:sz w:val="19"/>
          <w:szCs w:val="19"/>
        </w:rPr>
        <w:t>p</w:t>
      </w:r>
      <w:r w:rsidR="00774203" w:rsidRPr="009A501D">
        <w:rPr>
          <w:rFonts w:ascii="Century Gothic" w:hAnsi="Century Gothic"/>
          <w:sz w:val="19"/>
          <w:szCs w:val="19"/>
        </w:rPr>
        <w:t>residen</w:t>
      </w:r>
      <w:r w:rsidR="00E5195D" w:rsidRPr="009A501D">
        <w:rPr>
          <w:rFonts w:ascii="Century Gothic" w:hAnsi="Century Gothic"/>
          <w:sz w:val="19"/>
          <w:szCs w:val="19"/>
        </w:rPr>
        <w:t>cia</w:t>
      </w:r>
      <w:r w:rsidR="00774203" w:rsidRPr="009A501D">
        <w:rPr>
          <w:rFonts w:ascii="Century Gothic" w:hAnsi="Century Gothic"/>
          <w:sz w:val="19"/>
          <w:szCs w:val="19"/>
        </w:rPr>
        <w:t xml:space="preserve"> del Instituto</w:t>
      </w:r>
      <w:r w:rsidR="00834117" w:rsidRPr="009A501D">
        <w:rPr>
          <w:rFonts w:ascii="Century Gothic" w:hAnsi="Century Gothic"/>
          <w:sz w:val="19"/>
          <w:szCs w:val="19"/>
        </w:rPr>
        <w:t xml:space="preserve"> y </w:t>
      </w:r>
      <w:r w:rsidR="00AA7655" w:rsidRPr="009A501D">
        <w:rPr>
          <w:rFonts w:ascii="Century Gothic" w:hAnsi="Century Gothic"/>
          <w:sz w:val="19"/>
          <w:szCs w:val="19"/>
        </w:rPr>
        <w:t xml:space="preserve">fungen como vocales </w:t>
      </w:r>
      <w:r w:rsidR="00834117" w:rsidRPr="009A501D">
        <w:rPr>
          <w:rFonts w:ascii="Century Gothic" w:hAnsi="Century Gothic"/>
          <w:sz w:val="19"/>
          <w:szCs w:val="19"/>
        </w:rPr>
        <w:t>las</w:t>
      </w:r>
      <w:r w:rsidR="00774203" w:rsidRPr="009A501D">
        <w:rPr>
          <w:rFonts w:ascii="Century Gothic" w:hAnsi="Century Gothic"/>
          <w:sz w:val="19"/>
          <w:szCs w:val="19"/>
        </w:rPr>
        <w:t xml:space="preserve"> </w:t>
      </w:r>
      <w:r w:rsidR="00E5195D" w:rsidRPr="009A501D">
        <w:rPr>
          <w:rFonts w:ascii="Century Gothic" w:hAnsi="Century Gothic"/>
          <w:sz w:val="19"/>
          <w:szCs w:val="19"/>
        </w:rPr>
        <w:t>dire</w:t>
      </w:r>
      <w:r w:rsidR="00834117" w:rsidRPr="009A501D">
        <w:rPr>
          <w:rFonts w:ascii="Century Gothic" w:hAnsi="Century Gothic"/>
          <w:sz w:val="19"/>
          <w:szCs w:val="19"/>
        </w:rPr>
        <w:t>cciones</w:t>
      </w:r>
      <w:r w:rsidR="00E5195D" w:rsidRPr="009A501D">
        <w:rPr>
          <w:rFonts w:ascii="Century Gothic" w:hAnsi="Century Gothic"/>
          <w:sz w:val="19"/>
          <w:szCs w:val="19"/>
        </w:rPr>
        <w:t xml:space="preserve"> </w:t>
      </w:r>
      <w:r w:rsidR="00774203" w:rsidRPr="009A501D">
        <w:rPr>
          <w:rFonts w:ascii="Century Gothic" w:hAnsi="Century Gothic"/>
          <w:sz w:val="19"/>
          <w:szCs w:val="19"/>
        </w:rPr>
        <w:t xml:space="preserve">y </w:t>
      </w:r>
      <w:r w:rsidR="00E5195D" w:rsidRPr="009A501D">
        <w:rPr>
          <w:rFonts w:ascii="Century Gothic" w:hAnsi="Century Gothic"/>
          <w:sz w:val="19"/>
          <w:szCs w:val="19"/>
        </w:rPr>
        <w:t>c</w:t>
      </w:r>
      <w:r w:rsidR="00774203" w:rsidRPr="009A501D">
        <w:rPr>
          <w:rFonts w:ascii="Century Gothic" w:hAnsi="Century Gothic"/>
          <w:sz w:val="19"/>
          <w:szCs w:val="19"/>
        </w:rPr>
        <w:t>oordina</w:t>
      </w:r>
      <w:r w:rsidR="00834117" w:rsidRPr="009A501D">
        <w:rPr>
          <w:rFonts w:ascii="Century Gothic" w:hAnsi="Century Gothic"/>
          <w:sz w:val="19"/>
          <w:szCs w:val="19"/>
        </w:rPr>
        <w:t>ciones</w:t>
      </w:r>
      <w:r w:rsidR="00774203" w:rsidRPr="009A501D">
        <w:rPr>
          <w:rFonts w:ascii="Century Gothic" w:hAnsi="Century Gothic"/>
          <w:sz w:val="19"/>
          <w:szCs w:val="19"/>
        </w:rPr>
        <w:t xml:space="preserve"> </w:t>
      </w:r>
      <w:r w:rsidR="00E5195D" w:rsidRPr="009A501D">
        <w:rPr>
          <w:rFonts w:ascii="Century Gothic" w:hAnsi="Century Gothic"/>
          <w:sz w:val="19"/>
          <w:szCs w:val="19"/>
        </w:rPr>
        <w:t>g</w:t>
      </w:r>
      <w:r w:rsidR="00774203" w:rsidRPr="009A501D">
        <w:rPr>
          <w:rFonts w:ascii="Century Gothic" w:hAnsi="Century Gothic"/>
          <w:sz w:val="19"/>
          <w:szCs w:val="19"/>
        </w:rPr>
        <w:t>enerales</w:t>
      </w:r>
      <w:r w:rsidR="002B2C11" w:rsidRPr="009A501D">
        <w:rPr>
          <w:rFonts w:ascii="Century Gothic" w:hAnsi="Century Gothic"/>
          <w:sz w:val="19"/>
          <w:szCs w:val="19"/>
        </w:rPr>
        <w:t>, de conformidad con</w:t>
      </w:r>
      <w:r w:rsidR="00374BCB" w:rsidRPr="009A501D">
        <w:rPr>
          <w:rFonts w:ascii="Century Gothic" w:hAnsi="Century Gothic"/>
          <w:sz w:val="19"/>
          <w:szCs w:val="19"/>
        </w:rPr>
        <w:t xml:space="preserve"> el artículo 24 de</w:t>
      </w:r>
      <w:r w:rsidR="002B2C11" w:rsidRPr="009A501D">
        <w:rPr>
          <w:rFonts w:ascii="Century Gothic" w:hAnsi="Century Gothic"/>
          <w:sz w:val="19"/>
          <w:szCs w:val="19"/>
        </w:rPr>
        <w:t xml:space="preserve"> la </w:t>
      </w:r>
      <w:r w:rsidR="002B2C11" w:rsidRPr="009A501D">
        <w:rPr>
          <w:rFonts w:ascii="Century Gothic" w:hAnsi="Century Gothic"/>
          <w:i/>
          <w:iCs/>
          <w:sz w:val="19"/>
          <w:szCs w:val="19"/>
        </w:rPr>
        <w:t>Norma para el Aseguramiento de la Calidad de la Información</w:t>
      </w:r>
      <w:r w:rsidR="00834117" w:rsidRPr="009A501D">
        <w:rPr>
          <w:rFonts w:ascii="Century Gothic" w:hAnsi="Century Gothic"/>
          <w:sz w:val="19"/>
          <w:szCs w:val="19"/>
        </w:rPr>
        <w:t xml:space="preserve">. </w:t>
      </w:r>
      <w:r w:rsidR="00372C8F" w:rsidRPr="009A501D">
        <w:rPr>
          <w:rFonts w:ascii="Century Gothic" w:hAnsi="Century Gothic"/>
          <w:sz w:val="19"/>
          <w:szCs w:val="19"/>
        </w:rPr>
        <w:t>Desde</w:t>
      </w:r>
      <w:r w:rsidR="00774203" w:rsidRPr="009A501D">
        <w:rPr>
          <w:rFonts w:ascii="Century Gothic" w:hAnsi="Century Gothic"/>
          <w:sz w:val="19"/>
          <w:szCs w:val="19"/>
        </w:rPr>
        <w:t xml:space="preserve"> 2020</w:t>
      </w:r>
      <w:r w:rsidR="00372C8F" w:rsidRPr="009A501D">
        <w:rPr>
          <w:rFonts w:ascii="Century Gothic" w:hAnsi="Century Gothic"/>
          <w:sz w:val="19"/>
          <w:szCs w:val="19"/>
        </w:rPr>
        <w:t xml:space="preserve"> </w:t>
      </w:r>
      <w:r w:rsidR="00E66136" w:rsidRPr="009A501D">
        <w:rPr>
          <w:rFonts w:ascii="Century Gothic" w:hAnsi="Century Gothic"/>
          <w:sz w:val="19"/>
          <w:szCs w:val="19"/>
        </w:rPr>
        <w:t>participan como</w:t>
      </w:r>
      <w:r w:rsidR="00372C8F" w:rsidRPr="009A501D">
        <w:rPr>
          <w:rFonts w:ascii="Century Gothic" w:hAnsi="Century Gothic"/>
          <w:sz w:val="19"/>
          <w:szCs w:val="19"/>
        </w:rPr>
        <w:t xml:space="preserve"> </w:t>
      </w:r>
      <w:r w:rsidR="00834117" w:rsidRPr="009A501D">
        <w:rPr>
          <w:rFonts w:ascii="Century Gothic" w:hAnsi="Century Gothic"/>
          <w:sz w:val="19"/>
          <w:szCs w:val="19"/>
        </w:rPr>
        <w:t>invitad</w:t>
      </w:r>
      <w:r w:rsidR="00372C8F" w:rsidRPr="009A501D">
        <w:rPr>
          <w:rFonts w:ascii="Century Gothic" w:hAnsi="Century Gothic"/>
          <w:sz w:val="19"/>
          <w:szCs w:val="19"/>
        </w:rPr>
        <w:t>os perm</w:t>
      </w:r>
      <w:r w:rsidR="00E66136" w:rsidRPr="009A501D">
        <w:rPr>
          <w:rFonts w:ascii="Century Gothic" w:hAnsi="Century Gothic"/>
          <w:sz w:val="19"/>
          <w:szCs w:val="19"/>
        </w:rPr>
        <w:t>anentes</w:t>
      </w:r>
      <w:r w:rsidR="00834117" w:rsidRPr="009A501D">
        <w:rPr>
          <w:rFonts w:ascii="Century Gothic" w:hAnsi="Century Gothic"/>
          <w:sz w:val="19"/>
          <w:szCs w:val="19"/>
        </w:rPr>
        <w:t xml:space="preserve"> </w:t>
      </w:r>
      <w:r w:rsidR="00526344" w:rsidRPr="009A501D">
        <w:rPr>
          <w:rFonts w:ascii="Century Gothic" w:hAnsi="Century Gothic"/>
          <w:sz w:val="19"/>
          <w:szCs w:val="19"/>
        </w:rPr>
        <w:t>las vicepresidencias</w:t>
      </w:r>
      <w:r w:rsidR="00774203" w:rsidRPr="009A501D">
        <w:rPr>
          <w:rFonts w:ascii="Century Gothic" w:hAnsi="Century Gothic"/>
          <w:sz w:val="19"/>
          <w:szCs w:val="19"/>
        </w:rPr>
        <w:t xml:space="preserve"> de l</w:t>
      </w:r>
      <w:r w:rsidR="00E5195D" w:rsidRPr="009A501D">
        <w:rPr>
          <w:rFonts w:ascii="Century Gothic" w:hAnsi="Century Gothic"/>
          <w:sz w:val="19"/>
          <w:szCs w:val="19"/>
        </w:rPr>
        <w:t>a</w:t>
      </w:r>
      <w:r w:rsidR="00774203" w:rsidRPr="009A501D">
        <w:rPr>
          <w:rFonts w:ascii="Century Gothic" w:hAnsi="Century Gothic"/>
          <w:sz w:val="19"/>
          <w:szCs w:val="19"/>
        </w:rPr>
        <w:t xml:space="preserve"> </w:t>
      </w:r>
      <w:r w:rsidR="00E5195D" w:rsidRPr="009A501D">
        <w:rPr>
          <w:rFonts w:ascii="Century Gothic" w:hAnsi="Century Gothic"/>
          <w:sz w:val="19"/>
          <w:szCs w:val="19"/>
        </w:rPr>
        <w:t>Junta de Gobierno</w:t>
      </w:r>
      <w:r w:rsidR="00774203" w:rsidRPr="009A501D">
        <w:rPr>
          <w:rFonts w:ascii="Century Gothic" w:hAnsi="Century Gothic"/>
          <w:sz w:val="19"/>
          <w:szCs w:val="19"/>
        </w:rPr>
        <w:t xml:space="preserve">. </w:t>
      </w:r>
      <w:r w:rsidR="00BF347F" w:rsidRPr="009A501D">
        <w:rPr>
          <w:rFonts w:ascii="Century Gothic" w:hAnsi="Century Gothic"/>
          <w:sz w:val="19"/>
          <w:szCs w:val="19"/>
        </w:rPr>
        <w:t xml:space="preserve">El trabajo conjunto de todas las áreas del </w:t>
      </w:r>
      <w:r w:rsidR="00834117" w:rsidRPr="009A501D">
        <w:rPr>
          <w:rFonts w:ascii="Century Gothic" w:hAnsi="Century Gothic"/>
          <w:sz w:val="19"/>
          <w:szCs w:val="19"/>
        </w:rPr>
        <w:t>I</w:t>
      </w:r>
      <w:r w:rsidR="00BF347F" w:rsidRPr="009A501D">
        <w:rPr>
          <w:rFonts w:ascii="Century Gothic" w:hAnsi="Century Gothic"/>
          <w:sz w:val="19"/>
          <w:szCs w:val="19"/>
        </w:rPr>
        <w:t xml:space="preserve">nstituto ha permitido avanzar hacia la medición homogénea de la calidad y </w:t>
      </w:r>
      <w:r w:rsidR="00E66136" w:rsidRPr="009A501D">
        <w:rPr>
          <w:rFonts w:ascii="Century Gothic" w:hAnsi="Century Gothic"/>
          <w:sz w:val="19"/>
          <w:szCs w:val="19"/>
        </w:rPr>
        <w:t>continuar con la</w:t>
      </w:r>
      <w:r w:rsidR="00BF347F" w:rsidRPr="009A501D">
        <w:rPr>
          <w:rFonts w:ascii="Century Gothic" w:hAnsi="Century Gothic"/>
          <w:sz w:val="19"/>
          <w:szCs w:val="19"/>
        </w:rPr>
        <w:t xml:space="preserve"> implementación del Modelo del Proceso Estadístico y Geográfico (MPEG)</w:t>
      </w:r>
      <w:r w:rsidR="00E0755B" w:rsidRPr="009A501D">
        <w:rPr>
          <w:rFonts w:ascii="Century Gothic" w:hAnsi="Century Gothic"/>
          <w:sz w:val="19"/>
          <w:szCs w:val="19"/>
        </w:rPr>
        <w:t xml:space="preserve">, cuya regulación está dada por la </w:t>
      </w:r>
      <w:r w:rsidR="00E0755B" w:rsidRPr="009A501D">
        <w:rPr>
          <w:rFonts w:ascii="Century Gothic" w:hAnsi="Century Gothic"/>
          <w:i/>
          <w:iCs/>
          <w:sz w:val="19"/>
          <w:szCs w:val="19"/>
        </w:rPr>
        <w:t>Norma Técnica del Proceso de Producción de Información Estadística y Geográfica</w:t>
      </w:r>
      <w:r w:rsidR="00E0755B" w:rsidRPr="009A501D">
        <w:rPr>
          <w:rFonts w:ascii="Century Gothic" w:hAnsi="Century Gothic"/>
          <w:sz w:val="19"/>
          <w:szCs w:val="19"/>
        </w:rPr>
        <w:t xml:space="preserve"> (NTPPIEG)</w:t>
      </w:r>
      <w:r w:rsidR="00BF347F" w:rsidRPr="009A501D">
        <w:rPr>
          <w:rFonts w:ascii="Century Gothic" w:hAnsi="Century Gothic"/>
          <w:sz w:val="19"/>
          <w:szCs w:val="19"/>
        </w:rPr>
        <w:t>.</w:t>
      </w:r>
    </w:p>
    <w:p w14:paraId="67EC8581" w14:textId="0C11E316" w:rsidR="001C2BAE" w:rsidRPr="009A501D" w:rsidRDefault="001C2BAE" w:rsidP="001C2BAE">
      <w:pPr>
        <w:spacing w:before="240"/>
        <w:jc w:val="both"/>
        <w:rPr>
          <w:rFonts w:ascii="Century Gothic" w:hAnsi="Century Gothic"/>
          <w:sz w:val="19"/>
          <w:szCs w:val="19"/>
        </w:rPr>
      </w:pPr>
      <w:r w:rsidRPr="009A501D">
        <w:rPr>
          <w:rFonts w:ascii="Century Gothic" w:hAnsi="Century Gothic"/>
          <w:sz w:val="19"/>
          <w:szCs w:val="19"/>
        </w:rPr>
        <w:t xml:space="preserve">Con base en la experiencia internacional, la literatura sobre gestión de la calidad y la normatividad existente, el </w:t>
      </w:r>
      <w:r w:rsidR="00744EFA" w:rsidRPr="009A501D">
        <w:rPr>
          <w:rFonts w:ascii="Century Gothic" w:hAnsi="Century Gothic"/>
          <w:sz w:val="19"/>
          <w:szCs w:val="19"/>
        </w:rPr>
        <w:t>E</w:t>
      </w:r>
      <w:r w:rsidRPr="009A501D">
        <w:rPr>
          <w:rFonts w:ascii="Century Gothic" w:hAnsi="Century Gothic"/>
          <w:sz w:val="19"/>
          <w:szCs w:val="19"/>
        </w:rPr>
        <w:t xml:space="preserve">squema </w:t>
      </w:r>
      <w:r w:rsidR="00744EFA" w:rsidRPr="009A501D">
        <w:rPr>
          <w:rFonts w:ascii="Century Gothic" w:hAnsi="Century Gothic"/>
          <w:sz w:val="19"/>
          <w:szCs w:val="19"/>
        </w:rPr>
        <w:t>i</w:t>
      </w:r>
      <w:r w:rsidRPr="009A501D">
        <w:rPr>
          <w:rFonts w:ascii="Century Gothic" w:hAnsi="Century Gothic"/>
          <w:sz w:val="19"/>
          <w:szCs w:val="19"/>
        </w:rPr>
        <w:t xml:space="preserve">ntegral para el aseguramiento de la calidad de la </w:t>
      </w:r>
      <w:r w:rsidR="004B628B" w:rsidRPr="009A501D">
        <w:rPr>
          <w:rFonts w:ascii="Century Gothic" w:hAnsi="Century Gothic"/>
          <w:sz w:val="19"/>
          <w:szCs w:val="19"/>
        </w:rPr>
        <w:t>i</w:t>
      </w:r>
      <w:r w:rsidRPr="009A501D">
        <w:rPr>
          <w:rFonts w:ascii="Century Gothic" w:hAnsi="Century Gothic"/>
          <w:sz w:val="19"/>
          <w:szCs w:val="19"/>
        </w:rPr>
        <w:t xml:space="preserve">nformación </w:t>
      </w:r>
      <w:r w:rsidR="004B628B" w:rsidRPr="009A501D">
        <w:rPr>
          <w:rFonts w:ascii="Century Gothic" w:hAnsi="Century Gothic"/>
          <w:sz w:val="19"/>
          <w:szCs w:val="19"/>
        </w:rPr>
        <w:t>e</w:t>
      </w:r>
      <w:r w:rsidRPr="009A501D">
        <w:rPr>
          <w:rFonts w:ascii="Century Gothic" w:hAnsi="Century Gothic"/>
          <w:sz w:val="19"/>
          <w:szCs w:val="19"/>
        </w:rPr>
        <w:t xml:space="preserve">stadística y </w:t>
      </w:r>
      <w:r w:rsidR="004B628B" w:rsidRPr="009A501D">
        <w:rPr>
          <w:rFonts w:ascii="Century Gothic" w:hAnsi="Century Gothic"/>
          <w:sz w:val="19"/>
          <w:szCs w:val="19"/>
        </w:rPr>
        <w:t>g</w:t>
      </w:r>
      <w:r w:rsidRPr="009A501D">
        <w:rPr>
          <w:rFonts w:ascii="Century Gothic" w:hAnsi="Century Gothic"/>
          <w:sz w:val="19"/>
          <w:szCs w:val="19"/>
        </w:rPr>
        <w:t xml:space="preserve">eográfica incluye tres elementos (ver </w:t>
      </w:r>
      <w:r w:rsidR="00C15869" w:rsidRPr="009A501D">
        <w:rPr>
          <w:rFonts w:ascii="Century Gothic" w:hAnsi="Century Gothic"/>
          <w:sz w:val="19"/>
          <w:szCs w:val="19"/>
        </w:rPr>
        <w:t>figura</w:t>
      </w:r>
      <w:r w:rsidR="00B41C00" w:rsidRPr="009A501D">
        <w:rPr>
          <w:rFonts w:ascii="Century Gothic" w:hAnsi="Century Gothic"/>
          <w:sz w:val="19"/>
          <w:szCs w:val="19"/>
        </w:rPr>
        <w:t xml:space="preserve"> I.1</w:t>
      </w:r>
      <w:r w:rsidRPr="009A501D">
        <w:rPr>
          <w:rFonts w:ascii="Century Gothic" w:hAnsi="Century Gothic"/>
          <w:sz w:val="19"/>
          <w:szCs w:val="19"/>
        </w:rPr>
        <w:t>):</w:t>
      </w:r>
    </w:p>
    <w:p w14:paraId="77CA95E1" w14:textId="1FCE21EE" w:rsidR="001C2BAE" w:rsidRPr="009A501D" w:rsidRDefault="00C30AFD" w:rsidP="00386984">
      <w:pPr>
        <w:pStyle w:val="Prrafodelista"/>
        <w:numPr>
          <w:ilvl w:val="0"/>
          <w:numId w:val="32"/>
        </w:numPr>
        <w:spacing w:before="240"/>
        <w:ind w:left="567" w:hanging="283"/>
        <w:jc w:val="both"/>
        <w:rPr>
          <w:rFonts w:ascii="Century Gothic" w:hAnsi="Century Gothic"/>
          <w:sz w:val="19"/>
          <w:szCs w:val="19"/>
        </w:rPr>
      </w:pPr>
      <w:r w:rsidRPr="009A501D">
        <w:rPr>
          <w:rFonts w:ascii="Century Gothic" w:hAnsi="Century Gothic"/>
          <w:b/>
          <w:bCs/>
          <w:sz w:val="19"/>
          <w:szCs w:val="19"/>
        </w:rPr>
        <w:t>La s</w:t>
      </w:r>
      <w:r w:rsidR="001C2BAE" w:rsidRPr="009A501D">
        <w:rPr>
          <w:rFonts w:ascii="Century Gothic" w:hAnsi="Century Gothic"/>
          <w:b/>
          <w:bCs/>
          <w:sz w:val="19"/>
          <w:szCs w:val="19"/>
        </w:rPr>
        <w:t>atisfacción de las necesidades</w:t>
      </w:r>
      <w:r w:rsidR="001C2BAE" w:rsidRPr="009A501D">
        <w:rPr>
          <w:rFonts w:ascii="Century Gothic" w:hAnsi="Century Gothic"/>
          <w:sz w:val="19"/>
          <w:szCs w:val="19"/>
        </w:rPr>
        <w:t xml:space="preserve"> </w:t>
      </w:r>
      <w:r w:rsidRPr="009A501D">
        <w:rPr>
          <w:rFonts w:ascii="Century Gothic" w:hAnsi="Century Gothic"/>
          <w:sz w:val="19"/>
          <w:szCs w:val="19"/>
        </w:rPr>
        <w:t xml:space="preserve">de información </w:t>
      </w:r>
      <w:r w:rsidR="001C2BAE" w:rsidRPr="009A501D">
        <w:rPr>
          <w:rFonts w:ascii="Century Gothic" w:hAnsi="Century Gothic"/>
          <w:sz w:val="19"/>
          <w:szCs w:val="19"/>
        </w:rPr>
        <w:t xml:space="preserve">de </w:t>
      </w:r>
      <w:r w:rsidR="00DC159D" w:rsidRPr="009A501D">
        <w:rPr>
          <w:rFonts w:ascii="Century Gothic" w:hAnsi="Century Gothic"/>
          <w:sz w:val="19"/>
          <w:szCs w:val="19"/>
        </w:rPr>
        <w:t xml:space="preserve">las </w:t>
      </w:r>
      <w:r w:rsidR="006D1623">
        <w:rPr>
          <w:rFonts w:ascii="Century Gothic" w:hAnsi="Century Gothic"/>
          <w:sz w:val="19"/>
          <w:szCs w:val="19"/>
        </w:rPr>
        <w:t>personas</w:t>
      </w:r>
      <w:r w:rsidR="001C2BAE" w:rsidRPr="009A501D">
        <w:rPr>
          <w:rFonts w:ascii="Century Gothic" w:hAnsi="Century Gothic"/>
          <w:sz w:val="19"/>
          <w:szCs w:val="19"/>
        </w:rPr>
        <w:t xml:space="preserve"> usuari</w:t>
      </w:r>
      <w:r w:rsidR="006D1623">
        <w:rPr>
          <w:rFonts w:ascii="Century Gothic" w:hAnsi="Century Gothic"/>
          <w:sz w:val="19"/>
          <w:szCs w:val="19"/>
        </w:rPr>
        <w:t>a</w:t>
      </w:r>
      <w:r w:rsidR="001C2BAE" w:rsidRPr="009A501D">
        <w:rPr>
          <w:rFonts w:ascii="Century Gothic" w:hAnsi="Century Gothic"/>
          <w:sz w:val="19"/>
          <w:szCs w:val="19"/>
        </w:rPr>
        <w:t xml:space="preserve">s, como el objetivo </w:t>
      </w:r>
      <w:r w:rsidR="00B41C00" w:rsidRPr="009A501D">
        <w:rPr>
          <w:rFonts w:ascii="Century Gothic" w:hAnsi="Century Gothic"/>
          <w:sz w:val="19"/>
          <w:szCs w:val="19"/>
        </w:rPr>
        <w:t>último</w:t>
      </w:r>
      <w:r w:rsidRPr="009A501D">
        <w:rPr>
          <w:rFonts w:ascii="Century Gothic" w:hAnsi="Century Gothic"/>
          <w:sz w:val="19"/>
          <w:szCs w:val="19"/>
        </w:rPr>
        <w:t>;</w:t>
      </w:r>
    </w:p>
    <w:p w14:paraId="31E4C7C9" w14:textId="735F2FB8" w:rsidR="001C2BAE" w:rsidRPr="009A501D" w:rsidRDefault="00B41C00" w:rsidP="00386984">
      <w:pPr>
        <w:pStyle w:val="Prrafodelista"/>
        <w:numPr>
          <w:ilvl w:val="0"/>
          <w:numId w:val="32"/>
        </w:numPr>
        <w:spacing w:before="240"/>
        <w:ind w:left="567" w:hanging="283"/>
        <w:jc w:val="both"/>
        <w:rPr>
          <w:rFonts w:ascii="Century Gothic" w:hAnsi="Century Gothic"/>
          <w:sz w:val="19"/>
          <w:szCs w:val="19"/>
        </w:rPr>
      </w:pPr>
      <w:r w:rsidRPr="009A501D">
        <w:rPr>
          <w:rFonts w:ascii="Century Gothic" w:hAnsi="Century Gothic"/>
          <w:b/>
          <w:bCs/>
          <w:sz w:val="19"/>
          <w:szCs w:val="19"/>
        </w:rPr>
        <w:t xml:space="preserve">La Política de </w:t>
      </w:r>
      <w:r w:rsidR="001C2BAE" w:rsidRPr="009A501D">
        <w:rPr>
          <w:rFonts w:ascii="Century Gothic" w:hAnsi="Century Gothic"/>
          <w:b/>
          <w:bCs/>
          <w:sz w:val="19"/>
          <w:szCs w:val="19"/>
        </w:rPr>
        <w:t xml:space="preserve">Calidad de la </w:t>
      </w:r>
      <w:r w:rsidR="00C30AFD" w:rsidRPr="009A501D">
        <w:rPr>
          <w:rFonts w:ascii="Century Gothic" w:hAnsi="Century Gothic"/>
          <w:b/>
          <w:bCs/>
          <w:sz w:val="19"/>
          <w:szCs w:val="19"/>
        </w:rPr>
        <w:t>I</w:t>
      </w:r>
      <w:r w:rsidR="001C2BAE" w:rsidRPr="009A501D">
        <w:rPr>
          <w:rFonts w:ascii="Century Gothic" w:hAnsi="Century Gothic"/>
          <w:b/>
          <w:bCs/>
          <w:sz w:val="19"/>
          <w:szCs w:val="19"/>
        </w:rPr>
        <w:t xml:space="preserve">nformación </w:t>
      </w:r>
      <w:r w:rsidR="00C30AFD" w:rsidRPr="009A501D">
        <w:rPr>
          <w:rFonts w:ascii="Century Gothic" w:hAnsi="Century Gothic"/>
          <w:b/>
          <w:bCs/>
          <w:sz w:val="19"/>
          <w:szCs w:val="19"/>
        </w:rPr>
        <w:t>E</w:t>
      </w:r>
      <w:r w:rsidR="001C2BAE" w:rsidRPr="009A501D">
        <w:rPr>
          <w:rFonts w:ascii="Century Gothic" w:hAnsi="Century Gothic"/>
          <w:b/>
          <w:bCs/>
          <w:sz w:val="19"/>
          <w:szCs w:val="19"/>
        </w:rPr>
        <w:t xml:space="preserve">stadística y </w:t>
      </w:r>
      <w:r w:rsidR="00C30AFD" w:rsidRPr="009A501D">
        <w:rPr>
          <w:rFonts w:ascii="Century Gothic" w:hAnsi="Century Gothic"/>
          <w:b/>
          <w:bCs/>
          <w:sz w:val="19"/>
          <w:szCs w:val="19"/>
        </w:rPr>
        <w:t>G</w:t>
      </w:r>
      <w:r w:rsidR="001C2BAE" w:rsidRPr="009A501D">
        <w:rPr>
          <w:rFonts w:ascii="Century Gothic" w:hAnsi="Century Gothic"/>
          <w:b/>
          <w:bCs/>
          <w:sz w:val="19"/>
          <w:szCs w:val="19"/>
        </w:rPr>
        <w:t>eográfica</w:t>
      </w:r>
      <w:r w:rsidR="001C2BAE" w:rsidRPr="009A501D">
        <w:rPr>
          <w:rFonts w:ascii="Century Gothic" w:hAnsi="Century Gothic"/>
          <w:sz w:val="19"/>
          <w:szCs w:val="19"/>
        </w:rPr>
        <w:t>, en la que se define</w:t>
      </w:r>
      <w:r w:rsidR="005D5426" w:rsidRPr="009A501D">
        <w:rPr>
          <w:rFonts w:ascii="Century Gothic" w:hAnsi="Century Gothic"/>
          <w:sz w:val="19"/>
          <w:szCs w:val="19"/>
        </w:rPr>
        <w:t>n</w:t>
      </w:r>
      <w:r w:rsidR="001C2BAE" w:rsidRPr="009A501D">
        <w:rPr>
          <w:rFonts w:ascii="Century Gothic" w:hAnsi="Century Gothic"/>
          <w:sz w:val="19"/>
          <w:szCs w:val="19"/>
        </w:rPr>
        <w:t xml:space="preserve"> las dimensiones, principios y directrices que guiarán la conceptualización </w:t>
      </w:r>
      <w:r w:rsidR="007456A7" w:rsidRPr="009A501D">
        <w:rPr>
          <w:rFonts w:ascii="Century Gothic" w:hAnsi="Century Gothic"/>
          <w:sz w:val="19"/>
          <w:szCs w:val="19"/>
        </w:rPr>
        <w:t>de la calidad</w:t>
      </w:r>
      <w:r w:rsidR="00CC3477" w:rsidRPr="009A501D">
        <w:rPr>
          <w:rFonts w:ascii="Century Gothic" w:hAnsi="Century Gothic"/>
          <w:sz w:val="19"/>
          <w:szCs w:val="19"/>
        </w:rPr>
        <w:t xml:space="preserve">. </w:t>
      </w:r>
      <w:r w:rsidR="008559D1" w:rsidRPr="009A501D">
        <w:rPr>
          <w:rFonts w:ascii="Century Gothic" w:hAnsi="Century Gothic"/>
          <w:sz w:val="19"/>
          <w:szCs w:val="19"/>
        </w:rPr>
        <w:t xml:space="preserve">Las </w:t>
      </w:r>
      <w:r w:rsidR="007456A7" w:rsidRPr="009A501D">
        <w:rPr>
          <w:rFonts w:ascii="Century Gothic" w:hAnsi="Century Gothic"/>
          <w:sz w:val="19"/>
          <w:szCs w:val="19"/>
        </w:rPr>
        <w:t>t</w:t>
      </w:r>
      <w:r w:rsidR="00E877E2" w:rsidRPr="009A501D">
        <w:rPr>
          <w:rFonts w:ascii="Century Gothic" w:hAnsi="Century Gothic"/>
          <w:sz w:val="19"/>
          <w:szCs w:val="19"/>
        </w:rPr>
        <w:t>res</w:t>
      </w:r>
      <w:r w:rsidR="001C2BAE" w:rsidRPr="009A501D">
        <w:rPr>
          <w:rFonts w:ascii="Century Gothic" w:hAnsi="Century Gothic"/>
          <w:sz w:val="19"/>
          <w:szCs w:val="19"/>
        </w:rPr>
        <w:t xml:space="preserve"> dimensiones</w:t>
      </w:r>
      <w:r w:rsidR="008559D1" w:rsidRPr="009A501D">
        <w:rPr>
          <w:rFonts w:ascii="Century Gothic" w:hAnsi="Century Gothic"/>
          <w:sz w:val="19"/>
          <w:szCs w:val="19"/>
        </w:rPr>
        <w:t xml:space="preserve"> son</w:t>
      </w:r>
      <w:r w:rsidR="001C2BAE" w:rsidRPr="009A501D">
        <w:rPr>
          <w:rFonts w:ascii="Century Gothic" w:hAnsi="Century Gothic"/>
          <w:sz w:val="19"/>
          <w:szCs w:val="19"/>
        </w:rPr>
        <w:t>:</w:t>
      </w:r>
      <w:r w:rsidR="007456A7" w:rsidRPr="009A501D">
        <w:rPr>
          <w:rFonts w:ascii="Century Gothic" w:hAnsi="Century Gothic"/>
          <w:sz w:val="19"/>
          <w:szCs w:val="19"/>
        </w:rPr>
        <w:t xml:space="preserve"> productos, procesos y </w:t>
      </w:r>
      <w:r w:rsidR="001C2BAE" w:rsidRPr="009A501D">
        <w:rPr>
          <w:rFonts w:ascii="Century Gothic" w:hAnsi="Century Gothic"/>
          <w:sz w:val="19"/>
          <w:szCs w:val="19"/>
        </w:rPr>
        <w:t>entorno institucional</w:t>
      </w:r>
      <w:r w:rsidR="00C30AFD" w:rsidRPr="009A501D">
        <w:rPr>
          <w:rFonts w:ascii="Century Gothic" w:hAnsi="Century Gothic"/>
          <w:sz w:val="19"/>
          <w:szCs w:val="19"/>
        </w:rPr>
        <w:t>, y</w:t>
      </w:r>
    </w:p>
    <w:p w14:paraId="28B7FC67" w14:textId="0661E66C" w:rsidR="001C2BAE" w:rsidRPr="009A501D" w:rsidRDefault="00C30AFD" w:rsidP="00386984">
      <w:pPr>
        <w:pStyle w:val="Prrafodelista"/>
        <w:numPr>
          <w:ilvl w:val="0"/>
          <w:numId w:val="32"/>
        </w:numPr>
        <w:spacing w:before="240"/>
        <w:ind w:left="567" w:hanging="283"/>
        <w:jc w:val="both"/>
        <w:rPr>
          <w:rFonts w:ascii="Century Gothic" w:hAnsi="Century Gothic"/>
          <w:sz w:val="19"/>
          <w:szCs w:val="19"/>
        </w:rPr>
      </w:pPr>
      <w:r w:rsidRPr="009A501D">
        <w:rPr>
          <w:rFonts w:ascii="Century Gothic" w:hAnsi="Century Gothic"/>
          <w:b/>
          <w:bCs/>
          <w:sz w:val="19"/>
          <w:szCs w:val="19"/>
        </w:rPr>
        <w:t xml:space="preserve">El </w:t>
      </w:r>
      <w:r w:rsidR="007456A7" w:rsidRPr="009A501D">
        <w:rPr>
          <w:rFonts w:ascii="Century Gothic" w:hAnsi="Century Gothic"/>
          <w:b/>
          <w:bCs/>
          <w:sz w:val="19"/>
          <w:szCs w:val="19"/>
        </w:rPr>
        <w:t>Sistema de</w:t>
      </w:r>
      <w:r w:rsidR="001C2BAE" w:rsidRPr="009A501D">
        <w:rPr>
          <w:rFonts w:ascii="Century Gothic" w:hAnsi="Century Gothic"/>
          <w:b/>
          <w:bCs/>
          <w:sz w:val="19"/>
          <w:szCs w:val="19"/>
        </w:rPr>
        <w:t xml:space="preserve"> Gestión de la Calidad Institucional</w:t>
      </w:r>
      <w:r w:rsidR="001C2BAE" w:rsidRPr="009A501D">
        <w:rPr>
          <w:rFonts w:ascii="Century Gothic" w:hAnsi="Century Gothic"/>
          <w:sz w:val="19"/>
          <w:szCs w:val="19"/>
        </w:rPr>
        <w:t xml:space="preserve">, que establece los medios, mecanismos y actividades </w:t>
      </w:r>
      <w:r w:rsidR="008556F8" w:rsidRPr="009A501D">
        <w:rPr>
          <w:rFonts w:ascii="Century Gothic" w:hAnsi="Century Gothic"/>
          <w:sz w:val="19"/>
          <w:szCs w:val="19"/>
        </w:rPr>
        <w:t>enmarcados en</w:t>
      </w:r>
      <w:r w:rsidR="00EA3525" w:rsidRPr="009A501D">
        <w:rPr>
          <w:rFonts w:ascii="Century Gothic" w:hAnsi="Century Gothic"/>
          <w:sz w:val="19"/>
          <w:szCs w:val="19"/>
        </w:rPr>
        <w:t xml:space="preserve"> </w:t>
      </w:r>
      <w:r w:rsidR="00990156" w:rsidRPr="009A501D">
        <w:rPr>
          <w:rFonts w:ascii="Century Gothic" w:hAnsi="Century Gothic"/>
          <w:sz w:val="19"/>
          <w:szCs w:val="19"/>
        </w:rPr>
        <w:t xml:space="preserve">tres actividades estratégicas: estandarización de procesos, evaluación </w:t>
      </w:r>
      <w:r w:rsidR="00386984" w:rsidRPr="009A501D">
        <w:rPr>
          <w:rFonts w:ascii="Century Gothic" w:hAnsi="Century Gothic"/>
          <w:sz w:val="19"/>
          <w:szCs w:val="19"/>
        </w:rPr>
        <w:t>y mejora.</w:t>
      </w:r>
    </w:p>
    <w:p w14:paraId="5B6C0143" w14:textId="2678AD80" w:rsidR="001C00A0" w:rsidRPr="009A501D" w:rsidRDefault="00AB7343" w:rsidP="006D4626">
      <w:pPr>
        <w:spacing w:before="240" w:after="0"/>
        <w:jc w:val="center"/>
        <w:rPr>
          <w:rFonts w:ascii="Century Gothic" w:hAnsi="Century Gothic"/>
          <w:b/>
          <w:sz w:val="19"/>
          <w:szCs w:val="19"/>
        </w:rPr>
      </w:pPr>
      <w:r w:rsidRPr="009A501D">
        <w:rPr>
          <w:rFonts w:ascii="Century Gothic" w:hAnsi="Century Gothic"/>
          <w:b/>
          <w:sz w:val="19"/>
          <w:szCs w:val="19"/>
        </w:rPr>
        <w:t>I.1</w:t>
      </w:r>
      <w:r w:rsidR="000F019A" w:rsidRPr="009A501D">
        <w:rPr>
          <w:rFonts w:ascii="Century Gothic" w:hAnsi="Century Gothic"/>
          <w:b/>
          <w:sz w:val="19"/>
          <w:szCs w:val="19"/>
        </w:rPr>
        <w:t xml:space="preserve">. </w:t>
      </w:r>
      <w:r w:rsidR="001C00A0" w:rsidRPr="009A501D">
        <w:rPr>
          <w:rFonts w:ascii="Century Gothic" w:hAnsi="Century Gothic"/>
          <w:b/>
          <w:sz w:val="19"/>
          <w:szCs w:val="19"/>
        </w:rPr>
        <w:t xml:space="preserve">Esquema Integral </w:t>
      </w:r>
      <w:r w:rsidR="005D5426" w:rsidRPr="009A501D">
        <w:rPr>
          <w:rFonts w:ascii="Century Gothic" w:hAnsi="Century Gothic"/>
          <w:b/>
          <w:sz w:val="19"/>
          <w:szCs w:val="19"/>
        </w:rPr>
        <w:t xml:space="preserve">para el Aseguramiento de la </w:t>
      </w:r>
      <w:r w:rsidR="001C00A0" w:rsidRPr="009A501D">
        <w:rPr>
          <w:rFonts w:ascii="Century Gothic" w:hAnsi="Century Gothic"/>
          <w:b/>
          <w:sz w:val="19"/>
          <w:szCs w:val="19"/>
        </w:rPr>
        <w:t>Calidad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4"/>
      </w:tblGrid>
      <w:tr w:rsidR="001C00A0" w:rsidRPr="009A501D" w14:paraId="1F5B4A21" w14:textId="77777777" w:rsidTr="001C00A0">
        <w:trPr>
          <w:cantSplit/>
          <w:trHeight w:val="3263"/>
          <w:jc w:val="center"/>
        </w:trPr>
        <w:tc>
          <w:tcPr>
            <w:tcW w:w="10209" w:type="dxa"/>
          </w:tcPr>
          <w:p w14:paraId="59795914" w14:textId="065CF8A7" w:rsidR="001C00A0" w:rsidRPr="009A501D" w:rsidRDefault="00FF6620" w:rsidP="005A77EE">
            <w:pPr>
              <w:spacing w:before="240"/>
              <w:jc w:val="center"/>
              <w:rPr>
                <w:rFonts w:ascii="Century Gothic" w:hAnsi="Century Gothic"/>
                <w:sz w:val="19"/>
                <w:szCs w:val="19"/>
              </w:rPr>
            </w:pPr>
            <w:r w:rsidRPr="009A501D">
              <w:rPr>
                <w:rFonts w:ascii="Century Gothic" w:hAnsi="Century Gothic"/>
                <w:noProof/>
                <w:sz w:val="19"/>
                <w:szCs w:val="19"/>
              </w:rPr>
              <w:drawing>
                <wp:inline distT="0" distB="0" distL="0" distR="0" wp14:anchorId="3FC54CA5" wp14:editId="60903A8A">
                  <wp:extent cx="6526644" cy="434243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9181" cy="4350773"/>
                          </a:xfrm>
                          <a:prstGeom prst="rect">
                            <a:avLst/>
                          </a:prstGeom>
                          <a:noFill/>
                          <a:ln>
                            <a:noFill/>
                          </a:ln>
                        </pic:spPr>
                      </pic:pic>
                    </a:graphicData>
                  </a:graphic>
                </wp:inline>
              </w:drawing>
            </w:r>
          </w:p>
        </w:tc>
      </w:tr>
    </w:tbl>
    <w:p w14:paraId="360D5FC1" w14:textId="77228E91" w:rsidR="00A128D6" w:rsidRPr="009A501D" w:rsidRDefault="00A128D6">
      <w:pPr>
        <w:rPr>
          <w:rFonts w:ascii="Century Gothic" w:hAnsi="Century Gothic"/>
          <w:sz w:val="19"/>
          <w:szCs w:val="19"/>
        </w:rPr>
      </w:pPr>
    </w:p>
    <w:p w14:paraId="44B865F6" w14:textId="269CF141" w:rsidR="00225E99" w:rsidRPr="009A501D" w:rsidRDefault="007832BF" w:rsidP="005A77EE">
      <w:pPr>
        <w:spacing w:before="240"/>
        <w:jc w:val="both"/>
        <w:rPr>
          <w:rFonts w:ascii="Century Gothic" w:hAnsi="Century Gothic"/>
          <w:sz w:val="19"/>
          <w:szCs w:val="19"/>
        </w:rPr>
      </w:pPr>
      <w:r w:rsidRPr="009A501D">
        <w:rPr>
          <w:rFonts w:ascii="Century Gothic" w:hAnsi="Century Gothic"/>
          <w:sz w:val="19"/>
          <w:szCs w:val="19"/>
        </w:rPr>
        <w:lastRenderedPageBreak/>
        <w:t>L</w:t>
      </w:r>
      <w:r w:rsidR="00332A36" w:rsidRPr="009A501D">
        <w:rPr>
          <w:rFonts w:ascii="Century Gothic" w:hAnsi="Century Gothic"/>
          <w:sz w:val="19"/>
          <w:szCs w:val="19"/>
        </w:rPr>
        <w:t xml:space="preserve">a </w:t>
      </w:r>
      <w:r w:rsidR="00332A36" w:rsidRPr="009A501D">
        <w:rPr>
          <w:rFonts w:ascii="Century Gothic" w:hAnsi="Century Gothic"/>
          <w:b/>
          <w:bCs/>
          <w:sz w:val="19"/>
          <w:szCs w:val="19"/>
        </w:rPr>
        <w:t>Política de Calidad Institucional</w:t>
      </w:r>
      <w:r w:rsidR="00332A36" w:rsidRPr="009A501D">
        <w:rPr>
          <w:rFonts w:ascii="Century Gothic" w:hAnsi="Century Gothic"/>
          <w:sz w:val="19"/>
          <w:szCs w:val="19"/>
        </w:rPr>
        <w:t xml:space="preserve"> especifica las directrices a seguir para los 19 principios de calidad</w:t>
      </w:r>
      <w:r w:rsidR="00FA1E79" w:rsidRPr="009A501D">
        <w:rPr>
          <w:rFonts w:ascii="Century Gothic" w:hAnsi="Century Gothic"/>
          <w:sz w:val="19"/>
          <w:szCs w:val="19"/>
        </w:rPr>
        <w:t xml:space="preserve"> (ver </w:t>
      </w:r>
      <w:r w:rsidR="00C15869" w:rsidRPr="009A501D">
        <w:rPr>
          <w:rFonts w:ascii="Century Gothic" w:hAnsi="Century Gothic"/>
          <w:sz w:val="19"/>
          <w:szCs w:val="19"/>
        </w:rPr>
        <w:t>figura</w:t>
      </w:r>
      <w:r w:rsidR="00FA1E79" w:rsidRPr="009A501D">
        <w:rPr>
          <w:rFonts w:ascii="Century Gothic" w:hAnsi="Century Gothic"/>
          <w:sz w:val="19"/>
          <w:szCs w:val="19"/>
        </w:rPr>
        <w:t xml:space="preserve"> I.2)</w:t>
      </w:r>
      <w:r w:rsidR="00332A36" w:rsidRPr="009A501D">
        <w:rPr>
          <w:rFonts w:ascii="Century Gothic" w:hAnsi="Century Gothic"/>
          <w:sz w:val="19"/>
          <w:szCs w:val="19"/>
        </w:rPr>
        <w:t>.</w:t>
      </w:r>
      <w:r w:rsidR="000E51DA" w:rsidRPr="009A501D">
        <w:rPr>
          <w:rStyle w:val="Refdenotaalpie"/>
          <w:rFonts w:ascii="Century Gothic" w:hAnsi="Century Gothic"/>
          <w:sz w:val="19"/>
          <w:szCs w:val="19"/>
        </w:rPr>
        <w:footnoteReference w:id="2"/>
      </w:r>
      <w:r w:rsidR="00332A36" w:rsidRPr="009A501D">
        <w:rPr>
          <w:rFonts w:ascii="Century Gothic" w:hAnsi="Century Gothic"/>
          <w:sz w:val="19"/>
          <w:szCs w:val="19"/>
        </w:rPr>
        <w:t xml:space="preserve"> </w:t>
      </w:r>
    </w:p>
    <w:p w14:paraId="712C73BE" w14:textId="77777777" w:rsidR="001C00A0" w:rsidRPr="009A501D" w:rsidRDefault="00AB7343" w:rsidP="005A77EE">
      <w:pPr>
        <w:spacing w:before="240"/>
        <w:jc w:val="center"/>
        <w:rPr>
          <w:rFonts w:ascii="Century Gothic" w:hAnsi="Century Gothic"/>
          <w:b/>
          <w:sz w:val="19"/>
          <w:szCs w:val="19"/>
        </w:rPr>
      </w:pPr>
      <w:r w:rsidRPr="009A501D">
        <w:rPr>
          <w:rFonts w:ascii="Century Gothic" w:hAnsi="Century Gothic"/>
          <w:b/>
          <w:sz w:val="19"/>
          <w:szCs w:val="19"/>
        </w:rPr>
        <w:t>I.2</w:t>
      </w:r>
      <w:r w:rsidR="000F019A" w:rsidRPr="009A501D">
        <w:rPr>
          <w:rFonts w:ascii="Century Gothic" w:hAnsi="Century Gothic"/>
          <w:b/>
          <w:sz w:val="19"/>
          <w:szCs w:val="19"/>
        </w:rPr>
        <w:t xml:space="preserve">. </w:t>
      </w:r>
      <w:r w:rsidR="001C00A0" w:rsidRPr="009A501D">
        <w:rPr>
          <w:rFonts w:ascii="Century Gothic" w:hAnsi="Century Gothic"/>
          <w:b/>
          <w:sz w:val="19"/>
          <w:szCs w:val="19"/>
        </w:rPr>
        <w:t>Política de Calidad del INEGI</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1C00A0" w:rsidRPr="009A501D" w14:paraId="198832A7" w14:textId="77777777" w:rsidTr="00274094">
        <w:trPr>
          <w:cantSplit/>
          <w:trHeight w:val="1134"/>
          <w:jc w:val="center"/>
        </w:trPr>
        <w:tc>
          <w:tcPr>
            <w:tcW w:w="8028" w:type="dxa"/>
          </w:tcPr>
          <w:p w14:paraId="51613702" w14:textId="6205C931" w:rsidR="001C00A0" w:rsidRPr="009A501D" w:rsidRDefault="001C00A0" w:rsidP="005A77EE">
            <w:pPr>
              <w:spacing w:before="240"/>
              <w:jc w:val="center"/>
              <w:rPr>
                <w:rFonts w:ascii="Century Gothic" w:hAnsi="Century Gothic"/>
                <w:sz w:val="19"/>
                <w:szCs w:val="19"/>
              </w:rPr>
            </w:pPr>
            <w:r w:rsidRPr="009A501D">
              <w:rPr>
                <w:rFonts w:ascii="Century Gothic" w:hAnsi="Century Gothic"/>
                <w:noProof/>
                <w:lang w:eastAsia="es-MX"/>
              </w:rPr>
              <w:drawing>
                <wp:inline distT="0" distB="0" distL="0" distR="0" wp14:anchorId="333668F8" wp14:editId="4965AF3C">
                  <wp:extent cx="4080377" cy="30056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146" cy="3023880"/>
                          </a:xfrm>
                          <a:prstGeom prst="rect">
                            <a:avLst/>
                          </a:prstGeom>
                          <a:noFill/>
                          <a:ln>
                            <a:noFill/>
                          </a:ln>
                        </pic:spPr>
                      </pic:pic>
                    </a:graphicData>
                  </a:graphic>
                </wp:inline>
              </w:drawing>
            </w:r>
          </w:p>
        </w:tc>
      </w:tr>
    </w:tbl>
    <w:p w14:paraId="227099E8" w14:textId="1D1ABE8D" w:rsidR="00386984" w:rsidRPr="009A501D" w:rsidRDefault="00386984" w:rsidP="00386984">
      <w:pPr>
        <w:spacing w:before="240"/>
        <w:jc w:val="both"/>
        <w:rPr>
          <w:rFonts w:ascii="Century Gothic" w:hAnsi="Century Gothic"/>
          <w:sz w:val="19"/>
          <w:szCs w:val="19"/>
        </w:rPr>
      </w:pPr>
      <w:r w:rsidRPr="009A501D">
        <w:rPr>
          <w:rFonts w:ascii="Century Gothic" w:hAnsi="Century Gothic"/>
          <w:sz w:val="19"/>
          <w:szCs w:val="19"/>
        </w:rPr>
        <w:t xml:space="preserve">La primera actividad estratégica </w:t>
      </w:r>
      <w:r w:rsidR="008B1864" w:rsidRPr="009A501D">
        <w:rPr>
          <w:rFonts w:ascii="Century Gothic" w:hAnsi="Century Gothic"/>
          <w:sz w:val="19"/>
          <w:szCs w:val="19"/>
        </w:rPr>
        <w:t xml:space="preserve">del Sistema de Gestión de la Calidad Institucional </w:t>
      </w:r>
      <w:r w:rsidRPr="009A501D">
        <w:rPr>
          <w:rFonts w:ascii="Century Gothic" w:hAnsi="Century Gothic"/>
          <w:sz w:val="19"/>
          <w:szCs w:val="19"/>
        </w:rPr>
        <w:t>se vincula al establecimiento de controles de calidad en procesos estandarizados y documentados para la producción de información, con base en el MPEG.</w:t>
      </w:r>
      <w:r w:rsidR="00941A71" w:rsidRPr="009A501D">
        <w:rPr>
          <w:rFonts w:ascii="Century Gothic" w:hAnsi="Century Gothic"/>
          <w:sz w:val="19"/>
          <w:szCs w:val="19"/>
        </w:rPr>
        <w:t xml:space="preserve"> </w:t>
      </w:r>
      <w:r w:rsidRPr="009A501D">
        <w:rPr>
          <w:rFonts w:ascii="Century Gothic" w:hAnsi="Century Gothic"/>
          <w:sz w:val="19"/>
          <w:szCs w:val="19"/>
        </w:rPr>
        <w:t xml:space="preserve">La segunda actividad estratégica </w:t>
      </w:r>
      <w:r w:rsidR="0032347E" w:rsidRPr="009A501D">
        <w:rPr>
          <w:rFonts w:ascii="Century Gothic" w:hAnsi="Century Gothic"/>
          <w:sz w:val="19"/>
          <w:szCs w:val="19"/>
        </w:rPr>
        <w:t xml:space="preserve">consiste en la </w:t>
      </w:r>
      <w:r w:rsidRPr="009A501D">
        <w:rPr>
          <w:rFonts w:ascii="Century Gothic" w:hAnsi="Century Gothic"/>
          <w:sz w:val="19"/>
          <w:szCs w:val="19"/>
        </w:rPr>
        <w:t>eval</w:t>
      </w:r>
      <w:r w:rsidR="0032347E" w:rsidRPr="009A501D">
        <w:rPr>
          <w:rFonts w:ascii="Century Gothic" w:hAnsi="Century Gothic"/>
          <w:sz w:val="19"/>
          <w:szCs w:val="19"/>
        </w:rPr>
        <w:t>u</w:t>
      </w:r>
      <w:r w:rsidRPr="009A501D">
        <w:rPr>
          <w:rFonts w:ascii="Century Gothic" w:hAnsi="Century Gothic"/>
          <w:sz w:val="19"/>
          <w:szCs w:val="19"/>
        </w:rPr>
        <w:t>a</w:t>
      </w:r>
      <w:r w:rsidR="0032347E" w:rsidRPr="009A501D">
        <w:rPr>
          <w:rFonts w:ascii="Century Gothic" w:hAnsi="Century Gothic"/>
          <w:sz w:val="19"/>
          <w:szCs w:val="19"/>
        </w:rPr>
        <w:t>ción</w:t>
      </w:r>
      <w:r w:rsidRPr="009A501D">
        <w:rPr>
          <w:rFonts w:ascii="Century Gothic" w:hAnsi="Century Gothic"/>
          <w:sz w:val="19"/>
          <w:szCs w:val="19"/>
        </w:rPr>
        <w:t xml:space="preserve"> sistemática </w:t>
      </w:r>
      <w:r w:rsidR="0032347E" w:rsidRPr="009A501D">
        <w:rPr>
          <w:rFonts w:ascii="Century Gothic" w:hAnsi="Century Gothic"/>
          <w:sz w:val="19"/>
          <w:szCs w:val="19"/>
        </w:rPr>
        <w:t xml:space="preserve">de </w:t>
      </w:r>
      <w:r w:rsidRPr="009A501D">
        <w:rPr>
          <w:rFonts w:ascii="Century Gothic" w:hAnsi="Century Gothic"/>
          <w:sz w:val="19"/>
          <w:szCs w:val="19"/>
        </w:rPr>
        <w:t xml:space="preserve">la calidad de la información para permitir la identificación de áreas de mejora, además de proporcionar a las </w:t>
      </w:r>
      <w:r w:rsidR="006D1623">
        <w:rPr>
          <w:rFonts w:ascii="Century Gothic" w:hAnsi="Century Gothic"/>
          <w:sz w:val="19"/>
          <w:szCs w:val="19"/>
        </w:rPr>
        <w:t>personas</w:t>
      </w:r>
      <w:r w:rsidRPr="009A501D">
        <w:rPr>
          <w:rFonts w:ascii="Century Gothic" w:hAnsi="Century Gothic"/>
          <w:sz w:val="19"/>
          <w:szCs w:val="19"/>
        </w:rPr>
        <w:t xml:space="preserve"> usuari</w:t>
      </w:r>
      <w:r w:rsidR="006D1623">
        <w:rPr>
          <w:rFonts w:ascii="Century Gothic" w:hAnsi="Century Gothic"/>
          <w:sz w:val="19"/>
          <w:szCs w:val="19"/>
        </w:rPr>
        <w:t>a</w:t>
      </w:r>
      <w:r w:rsidRPr="009A501D">
        <w:rPr>
          <w:rFonts w:ascii="Century Gothic" w:hAnsi="Century Gothic"/>
          <w:sz w:val="19"/>
          <w:szCs w:val="19"/>
        </w:rPr>
        <w:t xml:space="preserve">s elementos para facilitar el </w:t>
      </w:r>
      <w:r w:rsidR="00630EDF" w:rsidRPr="009A501D">
        <w:rPr>
          <w:rFonts w:ascii="Century Gothic" w:hAnsi="Century Gothic"/>
          <w:sz w:val="19"/>
          <w:szCs w:val="19"/>
        </w:rPr>
        <w:t>uso</w:t>
      </w:r>
      <w:r w:rsidRPr="009A501D">
        <w:rPr>
          <w:rFonts w:ascii="Century Gothic" w:hAnsi="Century Gothic"/>
          <w:sz w:val="19"/>
          <w:szCs w:val="19"/>
        </w:rPr>
        <w:t xml:space="preserve"> de la información. Finalmente, la tercera </w:t>
      </w:r>
      <w:r w:rsidR="00630EDF" w:rsidRPr="009A501D">
        <w:rPr>
          <w:rFonts w:ascii="Century Gothic" w:hAnsi="Century Gothic"/>
          <w:sz w:val="19"/>
          <w:szCs w:val="19"/>
        </w:rPr>
        <w:t xml:space="preserve">se refiere al </w:t>
      </w:r>
      <w:r w:rsidRPr="009A501D">
        <w:rPr>
          <w:rFonts w:ascii="Century Gothic" w:hAnsi="Century Gothic"/>
          <w:sz w:val="19"/>
          <w:szCs w:val="19"/>
        </w:rPr>
        <w:t>desarroll</w:t>
      </w:r>
      <w:r w:rsidR="00630EDF" w:rsidRPr="009A501D">
        <w:rPr>
          <w:rFonts w:ascii="Century Gothic" w:hAnsi="Century Gothic"/>
          <w:sz w:val="19"/>
          <w:szCs w:val="19"/>
        </w:rPr>
        <w:t>o</w:t>
      </w:r>
      <w:r w:rsidRPr="009A501D">
        <w:rPr>
          <w:rFonts w:ascii="Century Gothic" w:hAnsi="Century Gothic"/>
          <w:sz w:val="19"/>
          <w:szCs w:val="19"/>
        </w:rPr>
        <w:t xml:space="preserve"> </w:t>
      </w:r>
      <w:r w:rsidR="00630EDF" w:rsidRPr="009A501D">
        <w:rPr>
          <w:rFonts w:ascii="Century Gothic" w:hAnsi="Century Gothic"/>
          <w:sz w:val="19"/>
          <w:szCs w:val="19"/>
        </w:rPr>
        <w:t xml:space="preserve">de </w:t>
      </w:r>
      <w:r w:rsidRPr="009A501D">
        <w:rPr>
          <w:rFonts w:ascii="Century Gothic" w:hAnsi="Century Gothic"/>
          <w:sz w:val="19"/>
          <w:szCs w:val="19"/>
        </w:rPr>
        <w:t xml:space="preserve">los protocolos para </w:t>
      </w:r>
      <w:r w:rsidR="00DD6AAD" w:rsidRPr="009A501D">
        <w:rPr>
          <w:rFonts w:ascii="Century Gothic" w:hAnsi="Century Gothic"/>
          <w:sz w:val="19"/>
          <w:szCs w:val="19"/>
        </w:rPr>
        <w:t>verificar</w:t>
      </w:r>
      <w:r w:rsidRPr="009A501D">
        <w:rPr>
          <w:rFonts w:ascii="Century Gothic" w:hAnsi="Century Gothic"/>
          <w:sz w:val="19"/>
          <w:szCs w:val="19"/>
        </w:rPr>
        <w:t xml:space="preserve"> y documentar el impacto de las mejoras, previo a su incorporación estandarizada a los procesos de producción, y es acompañada de actividades de capacitación y difusión. </w:t>
      </w:r>
      <w:r w:rsidR="00BD0CBA" w:rsidRPr="009A501D">
        <w:rPr>
          <w:rFonts w:ascii="Century Gothic" w:hAnsi="Century Gothic"/>
          <w:sz w:val="19"/>
          <w:szCs w:val="19"/>
        </w:rPr>
        <w:t>Así, se conforma u</w:t>
      </w:r>
      <w:r w:rsidR="0067170D" w:rsidRPr="009A501D">
        <w:rPr>
          <w:rFonts w:ascii="Century Gothic" w:hAnsi="Century Gothic"/>
          <w:sz w:val="19"/>
          <w:szCs w:val="19"/>
        </w:rPr>
        <w:t>n c</w:t>
      </w:r>
      <w:r w:rsidR="00B01325" w:rsidRPr="009A501D">
        <w:rPr>
          <w:rFonts w:ascii="Century Gothic" w:hAnsi="Century Gothic"/>
          <w:sz w:val="19"/>
          <w:szCs w:val="19"/>
        </w:rPr>
        <w:t xml:space="preserve">írculo virtuoso </w:t>
      </w:r>
      <w:r w:rsidR="00D0195E" w:rsidRPr="009A501D">
        <w:rPr>
          <w:rFonts w:ascii="Century Gothic" w:hAnsi="Century Gothic"/>
          <w:sz w:val="19"/>
          <w:szCs w:val="19"/>
        </w:rPr>
        <w:t xml:space="preserve">para </w:t>
      </w:r>
      <w:r w:rsidRPr="009A501D">
        <w:rPr>
          <w:rFonts w:ascii="Century Gothic" w:hAnsi="Century Gothic"/>
          <w:sz w:val="19"/>
          <w:szCs w:val="19"/>
        </w:rPr>
        <w:t>el aseguramiento de la calidad</w:t>
      </w:r>
      <w:r w:rsidR="00D0195E" w:rsidRPr="009A501D">
        <w:rPr>
          <w:rFonts w:ascii="Century Gothic" w:hAnsi="Century Gothic"/>
          <w:sz w:val="19"/>
          <w:szCs w:val="19"/>
        </w:rPr>
        <w:t xml:space="preserve"> a nivel institucional</w:t>
      </w:r>
      <w:r w:rsidRPr="009A501D">
        <w:rPr>
          <w:rFonts w:ascii="Century Gothic" w:hAnsi="Century Gothic"/>
          <w:sz w:val="19"/>
          <w:szCs w:val="19"/>
        </w:rPr>
        <w:t>.</w:t>
      </w:r>
    </w:p>
    <w:p w14:paraId="2EA95FE1" w14:textId="225F6756" w:rsidR="00F85567" w:rsidRPr="009A501D" w:rsidRDefault="00F85567" w:rsidP="005A77EE">
      <w:pPr>
        <w:spacing w:before="240"/>
        <w:jc w:val="both"/>
        <w:rPr>
          <w:rFonts w:ascii="Century Gothic" w:hAnsi="Century Gothic"/>
          <w:sz w:val="19"/>
          <w:szCs w:val="19"/>
        </w:rPr>
      </w:pPr>
      <w:r w:rsidRPr="009A501D">
        <w:rPr>
          <w:rFonts w:ascii="Century Gothic" w:hAnsi="Century Gothic"/>
          <w:sz w:val="19"/>
          <w:szCs w:val="19"/>
        </w:rPr>
        <w:t>Bajo este marco, durante 2022 representantes de las Unidades Administrativas del INEGI participaron activamente en los siguientes temas dentro de los grupos de trabajo:</w:t>
      </w:r>
    </w:p>
    <w:p w14:paraId="32D00225" w14:textId="77777777" w:rsidR="00F85567" w:rsidRPr="009A501D" w:rsidRDefault="00F85567" w:rsidP="005A77EE">
      <w:pPr>
        <w:pStyle w:val="Prrafodelista"/>
        <w:numPr>
          <w:ilvl w:val="0"/>
          <w:numId w:val="11"/>
        </w:numPr>
        <w:spacing w:before="240"/>
        <w:ind w:left="714" w:hanging="357"/>
        <w:jc w:val="both"/>
        <w:rPr>
          <w:rFonts w:ascii="Century Gothic" w:hAnsi="Century Gothic"/>
          <w:sz w:val="19"/>
          <w:szCs w:val="19"/>
        </w:rPr>
      </w:pPr>
      <w:r w:rsidRPr="009A501D">
        <w:rPr>
          <w:rFonts w:ascii="Century Gothic" w:hAnsi="Century Gothic"/>
          <w:sz w:val="19"/>
          <w:szCs w:val="19"/>
        </w:rPr>
        <w:t xml:space="preserve">Definición de indicadores de precisión para la información geográfica. </w:t>
      </w:r>
    </w:p>
    <w:p w14:paraId="70EF2340" w14:textId="77777777" w:rsidR="00F85567" w:rsidRPr="009A501D" w:rsidRDefault="00F85567" w:rsidP="005A77EE">
      <w:pPr>
        <w:pStyle w:val="Prrafodelista"/>
        <w:numPr>
          <w:ilvl w:val="0"/>
          <w:numId w:val="11"/>
        </w:numPr>
        <w:spacing w:before="240"/>
        <w:ind w:left="714" w:hanging="357"/>
        <w:jc w:val="both"/>
        <w:rPr>
          <w:rFonts w:ascii="Century Gothic" w:hAnsi="Century Gothic"/>
          <w:sz w:val="19"/>
          <w:szCs w:val="19"/>
        </w:rPr>
      </w:pPr>
      <w:r w:rsidRPr="009A501D">
        <w:rPr>
          <w:rFonts w:ascii="Century Gothic" w:hAnsi="Century Gothic"/>
          <w:sz w:val="19"/>
          <w:szCs w:val="19"/>
        </w:rPr>
        <w:t xml:space="preserve">Adaptación de la guía de diseño conceptual para procesos cuyo insumo son registros administrativos. </w:t>
      </w:r>
    </w:p>
    <w:p w14:paraId="0B89B744" w14:textId="00E923A7" w:rsidR="00F85567" w:rsidRPr="009A501D" w:rsidRDefault="00D0195E" w:rsidP="005A77EE">
      <w:pPr>
        <w:pStyle w:val="Prrafodelista"/>
        <w:numPr>
          <w:ilvl w:val="0"/>
          <w:numId w:val="11"/>
        </w:numPr>
        <w:spacing w:before="240"/>
        <w:ind w:left="714" w:hanging="357"/>
        <w:jc w:val="both"/>
        <w:rPr>
          <w:rFonts w:ascii="Century Gothic" w:hAnsi="Century Gothic"/>
          <w:sz w:val="19"/>
          <w:szCs w:val="19"/>
        </w:rPr>
      </w:pPr>
      <w:r w:rsidRPr="009A501D">
        <w:rPr>
          <w:rFonts w:ascii="Century Gothic" w:hAnsi="Century Gothic"/>
          <w:sz w:val="19"/>
          <w:szCs w:val="19"/>
        </w:rPr>
        <w:t>Propuestas de</w:t>
      </w:r>
      <w:r w:rsidR="008E2D5D" w:rsidRPr="009A501D">
        <w:rPr>
          <w:rFonts w:ascii="Century Gothic" w:hAnsi="Century Gothic"/>
          <w:sz w:val="19"/>
          <w:szCs w:val="19"/>
        </w:rPr>
        <w:t xml:space="preserve"> indicador</w:t>
      </w:r>
      <w:r w:rsidRPr="009A501D">
        <w:rPr>
          <w:rFonts w:ascii="Century Gothic" w:hAnsi="Century Gothic"/>
          <w:sz w:val="19"/>
          <w:szCs w:val="19"/>
        </w:rPr>
        <w:t>es</w:t>
      </w:r>
      <w:r w:rsidR="008E2D5D" w:rsidRPr="009A501D">
        <w:rPr>
          <w:rFonts w:ascii="Century Gothic" w:hAnsi="Century Gothic"/>
          <w:sz w:val="19"/>
          <w:szCs w:val="19"/>
        </w:rPr>
        <w:t xml:space="preserve"> de costo-efectividad</w:t>
      </w:r>
      <w:r w:rsidR="00F85567" w:rsidRPr="009A501D">
        <w:rPr>
          <w:rFonts w:ascii="Century Gothic" w:hAnsi="Century Gothic"/>
          <w:sz w:val="19"/>
          <w:szCs w:val="19"/>
        </w:rPr>
        <w:t>.</w:t>
      </w:r>
    </w:p>
    <w:p w14:paraId="0C07379C" w14:textId="3B56C9D5" w:rsidR="00F85567" w:rsidRPr="009A501D" w:rsidRDefault="00F85567" w:rsidP="005A77EE">
      <w:pPr>
        <w:pStyle w:val="Prrafodelista"/>
        <w:numPr>
          <w:ilvl w:val="0"/>
          <w:numId w:val="11"/>
        </w:numPr>
        <w:spacing w:before="240"/>
        <w:ind w:left="714" w:hanging="357"/>
        <w:jc w:val="both"/>
        <w:rPr>
          <w:rFonts w:ascii="Century Gothic" w:hAnsi="Century Gothic"/>
          <w:sz w:val="19"/>
          <w:szCs w:val="19"/>
        </w:rPr>
      </w:pPr>
      <w:r w:rsidRPr="009A501D">
        <w:rPr>
          <w:rFonts w:ascii="Century Gothic" w:hAnsi="Century Gothic"/>
          <w:sz w:val="19"/>
          <w:szCs w:val="19"/>
        </w:rPr>
        <w:t>Marco genérico para evaluaciones de calidad.</w:t>
      </w:r>
    </w:p>
    <w:p w14:paraId="4FECAFC4" w14:textId="4CA868BB" w:rsidR="000930DA" w:rsidRPr="009A501D" w:rsidRDefault="002B4A7F" w:rsidP="001459C2">
      <w:pPr>
        <w:spacing w:before="240"/>
        <w:jc w:val="both"/>
        <w:rPr>
          <w:rFonts w:ascii="Century Gothic" w:hAnsi="Century Gothic"/>
          <w:sz w:val="19"/>
          <w:szCs w:val="19"/>
        </w:rPr>
      </w:pPr>
      <w:r w:rsidRPr="009A501D">
        <w:rPr>
          <w:rFonts w:ascii="Century Gothic" w:hAnsi="Century Gothic"/>
          <w:sz w:val="19"/>
          <w:szCs w:val="19"/>
        </w:rPr>
        <w:t>En este sentido, e</w:t>
      </w:r>
      <w:r w:rsidR="00852D13" w:rsidRPr="009A501D">
        <w:rPr>
          <w:rFonts w:ascii="Century Gothic" w:hAnsi="Century Gothic"/>
          <w:sz w:val="19"/>
          <w:szCs w:val="19"/>
        </w:rPr>
        <w:t>l presente informe incluye los principales resultados</w:t>
      </w:r>
      <w:r w:rsidRPr="009A501D">
        <w:rPr>
          <w:rFonts w:ascii="Century Gothic" w:hAnsi="Century Gothic"/>
          <w:sz w:val="19"/>
          <w:szCs w:val="19"/>
        </w:rPr>
        <w:t xml:space="preserve"> obtenidos </w:t>
      </w:r>
      <w:r w:rsidR="00F26CEF" w:rsidRPr="009A501D">
        <w:rPr>
          <w:rFonts w:ascii="Century Gothic" w:hAnsi="Century Gothic"/>
          <w:sz w:val="19"/>
          <w:szCs w:val="19"/>
        </w:rPr>
        <w:t>durante 2022</w:t>
      </w:r>
      <w:r w:rsidR="00BA129C" w:rsidRPr="009A501D">
        <w:rPr>
          <w:rFonts w:ascii="Century Gothic" w:hAnsi="Century Gothic"/>
          <w:sz w:val="19"/>
          <w:szCs w:val="19"/>
        </w:rPr>
        <w:t xml:space="preserve">.  </w:t>
      </w:r>
      <w:r w:rsidR="00FB0500" w:rsidRPr="009A501D">
        <w:rPr>
          <w:rFonts w:ascii="Century Gothic" w:hAnsi="Century Gothic"/>
          <w:sz w:val="19"/>
          <w:szCs w:val="19"/>
        </w:rPr>
        <w:t xml:space="preserve">Después de esta introducción, la segunda </w:t>
      </w:r>
      <w:r w:rsidR="00A0673D" w:rsidRPr="009A501D">
        <w:rPr>
          <w:rFonts w:ascii="Century Gothic" w:hAnsi="Century Gothic"/>
          <w:sz w:val="19"/>
          <w:szCs w:val="19"/>
        </w:rPr>
        <w:t>sección del informe</w:t>
      </w:r>
      <w:r w:rsidR="0029749C" w:rsidRPr="009A501D">
        <w:rPr>
          <w:rFonts w:ascii="Century Gothic" w:hAnsi="Century Gothic"/>
          <w:sz w:val="19"/>
          <w:szCs w:val="19"/>
        </w:rPr>
        <w:t xml:space="preserve"> presenta los</w:t>
      </w:r>
      <w:r w:rsidR="00C73A4E" w:rsidRPr="009A501D">
        <w:rPr>
          <w:rFonts w:ascii="Century Gothic" w:hAnsi="Century Gothic"/>
          <w:sz w:val="19"/>
          <w:szCs w:val="19"/>
        </w:rPr>
        <w:t xml:space="preserve"> avances en torno </w:t>
      </w:r>
      <w:r w:rsidR="00116FFB" w:rsidRPr="009A501D">
        <w:rPr>
          <w:rFonts w:ascii="Century Gothic" w:hAnsi="Century Gothic"/>
          <w:sz w:val="19"/>
          <w:szCs w:val="19"/>
        </w:rPr>
        <w:t>a las tres actividades estratégicas</w:t>
      </w:r>
      <w:r w:rsidR="00C73A4E" w:rsidRPr="009A501D">
        <w:rPr>
          <w:rFonts w:ascii="Century Gothic" w:hAnsi="Century Gothic"/>
          <w:sz w:val="19"/>
          <w:szCs w:val="19"/>
        </w:rPr>
        <w:t xml:space="preserve"> descritas previamente</w:t>
      </w:r>
      <w:r w:rsidR="00116FFB" w:rsidRPr="009A501D">
        <w:rPr>
          <w:rFonts w:ascii="Century Gothic" w:hAnsi="Century Gothic"/>
          <w:sz w:val="19"/>
          <w:szCs w:val="19"/>
        </w:rPr>
        <w:t xml:space="preserve">, </w:t>
      </w:r>
      <w:r w:rsidR="00C15BB2" w:rsidRPr="009A501D">
        <w:rPr>
          <w:rFonts w:ascii="Century Gothic" w:hAnsi="Century Gothic"/>
          <w:sz w:val="19"/>
          <w:szCs w:val="19"/>
        </w:rPr>
        <w:t>y se destacan</w:t>
      </w:r>
      <w:r w:rsidR="00EC7C18" w:rsidRPr="009A501D">
        <w:rPr>
          <w:rFonts w:ascii="Century Gothic" w:hAnsi="Century Gothic"/>
          <w:sz w:val="19"/>
          <w:szCs w:val="19"/>
        </w:rPr>
        <w:t xml:space="preserve"> los</w:t>
      </w:r>
      <w:r w:rsidR="00BB1502" w:rsidRPr="009A501D">
        <w:rPr>
          <w:rFonts w:ascii="Century Gothic" w:hAnsi="Century Gothic"/>
          <w:sz w:val="19"/>
          <w:szCs w:val="19"/>
        </w:rPr>
        <w:t xml:space="preserve"> retos</w:t>
      </w:r>
      <w:r w:rsidR="009D2C13" w:rsidRPr="009A501D">
        <w:rPr>
          <w:rFonts w:ascii="Century Gothic" w:hAnsi="Century Gothic"/>
          <w:sz w:val="19"/>
          <w:szCs w:val="19"/>
        </w:rPr>
        <w:t xml:space="preserve"> del Comité hacia 2025. En la </w:t>
      </w:r>
      <w:r w:rsidR="00C97799" w:rsidRPr="009A501D">
        <w:rPr>
          <w:rFonts w:ascii="Century Gothic" w:hAnsi="Century Gothic"/>
          <w:sz w:val="19"/>
          <w:szCs w:val="19"/>
        </w:rPr>
        <w:t xml:space="preserve">tercera sección se </w:t>
      </w:r>
      <w:r w:rsidR="00CD0C8C" w:rsidRPr="009A501D">
        <w:rPr>
          <w:rFonts w:ascii="Century Gothic" w:hAnsi="Century Gothic"/>
          <w:sz w:val="19"/>
          <w:szCs w:val="19"/>
        </w:rPr>
        <w:t>explican los principales resultados de los indicadores de calidad</w:t>
      </w:r>
      <w:r w:rsidR="00D55EDA" w:rsidRPr="009A501D">
        <w:rPr>
          <w:rFonts w:ascii="Century Gothic" w:hAnsi="Century Gothic"/>
          <w:sz w:val="19"/>
          <w:szCs w:val="19"/>
        </w:rPr>
        <w:t xml:space="preserve"> aprobados hasta la fecha. En </w:t>
      </w:r>
      <w:r w:rsidR="005965F3" w:rsidRPr="009A501D">
        <w:rPr>
          <w:rFonts w:ascii="Century Gothic" w:hAnsi="Century Gothic"/>
          <w:sz w:val="19"/>
          <w:szCs w:val="19"/>
        </w:rPr>
        <w:t xml:space="preserve">la </w:t>
      </w:r>
      <w:r w:rsidR="00ED1777" w:rsidRPr="009A501D">
        <w:rPr>
          <w:rFonts w:ascii="Century Gothic" w:hAnsi="Century Gothic"/>
          <w:sz w:val="19"/>
          <w:szCs w:val="19"/>
        </w:rPr>
        <w:t xml:space="preserve">cuarta sección </w:t>
      </w:r>
      <w:r w:rsidR="00D43B21" w:rsidRPr="009A501D">
        <w:rPr>
          <w:rFonts w:ascii="Century Gothic" w:hAnsi="Century Gothic"/>
          <w:sz w:val="19"/>
          <w:szCs w:val="19"/>
        </w:rPr>
        <w:t xml:space="preserve">se </w:t>
      </w:r>
      <w:r w:rsidR="00530114" w:rsidRPr="009A501D">
        <w:rPr>
          <w:rFonts w:ascii="Century Gothic" w:hAnsi="Century Gothic"/>
          <w:sz w:val="19"/>
          <w:szCs w:val="19"/>
        </w:rPr>
        <w:t xml:space="preserve">describen los avances en la implementación del </w:t>
      </w:r>
      <w:r w:rsidR="00294449" w:rsidRPr="009A501D">
        <w:rPr>
          <w:rFonts w:ascii="Century Gothic" w:hAnsi="Century Gothic"/>
          <w:sz w:val="19"/>
          <w:szCs w:val="19"/>
        </w:rPr>
        <w:t xml:space="preserve">(MPEG) relacionados con </w:t>
      </w:r>
      <w:r w:rsidR="009F4CB3" w:rsidRPr="009A501D">
        <w:rPr>
          <w:rFonts w:ascii="Century Gothic" w:hAnsi="Century Gothic"/>
          <w:sz w:val="19"/>
          <w:szCs w:val="19"/>
        </w:rPr>
        <w:t xml:space="preserve">la carga de evidencias en el sistema </w:t>
      </w:r>
      <w:r w:rsidR="00EA5C0F" w:rsidRPr="009A501D">
        <w:rPr>
          <w:rFonts w:ascii="Century Gothic" w:hAnsi="Century Gothic"/>
          <w:sz w:val="19"/>
          <w:szCs w:val="19"/>
        </w:rPr>
        <w:t>PTRACKING</w:t>
      </w:r>
      <w:r w:rsidR="009F4CB3" w:rsidRPr="009A501D">
        <w:rPr>
          <w:rFonts w:ascii="Century Gothic" w:hAnsi="Century Gothic"/>
          <w:sz w:val="19"/>
          <w:szCs w:val="19"/>
        </w:rPr>
        <w:t xml:space="preserve">, </w:t>
      </w:r>
      <w:r w:rsidR="004D7E94" w:rsidRPr="009A501D">
        <w:rPr>
          <w:rFonts w:ascii="Century Gothic" w:hAnsi="Century Gothic"/>
          <w:sz w:val="19"/>
          <w:szCs w:val="19"/>
        </w:rPr>
        <w:t xml:space="preserve">los resultados </w:t>
      </w:r>
      <w:r w:rsidR="007B511E" w:rsidRPr="009A501D">
        <w:rPr>
          <w:rFonts w:ascii="Century Gothic" w:hAnsi="Century Gothic"/>
          <w:sz w:val="19"/>
          <w:szCs w:val="19"/>
        </w:rPr>
        <w:t>obtenidos de la aplicación del Modelo de Costos por Proceso y las características generales de los cambios al diseño de los pro</w:t>
      </w:r>
      <w:r w:rsidR="00260503" w:rsidRPr="009A501D">
        <w:rPr>
          <w:rFonts w:ascii="Century Gothic" w:hAnsi="Century Gothic"/>
          <w:sz w:val="19"/>
          <w:szCs w:val="19"/>
        </w:rPr>
        <w:t xml:space="preserve">cesos de producción registrados en el </w:t>
      </w:r>
      <w:r w:rsidR="005965F3" w:rsidRPr="009A501D">
        <w:rPr>
          <w:rFonts w:ascii="Century Gothic" w:hAnsi="Century Gothic"/>
          <w:sz w:val="19"/>
          <w:szCs w:val="19"/>
        </w:rPr>
        <w:t>S</w:t>
      </w:r>
      <w:r w:rsidR="00260503" w:rsidRPr="009A501D">
        <w:rPr>
          <w:rFonts w:ascii="Century Gothic" w:hAnsi="Century Gothic"/>
          <w:sz w:val="19"/>
          <w:szCs w:val="19"/>
        </w:rPr>
        <w:t>istema de Seguimiento de Cambios</w:t>
      </w:r>
      <w:r w:rsidR="00374BCB" w:rsidRPr="009A501D">
        <w:rPr>
          <w:rFonts w:ascii="Century Gothic" w:hAnsi="Century Gothic"/>
          <w:sz w:val="19"/>
          <w:szCs w:val="19"/>
        </w:rPr>
        <w:t xml:space="preserve"> (SSC)</w:t>
      </w:r>
      <w:r w:rsidR="00260503" w:rsidRPr="009A501D">
        <w:rPr>
          <w:rFonts w:ascii="Century Gothic" w:hAnsi="Century Gothic"/>
          <w:sz w:val="19"/>
          <w:szCs w:val="19"/>
        </w:rPr>
        <w:t xml:space="preserve">. </w:t>
      </w:r>
      <w:r w:rsidR="00F21E69" w:rsidRPr="009A501D">
        <w:rPr>
          <w:rFonts w:ascii="Century Gothic" w:hAnsi="Century Gothic"/>
          <w:sz w:val="19"/>
          <w:szCs w:val="19"/>
        </w:rPr>
        <w:t>Después de las conclusiones generales del informe se encuentran los anexos</w:t>
      </w:r>
      <w:r w:rsidR="00672F96" w:rsidRPr="009A501D">
        <w:rPr>
          <w:rFonts w:ascii="Century Gothic" w:hAnsi="Century Gothic"/>
          <w:sz w:val="19"/>
          <w:szCs w:val="19"/>
        </w:rPr>
        <w:t xml:space="preserve">. </w:t>
      </w:r>
      <w:r w:rsidR="005965F3" w:rsidRPr="009A501D">
        <w:rPr>
          <w:rFonts w:ascii="Century Gothic" w:hAnsi="Century Gothic"/>
          <w:sz w:val="19"/>
          <w:szCs w:val="19"/>
        </w:rPr>
        <w:t>De</w:t>
      </w:r>
      <w:r w:rsidR="00947321" w:rsidRPr="009A501D">
        <w:rPr>
          <w:rFonts w:ascii="Century Gothic" w:hAnsi="Century Gothic"/>
          <w:sz w:val="19"/>
          <w:szCs w:val="19"/>
        </w:rPr>
        <w:t xml:space="preserve"> los anexos</w:t>
      </w:r>
      <w:r w:rsidR="00F21E69" w:rsidRPr="009A501D">
        <w:rPr>
          <w:rFonts w:ascii="Century Gothic" w:hAnsi="Century Gothic"/>
          <w:sz w:val="19"/>
          <w:szCs w:val="19"/>
        </w:rPr>
        <w:t xml:space="preserve"> </w:t>
      </w:r>
      <w:r w:rsidR="007B7171" w:rsidRPr="009A501D">
        <w:rPr>
          <w:rFonts w:ascii="Century Gothic" w:hAnsi="Century Gothic"/>
          <w:sz w:val="19"/>
          <w:szCs w:val="19"/>
        </w:rPr>
        <w:t xml:space="preserve">1 al 5 se encuentran los resultados de los </w:t>
      </w:r>
      <w:r w:rsidR="00D87217" w:rsidRPr="009A501D">
        <w:rPr>
          <w:rFonts w:ascii="Century Gothic" w:hAnsi="Century Gothic"/>
          <w:sz w:val="19"/>
          <w:szCs w:val="19"/>
        </w:rPr>
        <w:t>indicadores de calidad por programa de información</w:t>
      </w:r>
      <w:r w:rsidR="00F8432B" w:rsidRPr="009A501D">
        <w:rPr>
          <w:rFonts w:ascii="Century Gothic" w:hAnsi="Century Gothic"/>
          <w:sz w:val="19"/>
          <w:szCs w:val="19"/>
        </w:rPr>
        <w:t xml:space="preserve"> o</w:t>
      </w:r>
      <w:r w:rsidR="00D87217" w:rsidRPr="009A501D">
        <w:rPr>
          <w:rFonts w:ascii="Century Gothic" w:hAnsi="Century Gothic"/>
          <w:sz w:val="19"/>
          <w:szCs w:val="19"/>
        </w:rPr>
        <w:t xml:space="preserve"> proceso de </w:t>
      </w:r>
      <w:r w:rsidR="005965F3" w:rsidRPr="009A501D">
        <w:rPr>
          <w:rFonts w:ascii="Century Gothic" w:hAnsi="Century Gothic"/>
          <w:sz w:val="19"/>
          <w:szCs w:val="19"/>
        </w:rPr>
        <w:t>producción</w:t>
      </w:r>
      <w:r w:rsidR="00947321" w:rsidRPr="009A501D">
        <w:rPr>
          <w:rFonts w:ascii="Century Gothic" w:hAnsi="Century Gothic"/>
          <w:sz w:val="19"/>
          <w:szCs w:val="19"/>
        </w:rPr>
        <w:t>.</w:t>
      </w:r>
      <w:r w:rsidR="00873F14" w:rsidRPr="009A501D">
        <w:rPr>
          <w:rFonts w:ascii="Century Gothic" w:hAnsi="Century Gothic"/>
          <w:sz w:val="19"/>
          <w:szCs w:val="19"/>
        </w:rPr>
        <w:t xml:space="preserve"> </w:t>
      </w:r>
      <w:r w:rsidR="00947321" w:rsidRPr="009A501D">
        <w:rPr>
          <w:rFonts w:ascii="Century Gothic" w:hAnsi="Century Gothic"/>
          <w:sz w:val="19"/>
          <w:szCs w:val="19"/>
        </w:rPr>
        <w:t>E</w:t>
      </w:r>
      <w:r w:rsidR="00873F14" w:rsidRPr="009A501D">
        <w:rPr>
          <w:rFonts w:ascii="Century Gothic" w:hAnsi="Century Gothic"/>
          <w:sz w:val="19"/>
          <w:szCs w:val="19"/>
        </w:rPr>
        <w:t xml:space="preserve">n el </w:t>
      </w:r>
      <w:r w:rsidR="00D569A9" w:rsidRPr="009A501D">
        <w:rPr>
          <w:rFonts w:ascii="Century Gothic" w:hAnsi="Century Gothic"/>
          <w:sz w:val="19"/>
          <w:szCs w:val="19"/>
        </w:rPr>
        <w:t xml:space="preserve">anexo 6 se presentan los indicadores-objetivo </w:t>
      </w:r>
      <w:r w:rsidR="0063092C" w:rsidRPr="009A501D">
        <w:rPr>
          <w:rFonts w:ascii="Century Gothic" w:hAnsi="Century Gothic"/>
          <w:sz w:val="19"/>
          <w:szCs w:val="19"/>
        </w:rPr>
        <w:t xml:space="preserve">para los que </w:t>
      </w:r>
      <w:r w:rsidR="00672F96" w:rsidRPr="009A501D">
        <w:rPr>
          <w:rFonts w:ascii="Century Gothic" w:hAnsi="Century Gothic"/>
          <w:sz w:val="19"/>
          <w:szCs w:val="19"/>
        </w:rPr>
        <w:t xml:space="preserve">actualmente se reporta la precisión de </w:t>
      </w:r>
      <w:r w:rsidR="00067C2B" w:rsidRPr="009A501D">
        <w:rPr>
          <w:rFonts w:ascii="Century Gothic" w:hAnsi="Century Gothic"/>
          <w:sz w:val="19"/>
          <w:szCs w:val="19"/>
        </w:rPr>
        <w:t xml:space="preserve">las encuestas </w:t>
      </w:r>
      <w:r w:rsidR="00672F96" w:rsidRPr="009A501D">
        <w:rPr>
          <w:rFonts w:ascii="Century Gothic" w:hAnsi="Century Gothic"/>
          <w:sz w:val="19"/>
          <w:szCs w:val="19"/>
        </w:rPr>
        <w:t xml:space="preserve">y que servirán de base para </w:t>
      </w:r>
      <w:r w:rsidR="00672F96" w:rsidRPr="009A501D">
        <w:rPr>
          <w:rFonts w:ascii="Century Gothic" w:hAnsi="Century Gothic"/>
          <w:sz w:val="19"/>
          <w:szCs w:val="19"/>
        </w:rPr>
        <w:lastRenderedPageBreak/>
        <w:t>el cálculo de</w:t>
      </w:r>
      <w:r w:rsidR="005965F3" w:rsidRPr="009A501D">
        <w:rPr>
          <w:rFonts w:ascii="Century Gothic" w:hAnsi="Century Gothic"/>
          <w:sz w:val="19"/>
          <w:szCs w:val="19"/>
        </w:rPr>
        <w:t xml:space="preserve"> un</w:t>
      </w:r>
      <w:r w:rsidR="00672F96" w:rsidRPr="009A501D">
        <w:rPr>
          <w:rFonts w:ascii="Century Gothic" w:hAnsi="Century Gothic"/>
          <w:sz w:val="19"/>
          <w:szCs w:val="19"/>
        </w:rPr>
        <w:t xml:space="preserve"> indicador de costo-efectividad</w:t>
      </w:r>
      <w:r w:rsidR="00947321" w:rsidRPr="009A501D">
        <w:rPr>
          <w:rFonts w:ascii="Century Gothic" w:hAnsi="Century Gothic"/>
          <w:sz w:val="19"/>
          <w:szCs w:val="19"/>
        </w:rPr>
        <w:t>.  En el anexo 7</w:t>
      </w:r>
      <w:r w:rsidR="00F76981" w:rsidRPr="009A501D">
        <w:rPr>
          <w:rFonts w:ascii="Century Gothic" w:hAnsi="Century Gothic"/>
          <w:sz w:val="19"/>
          <w:szCs w:val="19"/>
        </w:rPr>
        <w:t xml:space="preserve"> está la relación de costos totales </w:t>
      </w:r>
      <w:r w:rsidR="00323EA8" w:rsidRPr="009A501D">
        <w:rPr>
          <w:rFonts w:ascii="Century Gothic" w:hAnsi="Century Gothic"/>
          <w:sz w:val="19"/>
          <w:szCs w:val="19"/>
        </w:rPr>
        <w:t>por cada programa de información</w:t>
      </w:r>
      <w:r w:rsidR="008F2EA3" w:rsidRPr="009A501D">
        <w:rPr>
          <w:rFonts w:ascii="Century Gothic" w:hAnsi="Century Gothic"/>
          <w:sz w:val="19"/>
          <w:szCs w:val="19"/>
        </w:rPr>
        <w:t xml:space="preserve">. Finalmente, en el anexo </w:t>
      </w:r>
      <w:r w:rsidR="00400D30" w:rsidRPr="009A501D">
        <w:rPr>
          <w:rFonts w:ascii="Century Gothic" w:hAnsi="Century Gothic"/>
          <w:sz w:val="19"/>
          <w:szCs w:val="19"/>
        </w:rPr>
        <w:t>8 se describen de manera general los cambios al diseño de los programas de información</w:t>
      </w:r>
      <w:r w:rsidR="00F8432B" w:rsidRPr="009A501D">
        <w:rPr>
          <w:rFonts w:ascii="Century Gothic" w:hAnsi="Century Gothic"/>
          <w:sz w:val="19"/>
          <w:szCs w:val="19"/>
        </w:rPr>
        <w:t xml:space="preserve"> o </w:t>
      </w:r>
      <w:r w:rsidR="00400D30" w:rsidRPr="009A501D">
        <w:rPr>
          <w:rFonts w:ascii="Century Gothic" w:hAnsi="Century Gothic"/>
          <w:sz w:val="19"/>
          <w:szCs w:val="19"/>
        </w:rPr>
        <w:t>procesos de producción registrados en 2022</w:t>
      </w:r>
      <w:r w:rsidR="00EC7C18" w:rsidRPr="009A501D">
        <w:rPr>
          <w:rFonts w:ascii="Century Gothic" w:hAnsi="Century Gothic"/>
          <w:sz w:val="19"/>
          <w:szCs w:val="19"/>
        </w:rPr>
        <w:t>.</w:t>
      </w:r>
      <w:r w:rsidR="000930DA" w:rsidRPr="009A501D">
        <w:rPr>
          <w:rFonts w:ascii="Century Gothic" w:hAnsi="Century Gothic"/>
          <w:sz w:val="19"/>
          <w:szCs w:val="19"/>
        </w:rPr>
        <w:br w:type="page"/>
      </w:r>
    </w:p>
    <w:p w14:paraId="099D181C" w14:textId="3B8477F5" w:rsidR="00714614" w:rsidRPr="009A501D" w:rsidRDefault="00714614" w:rsidP="00714614">
      <w:pPr>
        <w:pStyle w:val="Ttulo1"/>
        <w:spacing w:after="160"/>
        <w:ind w:left="2835" w:hanging="2835"/>
        <w:jc w:val="right"/>
        <w:rPr>
          <w:rFonts w:ascii="Century Gothic" w:hAnsi="Century Gothic" w:cstheme="minorHAnsi"/>
          <w:b/>
          <w:bCs/>
          <w:color w:val="002060"/>
        </w:rPr>
      </w:pPr>
      <w:bookmarkStart w:id="1" w:name="_Toc131161792"/>
      <w:r w:rsidRPr="009A501D">
        <w:rPr>
          <w:rFonts w:ascii="Century Gothic" w:hAnsi="Century Gothic" w:cstheme="minorHAnsi"/>
          <w:b/>
          <w:bCs/>
          <w:color w:val="002060"/>
        </w:rPr>
        <w:lastRenderedPageBreak/>
        <w:t>II. AVANCES</w:t>
      </w:r>
      <w:r w:rsidR="00C80607">
        <w:rPr>
          <w:rFonts w:ascii="Century Gothic" w:hAnsi="Century Gothic" w:cstheme="minorHAnsi"/>
          <w:b/>
          <w:bCs/>
          <w:color w:val="002060"/>
        </w:rPr>
        <w:t xml:space="preserve"> EN METAS DEL COMITÉ</w:t>
      </w:r>
      <w:r w:rsidRPr="009A501D">
        <w:rPr>
          <w:rFonts w:ascii="Century Gothic" w:hAnsi="Century Gothic" w:cstheme="minorHAnsi"/>
          <w:b/>
          <w:bCs/>
          <w:color w:val="002060"/>
        </w:rPr>
        <w:t xml:space="preserve"> Y RETOS</w:t>
      </w:r>
      <w:bookmarkEnd w:id="1"/>
    </w:p>
    <w:p w14:paraId="7E440A54" w14:textId="72883ED7" w:rsidR="00552918" w:rsidRPr="009A501D" w:rsidRDefault="001A3E12" w:rsidP="00552918">
      <w:pPr>
        <w:jc w:val="both"/>
        <w:rPr>
          <w:rFonts w:ascii="Century Gothic" w:hAnsi="Century Gothic"/>
          <w:sz w:val="19"/>
          <w:szCs w:val="19"/>
        </w:rPr>
      </w:pPr>
      <w:r>
        <w:rPr>
          <w:rFonts w:ascii="Century Gothic" w:hAnsi="Century Gothic"/>
          <w:sz w:val="19"/>
          <w:szCs w:val="19"/>
        </w:rPr>
        <w:t>E</w:t>
      </w:r>
      <w:r w:rsidR="005A1D02" w:rsidRPr="009A501D">
        <w:rPr>
          <w:rFonts w:ascii="Century Gothic" w:hAnsi="Century Gothic"/>
          <w:sz w:val="19"/>
          <w:szCs w:val="19"/>
        </w:rPr>
        <w:t xml:space="preserve">l </w:t>
      </w:r>
      <w:r w:rsidR="007166E7" w:rsidRPr="009A501D">
        <w:rPr>
          <w:rFonts w:ascii="Century Gothic" w:hAnsi="Century Gothic"/>
          <w:sz w:val="19"/>
          <w:szCs w:val="19"/>
        </w:rPr>
        <w:t>S</w:t>
      </w:r>
      <w:r w:rsidR="00140A1B" w:rsidRPr="009A501D">
        <w:rPr>
          <w:rFonts w:ascii="Century Gothic" w:hAnsi="Century Gothic"/>
          <w:sz w:val="19"/>
          <w:szCs w:val="19"/>
        </w:rPr>
        <w:t>istema de gestión de calidad</w:t>
      </w:r>
      <w:r w:rsidR="00552918" w:rsidRPr="009A501D">
        <w:rPr>
          <w:rFonts w:ascii="Century Gothic" w:hAnsi="Century Gothic"/>
          <w:sz w:val="19"/>
          <w:szCs w:val="19"/>
        </w:rPr>
        <w:t xml:space="preserve"> del INEGI se enmarca en tres actividades estratégicas:</w:t>
      </w:r>
    </w:p>
    <w:p w14:paraId="5748001C" w14:textId="5FB4E5E5" w:rsidR="00552918" w:rsidRPr="009A501D" w:rsidRDefault="00552918" w:rsidP="00FF6ADE">
      <w:pPr>
        <w:spacing w:after="0"/>
        <w:ind w:left="720"/>
        <w:jc w:val="both"/>
        <w:rPr>
          <w:rFonts w:ascii="Century Gothic" w:hAnsi="Century Gothic"/>
          <w:sz w:val="19"/>
          <w:szCs w:val="19"/>
        </w:rPr>
      </w:pPr>
      <w:r w:rsidRPr="009A501D">
        <w:rPr>
          <w:rFonts w:ascii="Century Gothic" w:hAnsi="Century Gothic"/>
          <w:sz w:val="19"/>
          <w:szCs w:val="19"/>
        </w:rPr>
        <w:t>1. Establecer controles de calidad en procesos estandarizados y documentados.</w:t>
      </w:r>
    </w:p>
    <w:p w14:paraId="64FBCBCD" w14:textId="0A12272E" w:rsidR="00552918" w:rsidRPr="009A501D" w:rsidRDefault="00552918" w:rsidP="00FF6ADE">
      <w:pPr>
        <w:spacing w:after="0"/>
        <w:ind w:left="720"/>
        <w:jc w:val="both"/>
        <w:rPr>
          <w:rFonts w:ascii="Century Gothic" w:hAnsi="Century Gothic"/>
          <w:sz w:val="19"/>
          <w:szCs w:val="19"/>
        </w:rPr>
      </w:pPr>
      <w:r w:rsidRPr="009A501D">
        <w:rPr>
          <w:rFonts w:ascii="Century Gothic" w:hAnsi="Century Gothic"/>
          <w:sz w:val="19"/>
          <w:szCs w:val="19"/>
        </w:rPr>
        <w:t>2. Evaluar de forma sistemática la calidad de la información.</w:t>
      </w:r>
    </w:p>
    <w:p w14:paraId="3C8A3995" w14:textId="79BBF637" w:rsidR="00552918" w:rsidRPr="009A501D" w:rsidRDefault="00552918" w:rsidP="00FF6ADE">
      <w:pPr>
        <w:spacing w:after="0"/>
        <w:ind w:left="720"/>
        <w:jc w:val="both"/>
        <w:rPr>
          <w:rFonts w:ascii="Century Gothic" w:hAnsi="Century Gothic"/>
          <w:sz w:val="19"/>
          <w:szCs w:val="19"/>
        </w:rPr>
      </w:pPr>
      <w:r w:rsidRPr="009A501D">
        <w:rPr>
          <w:rFonts w:ascii="Century Gothic" w:hAnsi="Century Gothic"/>
          <w:sz w:val="19"/>
          <w:szCs w:val="19"/>
        </w:rPr>
        <w:t>3. Desarrollar protocolos para medir y documentar el impacto de las mejoras</w:t>
      </w:r>
      <w:r w:rsidR="00B465A7" w:rsidRPr="009A501D">
        <w:rPr>
          <w:rFonts w:ascii="Century Gothic" w:hAnsi="Century Gothic"/>
          <w:sz w:val="19"/>
          <w:szCs w:val="19"/>
        </w:rPr>
        <w:t>.</w:t>
      </w:r>
    </w:p>
    <w:p w14:paraId="567425C6" w14:textId="49170034" w:rsidR="00D24DB5" w:rsidRPr="009A501D" w:rsidRDefault="004D7A3A" w:rsidP="00FF6ADE">
      <w:pPr>
        <w:spacing w:before="240"/>
        <w:jc w:val="both"/>
        <w:rPr>
          <w:rFonts w:ascii="Century Gothic" w:hAnsi="Century Gothic"/>
          <w:sz w:val="19"/>
          <w:szCs w:val="19"/>
        </w:rPr>
      </w:pPr>
      <w:r w:rsidRPr="009A501D">
        <w:rPr>
          <w:rFonts w:ascii="Century Gothic" w:hAnsi="Century Gothic"/>
          <w:sz w:val="19"/>
          <w:szCs w:val="19"/>
        </w:rPr>
        <w:t>A continuación</w:t>
      </w:r>
      <w:r w:rsidR="001F4D54" w:rsidRPr="009A501D">
        <w:rPr>
          <w:rFonts w:ascii="Century Gothic" w:hAnsi="Century Gothic"/>
          <w:sz w:val="19"/>
          <w:szCs w:val="19"/>
        </w:rPr>
        <w:t>,</w:t>
      </w:r>
      <w:r w:rsidRPr="009A501D">
        <w:rPr>
          <w:rFonts w:ascii="Century Gothic" w:hAnsi="Century Gothic"/>
          <w:sz w:val="19"/>
          <w:szCs w:val="19"/>
        </w:rPr>
        <w:t xml:space="preserve"> se presentan los</w:t>
      </w:r>
      <w:r w:rsidR="00552918" w:rsidRPr="009A501D">
        <w:rPr>
          <w:rFonts w:ascii="Century Gothic" w:hAnsi="Century Gothic"/>
          <w:sz w:val="19"/>
          <w:szCs w:val="19"/>
        </w:rPr>
        <w:t xml:space="preserve"> principales</w:t>
      </w:r>
      <w:r w:rsidRPr="009A501D">
        <w:rPr>
          <w:rFonts w:ascii="Century Gothic" w:hAnsi="Century Gothic"/>
          <w:sz w:val="19"/>
          <w:szCs w:val="19"/>
        </w:rPr>
        <w:t xml:space="preserve"> avances </w:t>
      </w:r>
      <w:r w:rsidR="00552918" w:rsidRPr="009A501D">
        <w:rPr>
          <w:rFonts w:ascii="Century Gothic" w:hAnsi="Century Gothic"/>
          <w:sz w:val="19"/>
          <w:szCs w:val="19"/>
        </w:rPr>
        <w:t xml:space="preserve">en torno a </w:t>
      </w:r>
      <w:r w:rsidR="00A276D6" w:rsidRPr="009A501D">
        <w:rPr>
          <w:rFonts w:ascii="Century Gothic" w:hAnsi="Century Gothic"/>
          <w:sz w:val="19"/>
          <w:szCs w:val="19"/>
        </w:rPr>
        <w:t xml:space="preserve">las metas </w:t>
      </w:r>
      <w:r w:rsidR="002709BD" w:rsidRPr="009A501D">
        <w:rPr>
          <w:rFonts w:ascii="Century Gothic" w:hAnsi="Century Gothic"/>
          <w:sz w:val="19"/>
          <w:szCs w:val="19"/>
        </w:rPr>
        <w:t>2020-202</w:t>
      </w:r>
      <w:r w:rsidR="00C1401B" w:rsidRPr="009A501D">
        <w:rPr>
          <w:rFonts w:ascii="Century Gothic" w:hAnsi="Century Gothic"/>
          <w:sz w:val="19"/>
          <w:szCs w:val="19"/>
        </w:rPr>
        <w:t>2</w:t>
      </w:r>
      <w:r w:rsidR="002709BD" w:rsidRPr="009A501D">
        <w:rPr>
          <w:rFonts w:ascii="Century Gothic" w:hAnsi="Century Gothic"/>
          <w:sz w:val="19"/>
          <w:szCs w:val="19"/>
        </w:rPr>
        <w:t xml:space="preserve"> de </w:t>
      </w:r>
      <w:r w:rsidR="00552918" w:rsidRPr="009A501D">
        <w:rPr>
          <w:rFonts w:ascii="Century Gothic" w:hAnsi="Century Gothic"/>
          <w:sz w:val="19"/>
          <w:szCs w:val="19"/>
        </w:rPr>
        <w:t xml:space="preserve">las actividades estratégicas del Comité, así como los principales retos para el periodo 2023-2025. </w:t>
      </w:r>
    </w:p>
    <w:p w14:paraId="5CBF13CE" w14:textId="7FFABB09" w:rsidR="00F81DEF" w:rsidRPr="009A501D" w:rsidRDefault="00F81DEF" w:rsidP="007E0FE1">
      <w:pPr>
        <w:pStyle w:val="Ttulo2"/>
        <w:spacing w:after="240"/>
        <w:rPr>
          <w:rFonts w:ascii="Century Gothic" w:eastAsiaTheme="minorHAnsi" w:hAnsi="Century Gothic" w:cstheme="minorBidi"/>
          <w:bCs/>
          <w:color w:val="0079BF"/>
          <w:sz w:val="24"/>
          <w:szCs w:val="24"/>
        </w:rPr>
      </w:pPr>
      <w:bookmarkStart w:id="2" w:name="_Toc131161793"/>
      <w:r w:rsidRPr="009A501D">
        <w:rPr>
          <w:rFonts w:ascii="Century Gothic" w:eastAsiaTheme="minorHAnsi" w:hAnsi="Century Gothic" w:cstheme="minorBidi"/>
          <w:bCs/>
          <w:color w:val="0079BF"/>
          <w:sz w:val="24"/>
          <w:szCs w:val="24"/>
        </w:rPr>
        <w:t>Actividad estratégica 1</w:t>
      </w:r>
      <w:r w:rsidR="00BE417D" w:rsidRPr="009A501D">
        <w:rPr>
          <w:rFonts w:ascii="Century Gothic" w:eastAsiaTheme="minorHAnsi" w:hAnsi="Century Gothic" w:cstheme="minorBidi"/>
          <w:bCs/>
          <w:color w:val="0079BF"/>
          <w:sz w:val="24"/>
          <w:szCs w:val="24"/>
        </w:rPr>
        <w:t>: Establecer c</w:t>
      </w:r>
      <w:r w:rsidR="00776F62" w:rsidRPr="009A501D">
        <w:rPr>
          <w:rFonts w:ascii="Century Gothic" w:eastAsiaTheme="minorHAnsi" w:hAnsi="Century Gothic" w:cstheme="minorBidi"/>
          <w:bCs/>
          <w:color w:val="0079BF"/>
          <w:sz w:val="24"/>
          <w:szCs w:val="24"/>
        </w:rPr>
        <w:t xml:space="preserve">ontroles de calidad en procesos </w:t>
      </w:r>
      <w:r w:rsidR="00BE417D" w:rsidRPr="009A501D">
        <w:rPr>
          <w:rFonts w:ascii="Century Gothic" w:eastAsiaTheme="minorHAnsi" w:hAnsi="Century Gothic" w:cstheme="minorBidi"/>
          <w:bCs/>
          <w:color w:val="0079BF"/>
          <w:sz w:val="24"/>
          <w:szCs w:val="24"/>
        </w:rPr>
        <w:t>estandarizados y documentados</w:t>
      </w:r>
      <w:r w:rsidR="007E0FE1" w:rsidRPr="009A501D">
        <w:rPr>
          <w:rFonts w:ascii="Century Gothic" w:eastAsiaTheme="minorHAnsi" w:hAnsi="Century Gothic" w:cstheme="minorBidi"/>
          <w:bCs/>
          <w:color w:val="0079BF"/>
          <w:sz w:val="24"/>
          <w:szCs w:val="24"/>
        </w:rPr>
        <w:t>.</w:t>
      </w:r>
      <w:bookmarkEnd w:id="2"/>
    </w:p>
    <w:tbl>
      <w:tblPr>
        <w:tblW w:w="8080" w:type="dxa"/>
        <w:jc w:val="center"/>
        <w:tblBorders>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8080"/>
      </w:tblGrid>
      <w:tr w:rsidR="00A47C5F" w:rsidRPr="009A501D" w14:paraId="2E311A4E" w14:textId="77777777" w:rsidTr="00233AC9">
        <w:trPr>
          <w:trHeight w:val="1682"/>
          <w:jc w:val="center"/>
        </w:trPr>
        <w:tc>
          <w:tcPr>
            <w:tcW w:w="8080" w:type="dxa"/>
            <w:shd w:val="clear" w:color="auto" w:fill="D9D9D9" w:themeFill="background1" w:themeFillShade="D9"/>
          </w:tcPr>
          <w:p w14:paraId="0A735E59" w14:textId="37F26ACD" w:rsidR="00A47C5F" w:rsidRPr="009A501D" w:rsidRDefault="008E04D3" w:rsidP="007E0FE1">
            <w:pPr>
              <w:pStyle w:val="Default"/>
              <w:spacing w:before="240" w:after="160"/>
              <w:jc w:val="center"/>
              <w:rPr>
                <w:rFonts w:ascii="Century Gothic" w:hAnsi="Century Gothic"/>
                <w:color w:val="404040" w:themeColor="text1" w:themeTint="BF"/>
                <w:sz w:val="19"/>
                <w:szCs w:val="19"/>
                <w:lang w:val="es-MX"/>
              </w:rPr>
            </w:pPr>
            <w:r w:rsidRPr="009A501D">
              <w:rPr>
                <w:rFonts w:ascii="Century Gothic" w:hAnsi="Century Gothic"/>
                <w:b/>
                <w:bCs/>
                <w:color w:val="404040" w:themeColor="text1" w:themeTint="BF"/>
                <w:sz w:val="19"/>
                <w:szCs w:val="19"/>
                <w:lang w:val="es-MX"/>
              </w:rPr>
              <w:t>II.1.</w:t>
            </w:r>
            <w:r w:rsidR="009B3A86" w:rsidRPr="009A501D">
              <w:rPr>
                <w:rFonts w:ascii="Century Gothic" w:hAnsi="Century Gothic"/>
                <w:b/>
                <w:bCs/>
                <w:color w:val="404040" w:themeColor="text1" w:themeTint="BF"/>
                <w:sz w:val="19"/>
                <w:szCs w:val="19"/>
                <w:lang w:val="es-MX"/>
              </w:rPr>
              <w:t xml:space="preserve"> </w:t>
            </w:r>
            <w:r w:rsidRPr="009A501D">
              <w:rPr>
                <w:rFonts w:ascii="Century Gothic" w:hAnsi="Century Gothic"/>
                <w:b/>
                <w:bCs/>
                <w:color w:val="404040" w:themeColor="text1" w:themeTint="BF"/>
                <w:sz w:val="19"/>
                <w:szCs w:val="19"/>
                <w:lang w:val="es-MX"/>
              </w:rPr>
              <w:t xml:space="preserve"> </w:t>
            </w:r>
            <w:r w:rsidR="00A47C5F" w:rsidRPr="009A501D">
              <w:rPr>
                <w:rFonts w:ascii="Century Gothic" w:hAnsi="Century Gothic"/>
                <w:b/>
                <w:bCs/>
                <w:color w:val="404040" w:themeColor="text1" w:themeTint="BF"/>
                <w:sz w:val="19"/>
                <w:szCs w:val="19"/>
                <w:lang w:val="es-MX"/>
              </w:rPr>
              <w:t xml:space="preserve">Metas 2020-2022: </w:t>
            </w:r>
          </w:p>
          <w:p w14:paraId="06F726F8" w14:textId="15660271" w:rsidR="0039699B" w:rsidRPr="009A501D" w:rsidRDefault="00A47C5F" w:rsidP="007E0FE1">
            <w:pPr>
              <w:pStyle w:val="Default"/>
              <w:spacing w:before="240" w:after="160"/>
              <w:ind w:left="178" w:hanging="178"/>
              <w:jc w:val="both"/>
              <w:rPr>
                <w:rFonts w:ascii="Century Gothic" w:hAnsi="Century Gothic"/>
                <w:color w:val="404040" w:themeColor="text1" w:themeTint="BF"/>
                <w:sz w:val="19"/>
                <w:szCs w:val="19"/>
                <w:lang w:val="es-MX"/>
              </w:rPr>
            </w:pPr>
            <w:r w:rsidRPr="009A501D">
              <w:rPr>
                <w:rFonts w:ascii="Century Gothic" w:hAnsi="Century Gothic"/>
                <w:color w:val="404040" w:themeColor="text1" w:themeTint="BF"/>
                <w:sz w:val="19"/>
                <w:szCs w:val="19"/>
                <w:lang w:val="es-MX"/>
              </w:rPr>
              <w:t xml:space="preserve">• </w:t>
            </w:r>
            <w:r w:rsidR="0039699B" w:rsidRPr="009A501D">
              <w:rPr>
                <w:rFonts w:ascii="Century Gothic" w:hAnsi="Century Gothic"/>
                <w:color w:val="404040" w:themeColor="text1" w:themeTint="BF"/>
                <w:sz w:val="19"/>
                <w:szCs w:val="19"/>
                <w:lang w:val="es-MX"/>
              </w:rPr>
              <w:t>El 100% de las evidencias del MPEG son recopiladas de forma estandarizada, dependiendo de la naturaleza de cada fase.</w:t>
            </w:r>
          </w:p>
          <w:p w14:paraId="529EB921" w14:textId="18022597" w:rsidR="00A47C5F" w:rsidRPr="009A501D" w:rsidRDefault="0039699B" w:rsidP="007E0FE1">
            <w:pPr>
              <w:pStyle w:val="Default"/>
              <w:spacing w:before="240" w:after="160"/>
              <w:ind w:left="182" w:hanging="182"/>
              <w:jc w:val="both"/>
              <w:rPr>
                <w:rFonts w:ascii="Century Gothic" w:hAnsi="Century Gothic"/>
                <w:b/>
                <w:bCs/>
                <w:color w:val="404040" w:themeColor="text1" w:themeTint="BF"/>
                <w:sz w:val="18"/>
                <w:szCs w:val="20"/>
                <w:lang w:val="es-MX"/>
              </w:rPr>
            </w:pPr>
            <w:r w:rsidRPr="009A501D">
              <w:rPr>
                <w:rFonts w:ascii="Century Gothic" w:hAnsi="Century Gothic"/>
                <w:color w:val="404040" w:themeColor="text1" w:themeTint="BF"/>
                <w:sz w:val="19"/>
                <w:szCs w:val="19"/>
                <w:lang w:val="es-MX"/>
              </w:rPr>
              <w:t>•</w:t>
            </w:r>
            <w:r w:rsidRPr="009A501D">
              <w:rPr>
                <w:rFonts w:ascii="Century Gothic" w:hAnsi="Century Gothic"/>
                <w:color w:val="404040" w:themeColor="text1" w:themeTint="BF"/>
                <w:sz w:val="19"/>
                <w:szCs w:val="19"/>
                <w:lang w:val="es-MX"/>
              </w:rPr>
              <w:tab/>
              <w:t>Se cuenta con indicadores operativos y tableros con el fin de apoyar el control de calidad en el proceso del 100% de los programas de información.</w:t>
            </w:r>
          </w:p>
        </w:tc>
      </w:tr>
    </w:tbl>
    <w:p w14:paraId="7F9B5A26" w14:textId="3DF54BAF" w:rsidR="00A06F08" w:rsidRPr="009A501D" w:rsidRDefault="00647963" w:rsidP="00664A1D">
      <w:pPr>
        <w:spacing w:before="240"/>
        <w:ind w:right="5130"/>
        <w:rPr>
          <w:rFonts w:ascii="Century Gothic" w:hAnsi="Century Gothic"/>
          <w:b/>
          <w:bCs/>
        </w:rPr>
      </w:pPr>
      <w:r w:rsidRPr="009A501D">
        <w:rPr>
          <w:rFonts w:ascii="Century Gothic" w:hAnsi="Century Gothic"/>
          <w:b/>
          <w:bCs/>
        </w:rPr>
        <w:t>Avances</w:t>
      </w:r>
    </w:p>
    <w:p w14:paraId="293E4576" w14:textId="45FA7006" w:rsidR="005823E5" w:rsidRPr="009A501D" w:rsidRDefault="00B061F7"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El 100% de los </w:t>
      </w:r>
      <w:r w:rsidR="00A96EB1" w:rsidRPr="009A501D">
        <w:rPr>
          <w:rFonts w:ascii="Century Gothic" w:hAnsi="Century Gothic"/>
          <w:sz w:val="19"/>
          <w:szCs w:val="19"/>
        </w:rPr>
        <w:t>programas</w:t>
      </w:r>
      <w:r w:rsidRPr="009A501D">
        <w:rPr>
          <w:rFonts w:ascii="Century Gothic" w:hAnsi="Century Gothic"/>
          <w:sz w:val="19"/>
          <w:szCs w:val="19"/>
        </w:rPr>
        <w:t xml:space="preserve"> de </w:t>
      </w:r>
      <w:r w:rsidR="00A96EB1" w:rsidRPr="009A501D">
        <w:rPr>
          <w:rFonts w:ascii="Century Gothic" w:hAnsi="Century Gothic"/>
          <w:sz w:val="19"/>
          <w:szCs w:val="19"/>
        </w:rPr>
        <w:t>información</w:t>
      </w:r>
      <w:r w:rsidR="00C77596" w:rsidRPr="009A501D">
        <w:rPr>
          <w:rFonts w:ascii="Century Gothic" w:hAnsi="Century Gothic"/>
          <w:sz w:val="19"/>
          <w:szCs w:val="19"/>
        </w:rPr>
        <w:t xml:space="preserve"> o </w:t>
      </w:r>
      <w:r w:rsidR="00A96EB1" w:rsidRPr="009A501D">
        <w:rPr>
          <w:rFonts w:ascii="Century Gothic" w:hAnsi="Century Gothic"/>
          <w:sz w:val="19"/>
          <w:szCs w:val="19"/>
        </w:rPr>
        <w:t>procesos</w:t>
      </w:r>
      <w:r w:rsidR="003D5FD8" w:rsidRPr="009A501D">
        <w:rPr>
          <w:rFonts w:ascii="Century Gothic" w:hAnsi="Century Gothic"/>
          <w:sz w:val="19"/>
          <w:szCs w:val="19"/>
        </w:rPr>
        <w:t xml:space="preserve"> de </w:t>
      </w:r>
      <w:r w:rsidR="00A96EB1" w:rsidRPr="009A501D">
        <w:rPr>
          <w:rFonts w:ascii="Century Gothic" w:hAnsi="Century Gothic"/>
          <w:sz w:val="19"/>
          <w:szCs w:val="19"/>
        </w:rPr>
        <w:t>producción</w:t>
      </w:r>
      <w:r w:rsidRPr="009A501D">
        <w:rPr>
          <w:rFonts w:ascii="Century Gothic" w:hAnsi="Century Gothic"/>
          <w:sz w:val="19"/>
          <w:szCs w:val="19"/>
        </w:rPr>
        <w:t xml:space="preserve"> registran las evidencias establecidas en la NTPPIEG a través del sistema </w:t>
      </w:r>
      <w:r w:rsidR="00EA5C0F" w:rsidRPr="009A501D">
        <w:rPr>
          <w:rFonts w:ascii="Century Gothic" w:hAnsi="Century Gothic"/>
          <w:sz w:val="19"/>
          <w:szCs w:val="19"/>
        </w:rPr>
        <w:t>PTRACKING</w:t>
      </w:r>
      <w:r w:rsidRPr="009A501D">
        <w:rPr>
          <w:rFonts w:ascii="Century Gothic" w:hAnsi="Century Gothic"/>
          <w:sz w:val="19"/>
          <w:szCs w:val="19"/>
        </w:rPr>
        <w:t>.</w:t>
      </w:r>
      <w:r w:rsidR="00BD7D11">
        <w:rPr>
          <w:rFonts w:ascii="Century Gothic" w:hAnsi="Century Gothic"/>
          <w:sz w:val="19"/>
          <w:szCs w:val="19"/>
        </w:rPr>
        <w:t xml:space="preserve"> </w:t>
      </w:r>
      <w:r w:rsidR="00BD7D11" w:rsidRPr="00BD7D11">
        <w:rPr>
          <w:rFonts w:ascii="Century Gothic" w:hAnsi="Century Gothic"/>
          <w:sz w:val="19"/>
          <w:szCs w:val="19"/>
        </w:rPr>
        <w:t>Al analizar las evidencias se encontró que el 78% coincide total</w:t>
      </w:r>
      <w:r w:rsidR="00BD7D11">
        <w:rPr>
          <w:rFonts w:ascii="Century Gothic" w:hAnsi="Century Gothic"/>
          <w:sz w:val="19"/>
          <w:szCs w:val="19"/>
        </w:rPr>
        <w:t xml:space="preserve"> (51%)</w:t>
      </w:r>
      <w:r w:rsidR="00BD7D11" w:rsidRPr="00BD7D11">
        <w:rPr>
          <w:rFonts w:ascii="Century Gothic" w:hAnsi="Century Gothic"/>
          <w:sz w:val="19"/>
          <w:szCs w:val="19"/>
        </w:rPr>
        <w:t xml:space="preserve"> o parcialmente</w:t>
      </w:r>
      <w:r w:rsidR="00BD7D11">
        <w:rPr>
          <w:rFonts w:ascii="Century Gothic" w:hAnsi="Century Gothic"/>
          <w:sz w:val="19"/>
          <w:szCs w:val="19"/>
        </w:rPr>
        <w:t xml:space="preserve"> (27%)</w:t>
      </w:r>
      <w:r w:rsidR="00BD7D11" w:rsidRPr="00BD7D11">
        <w:rPr>
          <w:rFonts w:ascii="Century Gothic" w:hAnsi="Century Gothic"/>
          <w:sz w:val="19"/>
          <w:szCs w:val="19"/>
        </w:rPr>
        <w:t xml:space="preserve"> con lo contenido en la NTPPIEG.</w:t>
      </w:r>
    </w:p>
    <w:p w14:paraId="08A42DB4" w14:textId="267174A9" w:rsidR="00442B0E" w:rsidRPr="009A501D" w:rsidRDefault="00442B0E" w:rsidP="00442B0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Se desarrolló un tablero de control </w:t>
      </w:r>
      <w:r w:rsidR="00D5001D">
        <w:rPr>
          <w:rFonts w:ascii="Century Gothic" w:hAnsi="Century Gothic"/>
          <w:sz w:val="19"/>
          <w:szCs w:val="19"/>
        </w:rPr>
        <w:t xml:space="preserve">para </w:t>
      </w:r>
      <w:r w:rsidR="00DF70F6">
        <w:rPr>
          <w:rFonts w:ascii="Century Gothic" w:hAnsi="Century Gothic"/>
          <w:sz w:val="19"/>
          <w:szCs w:val="19"/>
        </w:rPr>
        <w:t>da</w:t>
      </w:r>
      <w:r w:rsidR="00D5001D">
        <w:rPr>
          <w:rFonts w:ascii="Century Gothic" w:hAnsi="Century Gothic"/>
          <w:sz w:val="19"/>
          <w:szCs w:val="19"/>
        </w:rPr>
        <w:t>r</w:t>
      </w:r>
      <w:r w:rsidRPr="009A501D">
        <w:rPr>
          <w:rFonts w:ascii="Century Gothic" w:hAnsi="Century Gothic"/>
          <w:sz w:val="19"/>
          <w:szCs w:val="19"/>
        </w:rPr>
        <w:t xml:space="preserve"> seguimiento </w:t>
      </w:r>
      <w:r w:rsidR="00D5001D">
        <w:rPr>
          <w:rFonts w:ascii="Century Gothic" w:hAnsi="Century Gothic"/>
          <w:sz w:val="19"/>
          <w:szCs w:val="19"/>
        </w:rPr>
        <w:t>a</w:t>
      </w:r>
      <w:r w:rsidRPr="009A501D">
        <w:rPr>
          <w:rFonts w:ascii="Century Gothic" w:hAnsi="Century Gothic"/>
          <w:sz w:val="19"/>
          <w:szCs w:val="19"/>
        </w:rPr>
        <w:t xml:space="preserve"> la carga de evidencias</w:t>
      </w:r>
      <w:r w:rsidR="00DF70F6">
        <w:rPr>
          <w:rFonts w:ascii="Century Gothic" w:hAnsi="Century Gothic"/>
          <w:sz w:val="19"/>
          <w:szCs w:val="19"/>
        </w:rPr>
        <w:t xml:space="preserve"> del 100% de los programas de información</w:t>
      </w:r>
      <w:r w:rsidRPr="009A501D">
        <w:rPr>
          <w:rFonts w:ascii="Century Gothic" w:hAnsi="Century Gothic"/>
          <w:sz w:val="19"/>
          <w:szCs w:val="19"/>
        </w:rPr>
        <w:t xml:space="preserve"> en el sistema PTRACKING.</w:t>
      </w:r>
    </w:p>
    <w:p w14:paraId="72740F43" w14:textId="272152BB" w:rsidR="00206AFC" w:rsidRPr="009A501D" w:rsidRDefault="00206AFC"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El Comité revisó la estrategia de estandarización </w:t>
      </w:r>
      <w:r w:rsidR="00A8508C" w:rsidRPr="009A501D">
        <w:rPr>
          <w:rFonts w:ascii="Century Gothic" w:hAnsi="Century Gothic"/>
          <w:sz w:val="19"/>
          <w:szCs w:val="19"/>
        </w:rPr>
        <w:t xml:space="preserve">concluyendo que es notorio el esfuerzo de las áreas productoras </w:t>
      </w:r>
      <w:r w:rsidR="000E2239" w:rsidRPr="009A501D">
        <w:rPr>
          <w:rFonts w:ascii="Century Gothic" w:hAnsi="Century Gothic"/>
          <w:sz w:val="19"/>
          <w:szCs w:val="19"/>
        </w:rPr>
        <w:t>de</w:t>
      </w:r>
      <w:r w:rsidR="00A8508C" w:rsidRPr="009A501D">
        <w:rPr>
          <w:rFonts w:ascii="Century Gothic" w:hAnsi="Century Gothic"/>
          <w:sz w:val="19"/>
          <w:szCs w:val="19"/>
        </w:rPr>
        <w:t xml:space="preserve"> mapear la documentación de sus procesos de producción </w:t>
      </w:r>
      <w:r w:rsidR="00AA72CF" w:rsidRPr="009A501D">
        <w:rPr>
          <w:rFonts w:ascii="Century Gothic" w:hAnsi="Century Gothic"/>
          <w:sz w:val="19"/>
          <w:szCs w:val="19"/>
        </w:rPr>
        <w:t xml:space="preserve">tomando como referencia </w:t>
      </w:r>
      <w:r w:rsidR="00A8508C" w:rsidRPr="009A501D">
        <w:rPr>
          <w:rFonts w:ascii="Century Gothic" w:hAnsi="Century Gothic"/>
          <w:sz w:val="19"/>
          <w:szCs w:val="19"/>
        </w:rPr>
        <w:t xml:space="preserve">la </w:t>
      </w:r>
      <w:r w:rsidR="003D5FD8" w:rsidRPr="009A501D">
        <w:rPr>
          <w:rFonts w:ascii="Century Gothic" w:hAnsi="Century Gothic"/>
          <w:sz w:val="19"/>
          <w:szCs w:val="19"/>
        </w:rPr>
        <w:t>NTPPIEG</w:t>
      </w:r>
      <w:r w:rsidR="001E242D" w:rsidRPr="009A501D">
        <w:rPr>
          <w:rFonts w:ascii="Century Gothic" w:hAnsi="Century Gothic"/>
          <w:sz w:val="19"/>
          <w:szCs w:val="19"/>
        </w:rPr>
        <w:t xml:space="preserve">. </w:t>
      </w:r>
      <w:r w:rsidR="00C444DC" w:rsidRPr="009A501D">
        <w:rPr>
          <w:rFonts w:ascii="Century Gothic" w:hAnsi="Century Gothic"/>
          <w:sz w:val="19"/>
          <w:szCs w:val="19"/>
        </w:rPr>
        <w:t>Asimismo,</w:t>
      </w:r>
      <w:r w:rsidR="00A8508C" w:rsidRPr="009A501D">
        <w:rPr>
          <w:rFonts w:ascii="Century Gothic" w:hAnsi="Century Gothic"/>
          <w:sz w:val="19"/>
          <w:szCs w:val="19"/>
        </w:rPr>
        <w:t xml:space="preserve"> es clave contar con guías para estandarizar el contenido de las evidencias</w:t>
      </w:r>
      <w:r w:rsidR="00AA72CF" w:rsidRPr="009A501D">
        <w:rPr>
          <w:rFonts w:ascii="Century Gothic" w:hAnsi="Century Gothic"/>
          <w:sz w:val="19"/>
          <w:szCs w:val="19"/>
        </w:rPr>
        <w:t xml:space="preserve"> y</w:t>
      </w:r>
      <w:r w:rsidR="00A8508C" w:rsidRPr="009A501D">
        <w:rPr>
          <w:rFonts w:ascii="Century Gothic" w:hAnsi="Century Gothic"/>
          <w:sz w:val="19"/>
          <w:szCs w:val="19"/>
        </w:rPr>
        <w:t xml:space="preserve"> se debe centrar el esfuerzo en documentar evidencias prioritarias</w:t>
      </w:r>
      <w:r w:rsidR="000A465B" w:rsidRPr="009A501D">
        <w:rPr>
          <w:rFonts w:ascii="Century Gothic" w:hAnsi="Century Gothic"/>
          <w:sz w:val="19"/>
          <w:szCs w:val="19"/>
        </w:rPr>
        <w:t xml:space="preserve">, por lo que se </w:t>
      </w:r>
      <w:r w:rsidR="00C444DC" w:rsidRPr="009A501D">
        <w:rPr>
          <w:rFonts w:ascii="Century Gothic" w:hAnsi="Century Gothic"/>
          <w:sz w:val="19"/>
          <w:szCs w:val="19"/>
        </w:rPr>
        <w:t>recomendó</w:t>
      </w:r>
      <w:r w:rsidR="000A465B" w:rsidRPr="009A501D">
        <w:rPr>
          <w:rFonts w:ascii="Century Gothic" w:hAnsi="Century Gothic"/>
          <w:sz w:val="19"/>
          <w:szCs w:val="19"/>
        </w:rPr>
        <w:t xml:space="preserve"> revisar el listado </w:t>
      </w:r>
      <w:r w:rsidR="00566436" w:rsidRPr="009A501D">
        <w:rPr>
          <w:rFonts w:ascii="Century Gothic" w:hAnsi="Century Gothic"/>
          <w:sz w:val="19"/>
          <w:szCs w:val="19"/>
        </w:rPr>
        <w:t>de evidencias</w:t>
      </w:r>
      <w:r w:rsidR="000A465B" w:rsidRPr="009A501D">
        <w:rPr>
          <w:rFonts w:ascii="Century Gothic" w:hAnsi="Century Gothic"/>
          <w:sz w:val="19"/>
          <w:szCs w:val="19"/>
        </w:rPr>
        <w:t>.</w:t>
      </w:r>
    </w:p>
    <w:p w14:paraId="0281796D" w14:textId="797144E2" w:rsidR="00AA189C" w:rsidRPr="009A501D" w:rsidRDefault="00076B9B"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Se </w:t>
      </w:r>
      <w:r w:rsidR="00A8508C" w:rsidRPr="009A501D">
        <w:rPr>
          <w:rFonts w:ascii="Century Gothic" w:hAnsi="Century Gothic"/>
          <w:sz w:val="19"/>
          <w:szCs w:val="19"/>
        </w:rPr>
        <w:t>presentó la G</w:t>
      </w:r>
      <w:r w:rsidRPr="009A501D">
        <w:rPr>
          <w:rFonts w:ascii="Century Gothic" w:hAnsi="Century Gothic"/>
          <w:sz w:val="19"/>
          <w:szCs w:val="19"/>
        </w:rPr>
        <w:t xml:space="preserve">uía de </w:t>
      </w:r>
      <w:r w:rsidR="00A8508C" w:rsidRPr="009A501D">
        <w:rPr>
          <w:rFonts w:ascii="Century Gothic" w:hAnsi="Century Gothic"/>
          <w:sz w:val="19"/>
          <w:szCs w:val="19"/>
        </w:rPr>
        <w:t xml:space="preserve">diseño conceptual </w:t>
      </w:r>
      <w:r w:rsidRPr="009A501D">
        <w:rPr>
          <w:rFonts w:ascii="Century Gothic" w:hAnsi="Century Gothic"/>
          <w:sz w:val="19"/>
          <w:szCs w:val="19"/>
        </w:rPr>
        <w:t xml:space="preserve">para </w:t>
      </w:r>
      <w:r w:rsidR="00A8508C" w:rsidRPr="009A501D">
        <w:rPr>
          <w:rFonts w:ascii="Century Gothic" w:hAnsi="Century Gothic"/>
          <w:sz w:val="19"/>
          <w:szCs w:val="19"/>
        </w:rPr>
        <w:t>programas cuyo insumo son registros administrativos</w:t>
      </w:r>
      <w:r w:rsidR="00566436" w:rsidRPr="009A501D">
        <w:rPr>
          <w:rFonts w:ascii="Century Gothic" w:hAnsi="Century Gothic"/>
          <w:sz w:val="19"/>
          <w:szCs w:val="19"/>
        </w:rPr>
        <w:t>, misma que</w:t>
      </w:r>
      <w:r w:rsidR="00A8508C" w:rsidRPr="009A501D">
        <w:rPr>
          <w:rFonts w:ascii="Century Gothic" w:hAnsi="Century Gothic"/>
          <w:sz w:val="19"/>
          <w:szCs w:val="19"/>
        </w:rPr>
        <w:t xml:space="preserve"> será revisada una vez que se aprueben los </w:t>
      </w:r>
      <w:r w:rsidR="00A8508C" w:rsidRPr="009A501D">
        <w:rPr>
          <w:rFonts w:ascii="Century Gothic" w:hAnsi="Century Gothic"/>
          <w:i/>
          <w:sz w:val="19"/>
          <w:szCs w:val="19"/>
        </w:rPr>
        <w:t>Lineamientos para el aprovechamiento de registros administrativos en la producción de información estadística y geográfica</w:t>
      </w:r>
      <w:r w:rsidR="00566436" w:rsidRPr="009A501D">
        <w:rPr>
          <w:rFonts w:ascii="Century Gothic" w:hAnsi="Century Gothic"/>
          <w:sz w:val="19"/>
          <w:szCs w:val="19"/>
        </w:rPr>
        <w:t>,</w:t>
      </w:r>
      <w:r w:rsidR="00A8508C" w:rsidRPr="009A501D">
        <w:rPr>
          <w:rFonts w:ascii="Century Gothic" w:hAnsi="Century Gothic"/>
          <w:sz w:val="19"/>
          <w:szCs w:val="19"/>
        </w:rPr>
        <w:t xml:space="preserve"> con el fin de evitar contradicciones.</w:t>
      </w:r>
    </w:p>
    <w:p w14:paraId="5036E5D2" w14:textId="7518CC36" w:rsidR="008D7B7C" w:rsidRPr="009A501D" w:rsidRDefault="008D7B7C"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Con el apoyo de las Unidades Administrativas productoras de información, se concluyó el revelado de las arquitecturas de información y la aplicación de los cuestionarios de madurez de la interoperabilidad del 40% restante de los procesos de producción activos del INEGI, </w:t>
      </w:r>
      <w:r w:rsidR="00C72166" w:rsidRPr="009A501D">
        <w:rPr>
          <w:rFonts w:ascii="Century Gothic" w:hAnsi="Century Gothic"/>
          <w:sz w:val="19"/>
          <w:szCs w:val="19"/>
        </w:rPr>
        <w:t>conforme</w:t>
      </w:r>
      <w:r w:rsidRPr="009A501D">
        <w:rPr>
          <w:rFonts w:ascii="Century Gothic" w:hAnsi="Century Gothic"/>
          <w:sz w:val="19"/>
          <w:szCs w:val="19"/>
        </w:rPr>
        <w:t xml:space="preserve"> el acuerdo CAC-010/05/2021.</w:t>
      </w:r>
    </w:p>
    <w:p w14:paraId="196689EF" w14:textId="4D4F2FF0" w:rsidR="00647963" w:rsidRPr="009A501D" w:rsidRDefault="00905F46" w:rsidP="00901CA1">
      <w:pPr>
        <w:spacing w:before="240"/>
        <w:jc w:val="both"/>
        <w:rPr>
          <w:rFonts w:ascii="Century Gothic" w:hAnsi="Century Gothic"/>
          <w:b/>
          <w:bCs/>
        </w:rPr>
      </w:pPr>
      <w:r w:rsidRPr="009A501D">
        <w:rPr>
          <w:rFonts w:ascii="Century Gothic" w:hAnsi="Century Gothic"/>
          <w:b/>
          <w:bCs/>
        </w:rPr>
        <w:t>Retos</w:t>
      </w:r>
      <w:r w:rsidR="00FC70CA" w:rsidRPr="009A501D">
        <w:rPr>
          <w:rFonts w:ascii="Century Gothic" w:hAnsi="Century Gothic"/>
          <w:b/>
          <w:bCs/>
        </w:rPr>
        <w:t xml:space="preserve"> para 2023-2025</w:t>
      </w:r>
    </w:p>
    <w:p w14:paraId="67A306D8" w14:textId="6A956B33" w:rsidR="00FC70CA" w:rsidRPr="009A501D" w:rsidRDefault="006972D0" w:rsidP="00FF6ADE">
      <w:pPr>
        <w:numPr>
          <w:ilvl w:val="1"/>
          <w:numId w:val="1"/>
        </w:numPr>
        <w:tabs>
          <w:tab w:val="num" w:pos="284"/>
        </w:tabs>
        <w:spacing w:after="0"/>
        <w:ind w:left="284" w:right="27" w:hanging="284"/>
        <w:jc w:val="both"/>
        <w:rPr>
          <w:rFonts w:ascii="Century Gothic" w:hAnsi="Century Gothic"/>
          <w:sz w:val="19"/>
          <w:szCs w:val="19"/>
        </w:rPr>
      </w:pPr>
      <w:r>
        <w:rPr>
          <w:rFonts w:ascii="Century Gothic" w:hAnsi="Century Gothic"/>
          <w:sz w:val="19"/>
          <w:szCs w:val="19"/>
        </w:rPr>
        <w:t>Para mejorar el contenido de las evidencias, es necesario priorizar las evidencias y continuar con la elaboración de</w:t>
      </w:r>
      <w:r w:rsidR="00FC70CA" w:rsidRPr="009A501D">
        <w:rPr>
          <w:rFonts w:ascii="Century Gothic" w:hAnsi="Century Gothic"/>
          <w:sz w:val="19"/>
          <w:szCs w:val="19"/>
        </w:rPr>
        <w:t xml:space="preserve"> las </w:t>
      </w:r>
      <w:r w:rsidR="00F26E5B" w:rsidRPr="009A501D">
        <w:rPr>
          <w:rFonts w:ascii="Century Gothic" w:hAnsi="Century Gothic"/>
          <w:sz w:val="19"/>
          <w:szCs w:val="19"/>
        </w:rPr>
        <w:t>guías</w:t>
      </w:r>
      <w:r w:rsidR="00F26E5B">
        <w:rPr>
          <w:rFonts w:ascii="Century Gothic" w:hAnsi="Century Gothic"/>
          <w:sz w:val="19"/>
          <w:szCs w:val="19"/>
        </w:rPr>
        <w:t xml:space="preserve"> </w:t>
      </w:r>
      <w:r w:rsidR="00FC70CA" w:rsidRPr="009A501D">
        <w:rPr>
          <w:rFonts w:ascii="Century Gothic" w:hAnsi="Century Gothic"/>
          <w:sz w:val="19"/>
          <w:szCs w:val="19"/>
        </w:rPr>
        <w:t>restantes</w:t>
      </w:r>
      <w:r w:rsidR="00E2575F" w:rsidRPr="009A501D">
        <w:rPr>
          <w:rFonts w:ascii="Century Gothic" w:hAnsi="Century Gothic"/>
          <w:sz w:val="19"/>
          <w:szCs w:val="19"/>
        </w:rPr>
        <w:t xml:space="preserve"> que emanan de la NTPPIEG</w:t>
      </w:r>
      <w:r w:rsidR="00FC70CA" w:rsidRPr="009A501D">
        <w:rPr>
          <w:rFonts w:ascii="Century Gothic" w:hAnsi="Century Gothic"/>
          <w:sz w:val="19"/>
          <w:szCs w:val="19"/>
        </w:rPr>
        <w:t xml:space="preserve">, </w:t>
      </w:r>
      <w:r w:rsidR="00526344" w:rsidRPr="009A501D">
        <w:rPr>
          <w:rFonts w:ascii="Century Gothic" w:hAnsi="Century Gothic"/>
          <w:sz w:val="19"/>
          <w:szCs w:val="19"/>
        </w:rPr>
        <w:t xml:space="preserve">vinculando </w:t>
      </w:r>
      <w:r w:rsidR="00FC70CA" w:rsidRPr="009A501D">
        <w:rPr>
          <w:rFonts w:ascii="Century Gothic" w:hAnsi="Century Gothic"/>
          <w:sz w:val="19"/>
          <w:szCs w:val="19"/>
        </w:rPr>
        <w:t>la fase de diseño con las fases operativas correspondientes</w:t>
      </w:r>
      <w:r w:rsidR="00E2575F" w:rsidRPr="009A501D">
        <w:rPr>
          <w:rFonts w:ascii="Century Gothic" w:hAnsi="Century Gothic"/>
          <w:sz w:val="19"/>
          <w:szCs w:val="19"/>
        </w:rPr>
        <w:t>; e</w:t>
      </w:r>
      <w:r w:rsidR="00F47E1B" w:rsidRPr="009A501D">
        <w:rPr>
          <w:rFonts w:ascii="Century Gothic" w:hAnsi="Century Gothic"/>
          <w:sz w:val="19"/>
          <w:szCs w:val="19"/>
        </w:rPr>
        <w:t>s decir</w:t>
      </w:r>
      <w:r w:rsidR="00F26E5B">
        <w:rPr>
          <w:rFonts w:ascii="Century Gothic" w:hAnsi="Century Gothic"/>
          <w:sz w:val="19"/>
          <w:szCs w:val="19"/>
        </w:rPr>
        <w:t xml:space="preserve">: </w:t>
      </w:r>
      <w:r w:rsidR="00F47E1B" w:rsidRPr="009A501D">
        <w:rPr>
          <w:rFonts w:ascii="Century Gothic" w:hAnsi="Century Gothic"/>
          <w:sz w:val="19"/>
          <w:szCs w:val="19"/>
        </w:rPr>
        <w:t>construcción</w:t>
      </w:r>
      <w:r w:rsidR="00F26E5B">
        <w:rPr>
          <w:rFonts w:ascii="Century Gothic" w:hAnsi="Century Gothic"/>
          <w:sz w:val="19"/>
          <w:szCs w:val="19"/>
        </w:rPr>
        <w:t>;</w:t>
      </w:r>
      <w:r w:rsidR="00F47E1B" w:rsidRPr="009A501D">
        <w:rPr>
          <w:rFonts w:ascii="Century Gothic" w:hAnsi="Century Gothic"/>
          <w:sz w:val="19"/>
          <w:szCs w:val="19"/>
        </w:rPr>
        <w:t xml:space="preserve"> captación</w:t>
      </w:r>
      <w:r w:rsidR="00F26E5B">
        <w:rPr>
          <w:rFonts w:ascii="Century Gothic" w:hAnsi="Century Gothic"/>
          <w:sz w:val="19"/>
          <w:szCs w:val="19"/>
        </w:rPr>
        <w:t>;</w:t>
      </w:r>
      <w:r w:rsidR="00F47E1B" w:rsidRPr="009A501D">
        <w:rPr>
          <w:rFonts w:ascii="Century Gothic" w:hAnsi="Century Gothic"/>
          <w:sz w:val="19"/>
          <w:szCs w:val="19"/>
        </w:rPr>
        <w:t xml:space="preserve"> procesamiento</w:t>
      </w:r>
      <w:r w:rsidR="00F26E5B">
        <w:rPr>
          <w:rFonts w:ascii="Century Gothic" w:hAnsi="Century Gothic"/>
          <w:sz w:val="19"/>
          <w:szCs w:val="19"/>
        </w:rPr>
        <w:t xml:space="preserve"> y</w:t>
      </w:r>
      <w:r w:rsidR="00F47E1B" w:rsidRPr="009A501D">
        <w:rPr>
          <w:rFonts w:ascii="Century Gothic" w:hAnsi="Century Gothic"/>
          <w:sz w:val="19"/>
          <w:szCs w:val="19"/>
        </w:rPr>
        <w:t xml:space="preserve"> análisis</w:t>
      </w:r>
      <w:r w:rsidR="00AA1234" w:rsidRPr="009A501D">
        <w:rPr>
          <w:rFonts w:ascii="Century Gothic" w:hAnsi="Century Gothic"/>
          <w:sz w:val="19"/>
          <w:szCs w:val="19"/>
        </w:rPr>
        <w:t xml:space="preserve"> de la producción</w:t>
      </w:r>
      <w:r w:rsidR="00F26E5B">
        <w:rPr>
          <w:rFonts w:ascii="Century Gothic" w:hAnsi="Century Gothic"/>
          <w:sz w:val="19"/>
          <w:szCs w:val="19"/>
        </w:rPr>
        <w:t>;</w:t>
      </w:r>
      <w:r w:rsidR="00AA1234" w:rsidRPr="009A501D">
        <w:rPr>
          <w:rFonts w:ascii="Century Gothic" w:hAnsi="Century Gothic"/>
          <w:sz w:val="19"/>
          <w:szCs w:val="19"/>
        </w:rPr>
        <w:t xml:space="preserve"> y difusión</w:t>
      </w:r>
      <w:r w:rsidR="00E2575F" w:rsidRPr="009A501D">
        <w:rPr>
          <w:rFonts w:ascii="Century Gothic" w:hAnsi="Century Gothic"/>
          <w:sz w:val="19"/>
          <w:szCs w:val="19"/>
        </w:rPr>
        <w:t>.</w:t>
      </w:r>
      <w:r w:rsidR="00442B0E">
        <w:rPr>
          <w:rFonts w:ascii="Century Gothic" w:hAnsi="Century Gothic"/>
          <w:sz w:val="19"/>
          <w:szCs w:val="19"/>
        </w:rPr>
        <w:t xml:space="preserve"> </w:t>
      </w:r>
    </w:p>
    <w:p w14:paraId="0BA61935" w14:textId="713057B6" w:rsidR="0000255C" w:rsidRPr="009A501D" w:rsidRDefault="00FC70CA"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Sistematizar los formatos de las guías aprobadas </w:t>
      </w:r>
      <w:r w:rsidR="00183931" w:rsidRPr="009A501D">
        <w:rPr>
          <w:rFonts w:ascii="Century Gothic" w:hAnsi="Century Gothic"/>
          <w:sz w:val="19"/>
          <w:szCs w:val="19"/>
        </w:rPr>
        <w:t xml:space="preserve">para facilitar la estandarización y registro de </w:t>
      </w:r>
      <w:r w:rsidR="00FB0028" w:rsidRPr="009A501D">
        <w:rPr>
          <w:rFonts w:ascii="Century Gothic" w:hAnsi="Century Gothic"/>
          <w:sz w:val="19"/>
          <w:szCs w:val="19"/>
        </w:rPr>
        <w:t xml:space="preserve">evidencias </w:t>
      </w:r>
      <w:r w:rsidR="00183931" w:rsidRPr="009A501D">
        <w:rPr>
          <w:rFonts w:ascii="Century Gothic" w:hAnsi="Century Gothic"/>
          <w:sz w:val="19"/>
          <w:szCs w:val="19"/>
        </w:rPr>
        <w:t>en el</w:t>
      </w:r>
      <w:r w:rsidR="00FB0028" w:rsidRPr="009A501D">
        <w:rPr>
          <w:rFonts w:ascii="Century Gothic" w:hAnsi="Century Gothic"/>
          <w:sz w:val="19"/>
          <w:szCs w:val="19"/>
        </w:rPr>
        <w:t xml:space="preserve"> sistema </w:t>
      </w:r>
      <w:r w:rsidR="00EA5C0F" w:rsidRPr="009A501D">
        <w:rPr>
          <w:rFonts w:ascii="Century Gothic" w:hAnsi="Century Gothic"/>
          <w:sz w:val="19"/>
          <w:szCs w:val="19"/>
        </w:rPr>
        <w:t>PTRACKING</w:t>
      </w:r>
      <w:r w:rsidR="00FB0028" w:rsidRPr="009A501D">
        <w:rPr>
          <w:rFonts w:ascii="Century Gothic" w:hAnsi="Century Gothic"/>
          <w:sz w:val="19"/>
          <w:szCs w:val="19"/>
        </w:rPr>
        <w:t>.</w:t>
      </w:r>
    </w:p>
    <w:p w14:paraId="0CF96980" w14:textId="32DE68EE" w:rsidR="00E338CD" w:rsidRDefault="0000255C" w:rsidP="00C96CA1">
      <w:pPr>
        <w:numPr>
          <w:ilvl w:val="1"/>
          <w:numId w:val="1"/>
        </w:numPr>
        <w:tabs>
          <w:tab w:val="num" w:pos="284"/>
        </w:tabs>
        <w:spacing w:after="0"/>
        <w:ind w:left="284" w:right="27" w:hanging="284"/>
        <w:jc w:val="both"/>
        <w:rPr>
          <w:rFonts w:ascii="Century Gothic" w:hAnsi="Century Gothic"/>
          <w:sz w:val="19"/>
          <w:szCs w:val="19"/>
        </w:rPr>
      </w:pPr>
      <w:r w:rsidRPr="00DF70F6">
        <w:rPr>
          <w:rFonts w:ascii="Century Gothic" w:hAnsi="Century Gothic"/>
          <w:sz w:val="19"/>
          <w:szCs w:val="19"/>
        </w:rPr>
        <w:t>Elaborar las propuestas de modelos de arquitectura de información por método de generación a partir las arquitecturas reveladas y marcos de referencia como el MPEG y el Modelo Genérico de Información Estadística (GSIM). Respecto al modelo de interoperabilidad, elaborar materiales de capacitación, fomentar el uso de la infraestructura de información y mejorar el instrumento de medición de la madurez de la interoperabilidad.</w:t>
      </w:r>
    </w:p>
    <w:p w14:paraId="196C3DF4" w14:textId="68918069" w:rsidR="006972D0" w:rsidRDefault="006972D0" w:rsidP="006972D0">
      <w:pPr>
        <w:tabs>
          <w:tab w:val="num" w:pos="8015"/>
        </w:tabs>
        <w:spacing w:after="0"/>
        <w:ind w:left="284" w:right="27"/>
        <w:jc w:val="both"/>
        <w:rPr>
          <w:rFonts w:ascii="Century Gothic" w:hAnsi="Century Gothic"/>
          <w:sz w:val="19"/>
          <w:szCs w:val="19"/>
        </w:rPr>
      </w:pPr>
    </w:p>
    <w:p w14:paraId="30F81845" w14:textId="77777777" w:rsidR="006972D0" w:rsidRPr="00DF70F6" w:rsidRDefault="006972D0" w:rsidP="006972D0">
      <w:pPr>
        <w:tabs>
          <w:tab w:val="num" w:pos="8015"/>
        </w:tabs>
        <w:spacing w:after="0"/>
        <w:ind w:left="284" w:right="27"/>
        <w:jc w:val="both"/>
        <w:rPr>
          <w:rFonts w:ascii="Century Gothic" w:hAnsi="Century Gothic"/>
          <w:sz w:val="19"/>
          <w:szCs w:val="19"/>
        </w:rPr>
      </w:pPr>
    </w:p>
    <w:p w14:paraId="5750FDC2" w14:textId="62902C64" w:rsidR="00EC3679" w:rsidRPr="009A501D" w:rsidRDefault="00776F62" w:rsidP="00901CA1">
      <w:pPr>
        <w:pStyle w:val="Ttulo2"/>
        <w:spacing w:after="240"/>
        <w:rPr>
          <w:rFonts w:ascii="Century Gothic" w:eastAsiaTheme="minorHAnsi" w:hAnsi="Century Gothic" w:cstheme="minorBidi"/>
          <w:bCs/>
          <w:color w:val="0079BF"/>
          <w:sz w:val="24"/>
          <w:szCs w:val="24"/>
        </w:rPr>
      </w:pPr>
      <w:bookmarkStart w:id="3" w:name="_Toc131161794"/>
      <w:r w:rsidRPr="009A501D">
        <w:rPr>
          <w:rFonts w:ascii="Century Gothic" w:eastAsiaTheme="minorHAnsi" w:hAnsi="Century Gothic" w:cstheme="minorBidi"/>
          <w:bCs/>
          <w:color w:val="0079BF"/>
          <w:sz w:val="24"/>
          <w:szCs w:val="24"/>
        </w:rPr>
        <w:t>Actividad estratégica 2:</w:t>
      </w:r>
      <w:r w:rsidR="00EC3679" w:rsidRPr="009A501D">
        <w:rPr>
          <w:rFonts w:ascii="Century Gothic" w:eastAsiaTheme="minorHAnsi" w:hAnsi="Century Gothic" w:cstheme="minorBidi"/>
          <w:bCs/>
          <w:color w:val="0079BF"/>
          <w:sz w:val="24"/>
          <w:szCs w:val="24"/>
        </w:rPr>
        <w:t xml:space="preserve"> Evaluar de forma sistemática la calidad de la información</w:t>
      </w:r>
      <w:r w:rsidR="004F370C" w:rsidRPr="009A501D">
        <w:rPr>
          <w:rFonts w:ascii="Century Gothic" w:eastAsiaTheme="minorHAnsi" w:hAnsi="Century Gothic" w:cstheme="minorBidi"/>
          <w:bCs/>
          <w:color w:val="0079BF"/>
          <w:sz w:val="24"/>
          <w:szCs w:val="24"/>
        </w:rPr>
        <w:t>.</w:t>
      </w:r>
      <w:bookmarkEnd w:id="3"/>
    </w:p>
    <w:tbl>
      <w:tblPr>
        <w:tblW w:w="0" w:type="auto"/>
        <w:jc w:val="center"/>
        <w:tblBorders>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8079"/>
      </w:tblGrid>
      <w:tr w:rsidR="00AE7B10" w:rsidRPr="009A501D" w14:paraId="2348DCF6" w14:textId="77777777" w:rsidTr="00901CA1">
        <w:trPr>
          <w:trHeight w:val="907"/>
          <w:jc w:val="center"/>
        </w:trPr>
        <w:tc>
          <w:tcPr>
            <w:tcW w:w="8079" w:type="dxa"/>
            <w:shd w:val="clear" w:color="auto" w:fill="D9D9D9" w:themeFill="background1" w:themeFillShade="D9"/>
            <w:vAlign w:val="center"/>
          </w:tcPr>
          <w:p w14:paraId="514AB89C" w14:textId="09164B91" w:rsidR="00AE7B10" w:rsidRPr="009A501D" w:rsidRDefault="008E04D3" w:rsidP="00901CA1">
            <w:pPr>
              <w:pStyle w:val="Default"/>
              <w:spacing w:before="240" w:after="160"/>
              <w:jc w:val="center"/>
              <w:rPr>
                <w:rFonts w:ascii="Century Gothic" w:hAnsi="Century Gothic"/>
                <w:color w:val="404040" w:themeColor="text1" w:themeTint="BF"/>
                <w:sz w:val="19"/>
                <w:szCs w:val="19"/>
                <w:lang w:val="es-MX"/>
              </w:rPr>
            </w:pPr>
            <w:r w:rsidRPr="009A501D">
              <w:rPr>
                <w:rFonts w:ascii="Century Gothic" w:hAnsi="Century Gothic"/>
                <w:b/>
                <w:bCs/>
                <w:color w:val="404040" w:themeColor="text1" w:themeTint="BF"/>
                <w:sz w:val="19"/>
                <w:szCs w:val="19"/>
                <w:lang w:val="es-MX"/>
              </w:rPr>
              <w:t xml:space="preserve">II.2. </w:t>
            </w:r>
            <w:r w:rsidR="00AE7B10" w:rsidRPr="009A501D">
              <w:rPr>
                <w:rFonts w:ascii="Century Gothic" w:hAnsi="Century Gothic"/>
                <w:b/>
                <w:bCs/>
                <w:color w:val="404040" w:themeColor="text1" w:themeTint="BF"/>
                <w:sz w:val="19"/>
                <w:szCs w:val="19"/>
                <w:lang w:val="es-MX"/>
              </w:rPr>
              <w:t>Metas 2020-2022:</w:t>
            </w:r>
          </w:p>
          <w:p w14:paraId="3A99258B" w14:textId="299E82E5" w:rsidR="0039699B" w:rsidRPr="009A501D" w:rsidRDefault="00AE7B10" w:rsidP="00901CA1">
            <w:pPr>
              <w:pStyle w:val="Default"/>
              <w:spacing w:before="240" w:after="160"/>
              <w:ind w:left="178" w:hanging="178"/>
              <w:jc w:val="both"/>
              <w:rPr>
                <w:rFonts w:ascii="Century Gothic" w:hAnsi="Century Gothic"/>
                <w:color w:val="404040" w:themeColor="text1" w:themeTint="BF"/>
                <w:sz w:val="19"/>
                <w:szCs w:val="19"/>
                <w:lang w:val="es-MX"/>
              </w:rPr>
            </w:pPr>
            <w:r w:rsidRPr="009A501D">
              <w:rPr>
                <w:rFonts w:ascii="Century Gothic" w:hAnsi="Century Gothic"/>
                <w:color w:val="404040" w:themeColor="text1" w:themeTint="BF"/>
                <w:sz w:val="19"/>
                <w:szCs w:val="19"/>
                <w:lang w:val="es-MX"/>
              </w:rPr>
              <w:t>•</w:t>
            </w:r>
            <w:r w:rsidR="00F30FDC" w:rsidRPr="009A501D">
              <w:rPr>
                <w:rFonts w:ascii="Century Gothic" w:hAnsi="Century Gothic"/>
                <w:color w:val="404040" w:themeColor="text1" w:themeTint="BF"/>
                <w:sz w:val="19"/>
                <w:szCs w:val="19"/>
                <w:lang w:val="es-MX"/>
              </w:rPr>
              <w:t xml:space="preserve"> </w:t>
            </w:r>
            <w:r w:rsidR="0039699B" w:rsidRPr="009A501D">
              <w:rPr>
                <w:rFonts w:ascii="Century Gothic" w:hAnsi="Century Gothic"/>
                <w:color w:val="404040" w:themeColor="text1" w:themeTint="BF"/>
                <w:sz w:val="19"/>
                <w:szCs w:val="19"/>
                <w:lang w:val="es-MX"/>
              </w:rPr>
              <w:t>100% de los programas del INEGI incluye</w:t>
            </w:r>
            <w:r w:rsidR="00526344" w:rsidRPr="009A501D">
              <w:rPr>
                <w:rFonts w:ascii="Century Gothic" w:hAnsi="Century Gothic"/>
                <w:color w:val="404040" w:themeColor="text1" w:themeTint="BF"/>
                <w:sz w:val="19"/>
                <w:szCs w:val="19"/>
                <w:lang w:val="es-MX"/>
              </w:rPr>
              <w:t>n</w:t>
            </w:r>
            <w:r w:rsidR="0039699B" w:rsidRPr="009A501D">
              <w:rPr>
                <w:rFonts w:ascii="Century Gothic" w:hAnsi="Century Gothic"/>
                <w:color w:val="404040" w:themeColor="text1" w:themeTint="BF"/>
                <w:sz w:val="19"/>
                <w:szCs w:val="19"/>
                <w:lang w:val="es-MX"/>
              </w:rPr>
              <w:t xml:space="preserve"> en sus metadatos indicadores de calidad.</w:t>
            </w:r>
          </w:p>
          <w:p w14:paraId="20421C6A" w14:textId="4A666426" w:rsidR="00AE7B10" w:rsidRPr="009A501D" w:rsidRDefault="0039699B" w:rsidP="00901CA1">
            <w:pPr>
              <w:pStyle w:val="Default"/>
              <w:spacing w:before="240" w:after="160"/>
              <w:ind w:left="177" w:hanging="177"/>
              <w:jc w:val="both"/>
              <w:rPr>
                <w:rFonts w:ascii="Century Gothic" w:hAnsi="Century Gothic"/>
                <w:b/>
                <w:bCs/>
                <w:color w:val="404040" w:themeColor="text1" w:themeTint="BF"/>
                <w:sz w:val="19"/>
                <w:szCs w:val="19"/>
                <w:lang w:val="es-MX"/>
              </w:rPr>
            </w:pPr>
            <w:r w:rsidRPr="009A501D">
              <w:rPr>
                <w:rFonts w:ascii="Century Gothic" w:hAnsi="Century Gothic"/>
                <w:color w:val="404040" w:themeColor="text1" w:themeTint="BF"/>
                <w:sz w:val="19"/>
                <w:szCs w:val="19"/>
                <w:lang w:val="es-MX"/>
              </w:rPr>
              <w:t>•</w:t>
            </w:r>
            <w:r w:rsidRPr="009A501D">
              <w:rPr>
                <w:rFonts w:ascii="Century Gothic" w:hAnsi="Century Gothic"/>
                <w:color w:val="404040" w:themeColor="text1" w:themeTint="BF"/>
                <w:sz w:val="19"/>
                <w:szCs w:val="19"/>
                <w:lang w:val="es-MX"/>
              </w:rPr>
              <w:tab/>
              <w:t>Existe un catálogo de evaluaciones para el 100% de los tipos de programas de información.</w:t>
            </w:r>
          </w:p>
        </w:tc>
      </w:tr>
    </w:tbl>
    <w:p w14:paraId="7B34D05E" w14:textId="4D922D81" w:rsidR="00042159" w:rsidRPr="009A501D" w:rsidRDefault="00042159" w:rsidP="00330EBD">
      <w:pPr>
        <w:spacing w:before="240"/>
        <w:rPr>
          <w:rFonts w:ascii="Century Gothic" w:hAnsi="Century Gothic"/>
          <w:b/>
          <w:bCs/>
        </w:rPr>
      </w:pPr>
      <w:r w:rsidRPr="009A501D">
        <w:rPr>
          <w:rFonts w:ascii="Century Gothic" w:hAnsi="Century Gothic"/>
          <w:b/>
          <w:bCs/>
        </w:rPr>
        <w:t>Avances</w:t>
      </w:r>
    </w:p>
    <w:p w14:paraId="5B61A11E" w14:textId="38BEBF70" w:rsidR="00B2180E" w:rsidRPr="009A501D" w:rsidRDefault="00B2180E"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La Herramienta </w:t>
      </w:r>
      <w:r w:rsidR="006D1623">
        <w:rPr>
          <w:rFonts w:ascii="Century Gothic" w:hAnsi="Century Gothic"/>
          <w:sz w:val="19"/>
          <w:szCs w:val="19"/>
        </w:rPr>
        <w:t>para la</w:t>
      </w:r>
      <w:r w:rsidRPr="009A501D">
        <w:rPr>
          <w:rFonts w:ascii="Century Gothic" w:hAnsi="Century Gothic"/>
          <w:sz w:val="19"/>
          <w:szCs w:val="19"/>
        </w:rPr>
        <w:t xml:space="preserve"> Evaluación de la Calidad de los Registros Administrativos (HECRA) está disponible en las páginas de internet del INEGI y el </w:t>
      </w:r>
      <w:r w:rsidR="0081722E" w:rsidRPr="009A501D">
        <w:rPr>
          <w:rFonts w:ascii="Century Gothic" w:hAnsi="Century Gothic"/>
          <w:sz w:val="19"/>
          <w:szCs w:val="19"/>
        </w:rPr>
        <w:t>Sistema Nacional de Información Estadística y Geográfica</w:t>
      </w:r>
      <w:r w:rsidR="00112280" w:rsidRPr="009A501D">
        <w:rPr>
          <w:rFonts w:ascii="Century Gothic" w:hAnsi="Century Gothic"/>
          <w:sz w:val="19"/>
          <w:szCs w:val="19"/>
        </w:rPr>
        <w:t xml:space="preserve"> (</w:t>
      </w:r>
      <w:r w:rsidRPr="009A501D">
        <w:rPr>
          <w:rFonts w:ascii="Century Gothic" w:hAnsi="Century Gothic"/>
          <w:sz w:val="19"/>
          <w:szCs w:val="19"/>
        </w:rPr>
        <w:t>SNIEG</w:t>
      </w:r>
      <w:r w:rsidR="00112280" w:rsidRPr="009A501D">
        <w:rPr>
          <w:rFonts w:ascii="Century Gothic" w:hAnsi="Century Gothic"/>
          <w:sz w:val="19"/>
          <w:szCs w:val="19"/>
        </w:rPr>
        <w:t>)</w:t>
      </w:r>
      <w:r w:rsidR="00E81BE3" w:rsidRPr="009A501D">
        <w:rPr>
          <w:rFonts w:ascii="Century Gothic" w:hAnsi="Century Gothic"/>
          <w:sz w:val="19"/>
          <w:szCs w:val="19"/>
        </w:rPr>
        <w:t>.</w:t>
      </w:r>
      <w:r w:rsidR="00112280" w:rsidRPr="009A501D">
        <w:rPr>
          <w:rFonts w:ascii="Century Gothic" w:hAnsi="Century Gothic"/>
          <w:sz w:val="19"/>
          <w:szCs w:val="19"/>
        </w:rPr>
        <w:t xml:space="preserve"> </w:t>
      </w:r>
      <w:r w:rsidR="00A758BD" w:rsidRPr="009A501D">
        <w:rPr>
          <w:rFonts w:ascii="Century Gothic" w:hAnsi="Century Gothic"/>
          <w:sz w:val="19"/>
          <w:szCs w:val="19"/>
        </w:rPr>
        <w:t xml:space="preserve">Se </w:t>
      </w:r>
      <w:r w:rsidR="00EE0FC2" w:rsidRPr="009A501D">
        <w:rPr>
          <w:rFonts w:ascii="Century Gothic" w:hAnsi="Century Gothic"/>
          <w:sz w:val="19"/>
          <w:szCs w:val="19"/>
        </w:rPr>
        <w:t>han concluido</w:t>
      </w:r>
      <w:r w:rsidR="00C11A14" w:rsidRPr="009A501D">
        <w:rPr>
          <w:rFonts w:ascii="Century Gothic" w:hAnsi="Century Gothic"/>
          <w:sz w:val="19"/>
          <w:szCs w:val="19"/>
        </w:rPr>
        <w:t xml:space="preserve"> </w:t>
      </w:r>
      <w:r w:rsidR="00EE0FC2" w:rsidRPr="009A501D">
        <w:rPr>
          <w:rFonts w:ascii="Century Gothic" w:hAnsi="Century Gothic"/>
          <w:sz w:val="19"/>
          <w:szCs w:val="19"/>
        </w:rPr>
        <w:t xml:space="preserve">evaluaciones </w:t>
      </w:r>
      <w:r w:rsidR="00093F5B" w:rsidRPr="009A501D">
        <w:rPr>
          <w:rFonts w:ascii="Century Gothic" w:hAnsi="Century Gothic"/>
          <w:sz w:val="19"/>
          <w:szCs w:val="19"/>
        </w:rPr>
        <w:t>de</w:t>
      </w:r>
      <w:r w:rsidR="00EE0FC2" w:rsidRPr="009A501D">
        <w:rPr>
          <w:rFonts w:ascii="Century Gothic" w:hAnsi="Century Gothic"/>
          <w:sz w:val="19"/>
          <w:szCs w:val="19"/>
        </w:rPr>
        <w:t xml:space="preserve"> </w:t>
      </w:r>
      <w:r w:rsidR="00C11A14" w:rsidRPr="009A501D">
        <w:rPr>
          <w:rFonts w:ascii="Century Gothic" w:hAnsi="Century Gothic"/>
          <w:sz w:val="19"/>
          <w:szCs w:val="19"/>
        </w:rPr>
        <w:t>dos</w:t>
      </w:r>
      <w:r w:rsidR="00EE0FC2" w:rsidRPr="009A501D">
        <w:rPr>
          <w:rFonts w:ascii="Century Gothic" w:hAnsi="Century Gothic"/>
          <w:sz w:val="19"/>
          <w:szCs w:val="19"/>
        </w:rPr>
        <w:t xml:space="preserve"> registros administrativos </w:t>
      </w:r>
      <w:r w:rsidR="00C11A14" w:rsidRPr="009A501D">
        <w:rPr>
          <w:rFonts w:ascii="Century Gothic" w:hAnsi="Century Gothic"/>
          <w:sz w:val="19"/>
          <w:szCs w:val="19"/>
        </w:rPr>
        <w:t>e iniciado</w:t>
      </w:r>
      <w:r w:rsidR="00093F5B" w:rsidRPr="009A501D">
        <w:rPr>
          <w:rFonts w:ascii="Century Gothic" w:hAnsi="Century Gothic"/>
          <w:sz w:val="19"/>
          <w:szCs w:val="19"/>
        </w:rPr>
        <w:t xml:space="preserve"> </w:t>
      </w:r>
      <w:r w:rsidR="00A82622" w:rsidRPr="009A501D">
        <w:rPr>
          <w:rFonts w:ascii="Century Gothic" w:hAnsi="Century Gothic"/>
          <w:sz w:val="19"/>
          <w:szCs w:val="19"/>
        </w:rPr>
        <w:t>las correspondientes a otros nueve</w:t>
      </w:r>
      <w:r w:rsidR="00151086" w:rsidRPr="009A501D">
        <w:rPr>
          <w:rFonts w:ascii="Century Gothic" w:hAnsi="Century Gothic"/>
          <w:sz w:val="19"/>
          <w:szCs w:val="19"/>
        </w:rPr>
        <w:t>.</w:t>
      </w:r>
    </w:p>
    <w:p w14:paraId="342AAE85" w14:textId="24A91FFD" w:rsidR="009C2DCB" w:rsidRDefault="0011009B"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E</w:t>
      </w:r>
      <w:r w:rsidR="00B2180E" w:rsidRPr="009A501D">
        <w:rPr>
          <w:rFonts w:ascii="Century Gothic" w:hAnsi="Century Gothic"/>
          <w:sz w:val="19"/>
          <w:szCs w:val="19"/>
        </w:rPr>
        <w:t xml:space="preserve">l </w:t>
      </w:r>
      <w:r w:rsidR="00310596" w:rsidRPr="009A501D">
        <w:rPr>
          <w:rFonts w:ascii="Century Gothic" w:hAnsi="Century Gothic"/>
          <w:sz w:val="19"/>
          <w:szCs w:val="19"/>
        </w:rPr>
        <w:t>100% de los programas de información</w:t>
      </w:r>
      <w:r w:rsidRPr="009A501D">
        <w:rPr>
          <w:rFonts w:ascii="Century Gothic" w:hAnsi="Century Gothic"/>
          <w:sz w:val="19"/>
          <w:szCs w:val="19"/>
        </w:rPr>
        <w:t xml:space="preserve"> o proceso</w:t>
      </w:r>
      <w:r w:rsidR="001D6517" w:rsidRPr="009A501D">
        <w:rPr>
          <w:rFonts w:ascii="Century Gothic" w:hAnsi="Century Gothic"/>
          <w:sz w:val="19"/>
          <w:szCs w:val="19"/>
        </w:rPr>
        <w:t>s</w:t>
      </w:r>
      <w:r w:rsidRPr="009A501D">
        <w:rPr>
          <w:rFonts w:ascii="Century Gothic" w:hAnsi="Century Gothic"/>
          <w:sz w:val="19"/>
          <w:szCs w:val="19"/>
        </w:rPr>
        <w:t xml:space="preserve"> de producción</w:t>
      </w:r>
      <w:r w:rsidR="00310596" w:rsidRPr="009A501D">
        <w:rPr>
          <w:rFonts w:ascii="Century Gothic" w:hAnsi="Century Gothic"/>
          <w:sz w:val="19"/>
          <w:szCs w:val="19"/>
        </w:rPr>
        <w:t xml:space="preserve"> registrados en el </w:t>
      </w:r>
      <w:r w:rsidR="009C0B2B" w:rsidRPr="009A501D">
        <w:rPr>
          <w:rFonts w:ascii="Century Gothic" w:hAnsi="Century Gothic"/>
          <w:sz w:val="19"/>
          <w:szCs w:val="19"/>
        </w:rPr>
        <w:t>Inventario de Programas de Información</w:t>
      </w:r>
      <w:r w:rsidR="00112280" w:rsidRPr="009A501D">
        <w:rPr>
          <w:rFonts w:ascii="Century Gothic" w:hAnsi="Century Gothic"/>
          <w:sz w:val="19"/>
          <w:szCs w:val="19"/>
        </w:rPr>
        <w:t xml:space="preserve"> (IPI)</w:t>
      </w:r>
      <w:r w:rsidRPr="009A501D">
        <w:rPr>
          <w:rFonts w:ascii="Century Gothic" w:hAnsi="Century Gothic"/>
          <w:sz w:val="19"/>
          <w:szCs w:val="19"/>
        </w:rPr>
        <w:t xml:space="preserve">, reportaron </w:t>
      </w:r>
      <w:r w:rsidR="00055F51" w:rsidRPr="009A501D">
        <w:rPr>
          <w:rFonts w:ascii="Century Gothic" w:hAnsi="Century Gothic"/>
          <w:sz w:val="19"/>
          <w:szCs w:val="19"/>
        </w:rPr>
        <w:t>los indicadores de pertinencia, oportunidad, puntualidad y accesibilidad</w:t>
      </w:r>
      <w:r w:rsidR="00310596" w:rsidRPr="009A501D">
        <w:rPr>
          <w:rFonts w:ascii="Century Gothic" w:hAnsi="Century Gothic"/>
          <w:sz w:val="19"/>
          <w:szCs w:val="19"/>
        </w:rPr>
        <w:t>.</w:t>
      </w:r>
    </w:p>
    <w:p w14:paraId="073CEF4D" w14:textId="1AF5FF7F" w:rsidR="00442B0E" w:rsidRPr="009A501D" w:rsidRDefault="00442B0E" w:rsidP="00FF6ADE">
      <w:pPr>
        <w:numPr>
          <w:ilvl w:val="1"/>
          <w:numId w:val="1"/>
        </w:numPr>
        <w:tabs>
          <w:tab w:val="num" w:pos="284"/>
        </w:tabs>
        <w:spacing w:after="0"/>
        <w:ind w:left="284" w:right="27" w:hanging="284"/>
        <w:jc w:val="both"/>
        <w:rPr>
          <w:rFonts w:ascii="Century Gothic" w:hAnsi="Century Gothic"/>
          <w:sz w:val="19"/>
          <w:szCs w:val="19"/>
        </w:rPr>
      </w:pPr>
      <w:r>
        <w:rPr>
          <w:rFonts w:ascii="Century Gothic" w:hAnsi="Century Gothic"/>
          <w:sz w:val="19"/>
          <w:szCs w:val="19"/>
        </w:rPr>
        <w:t xml:space="preserve">Se elaboró un catálogo de evaluaciones </w:t>
      </w:r>
      <w:r w:rsidR="00DF70F6">
        <w:rPr>
          <w:rFonts w:ascii="Century Gothic" w:hAnsi="Century Gothic"/>
          <w:sz w:val="19"/>
          <w:szCs w:val="19"/>
        </w:rPr>
        <w:t xml:space="preserve">del 100% de los </w:t>
      </w:r>
      <w:r w:rsidR="00A17781">
        <w:rPr>
          <w:rFonts w:ascii="Century Gothic" w:hAnsi="Century Gothic"/>
          <w:sz w:val="19"/>
          <w:szCs w:val="19"/>
        </w:rPr>
        <w:t>procesos de producción para los que se</w:t>
      </w:r>
      <w:r w:rsidR="00DF70F6">
        <w:rPr>
          <w:rFonts w:ascii="Century Gothic" w:hAnsi="Century Gothic"/>
          <w:sz w:val="19"/>
          <w:szCs w:val="19"/>
        </w:rPr>
        <w:t xml:space="preserve"> </w:t>
      </w:r>
      <w:r w:rsidR="00A17781">
        <w:rPr>
          <w:rFonts w:ascii="Century Gothic" w:hAnsi="Century Gothic"/>
          <w:sz w:val="19"/>
          <w:szCs w:val="19"/>
        </w:rPr>
        <w:t xml:space="preserve">han </w:t>
      </w:r>
      <w:r w:rsidR="00DF70F6">
        <w:rPr>
          <w:rFonts w:ascii="Century Gothic" w:hAnsi="Century Gothic"/>
          <w:sz w:val="19"/>
          <w:szCs w:val="19"/>
        </w:rPr>
        <w:t>realiza</w:t>
      </w:r>
      <w:r w:rsidR="00A17781">
        <w:rPr>
          <w:rFonts w:ascii="Century Gothic" w:hAnsi="Century Gothic"/>
          <w:sz w:val="19"/>
          <w:szCs w:val="19"/>
        </w:rPr>
        <w:t>do</w:t>
      </w:r>
      <w:r w:rsidR="00DF70F6">
        <w:rPr>
          <w:rFonts w:ascii="Century Gothic" w:hAnsi="Century Gothic"/>
          <w:sz w:val="19"/>
          <w:szCs w:val="19"/>
        </w:rPr>
        <w:t xml:space="preserve"> evaluaciones sistemáticas</w:t>
      </w:r>
      <w:r w:rsidR="009E59F3">
        <w:rPr>
          <w:rFonts w:ascii="Century Gothic" w:hAnsi="Century Gothic"/>
          <w:sz w:val="19"/>
          <w:szCs w:val="19"/>
        </w:rPr>
        <w:t>.</w:t>
      </w:r>
      <w:r w:rsidR="00DF70F6">
        <w:rPr>
          <w:rFonts w:ascii="Century Gothic" w:hAnsi="Century Gothic"/>
          <w:sz w:val="19"/>
          <w:szCs w:val="19"/>
        </w:rPr>
        <w:t xml:space="preserve"> </w:t>
      </w:r>
      <w:r w:rsidR="009E59F3">
        <w:rPr>
          <w:rFonts w:ascii="Century Gothic" w:hAnsi="Century Gothic"/>
          <w:sz w:val="19"/>
          <w:szCs w:val="19"/>
        </w:rPr>
        <w:t>E</w:t>
      </w:r>
      <w:r w:rsidR="00DF70F6">
        <w:rPr>
          <w:rFonts w:ascii="Century Gothic" w:hAnsi="Century Gothic"/>
          <w:sz w:val="19"/>
          <w:szCs w:val="19"/>
        </w:rPr>
        <w:t xml:space="preserve">ste catálogo </w:t>
      </w:r>
      <w:r>
        <w:rPr>
          <w:rFonts w:ascii="Century Gothic" w:hAnsi="Century Gothic"/>
          <w:sz w:val="19"/>
          <w:szCs w:val="19"/>
        </w:rPr>
        <w:t>se incluyó como anexo en la propuesta de marco genérico para las evaluaciones de calidad.</w:t>
      </w:r>
    </w:p>
    <w:p w14:paraId="6475EE45" w14:textId="5BFFFCE1" w:rsidR="005823E5" w:rsidRPr="009A501D" w:rsidRDefault="00B2180E"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Las encuestas, registros administrativos y censos</w:t>
      </w:r>
      <w:r w:rsidR="00F14814" w:rsidRPr="009A501D">
        <w:rPr>
          <w:rFonts w:ascii="Century Gothic" w:hAnsi="Century Gothic"/>
          <w:sz w:val="19"/>
          <w:szCs w:val="19"/>
        </w:rPr>
        <w:t xml:space="preserve"> registrados en el IPI</w:t>
      </w:r>
      <w:r w:rsidRPr="009A501D">
        <w:rPr>
          <w:rFonts w:ascii="Century Gothic" w:hAnsi="Century Gothic"/>
          <w:sz w:val="19"/>
          <w:szCs w:val="19"/>
        </w:rPr>
        <w:t xml:space="preserve"> reporta</w:t>
      </w:r>
      <w:r w:rsidR="00CC5403" w:rsidRPr="009A501D">
        <w:rPr>
          <w:rFonts w:ascii="Century Gothic" w:hAnsi="Century Gothic"/>
          <w:sz w:val="19"/>
          <w:szCs w:val="19"/>
        </w:rPr>
        <w:t>ron</w:t>
      </w:r>
      <w:r w:rsidRPr="009A501D">
        <w:rPr>
          <w:rFonts w:ascii="Century Gothic" w:hAnsi="Century Gothic"/>
          <w:sz w:val="19"/>
          <w:szCs w:val="19"/>
        </w:rPr>
        <w:t xml:space="preserve"> los indicadores de precisión </w:t>
      </w:r>
      <w:r w:rsidR="00492403" w:rsidRPr="009A501D">
        <w:rPr>
          <w:rFonts w:ascii="Century Gothic" w:hAnsi="Century Gothic"/>
          <w:sz w:val="19"/>
          <w:szCs w:val="19"/>
        </w:rPr>
        <w:t>en el sistema de metadatos cada vez que se public</w:t>
      </w:r>
      <w:r w:rsidR="00DA328A" w:rsidRPr="009A501D">
        <w:rPr>
          <w:rFonts w:ascii="Century Gothic" w:hAnsi="Century Gothic"/>
          <w:sz w:val="19"/>
          <w:szCs w:val="19"/>
        </w:rPr>
        <w:t>ó</w:t>
      </w:r>
      <w:r w:rsidR="00492403" w:rsidRPr="009A501D">
        <w:rPr>
          <w:rFonts w:ascii="Century Gothic" w:hAnsi="Century Gothic"/>
          <w:sz w:val="19"/>
          <w:szCs w:val="19"/>
        </w:rPr>
        <w:t xml:space="preserve"> información</w:t>
      </w:r>
      <w:r w:rsidR="00F14814" w:rsidRPr="009A501D">
        <w:rPr>
          <w:rFonts w:ascii="Century Gothic" w:hAnsi="Century Gothic"/>
          <w:sz w:val="19"/>
          <w:szCs w:val="19"/>
        </w:rPr>
        <w:t xml:space="preserve"> nueva</w:t>
      </w:r>
      <w:r w:rsidR="00492403" w:rsidRPr="009A501D">
        <w:rPr>
          <w:rFonts w:ascii="Century Gothic" w:hAnsi="Century Gothic"/>
          <w:sz w:val="19"/>
          <w:szCs w:val="19"/>
        </w:rPr>
        <w:t>.</w:t>
      </w:r>
    </w:p>
    <w:p w14:paraId="4348C203" w14:textId="33674DDF" w:rsidR="00B2180E" w:rsidRPr="009A501D" w:rsidRDefault="00B2180E"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L</w:t>
      </w:r>
      <w:r w:rsidR="0039279C" w:rsidRPr="009A501D">
        <w:rPr>
          <w:rFonts w:ascii="Century Gothic" w:hAnsi="Century Gothic"/>
          <w:sz w:val="19"/>
          <w:szCs w:val="19"/>
        </w:rPr>
        <w:t>a Dirección General de Geografía y Medio Ambiente presentó avances en la medición de los indicadores de precisión geoespacial</w:t>
      </w:r>
      <w:r w:rsidR="008969E4" w:rsidRPr="009A501D">
        <w:rPr>
          <w:rFonts w:ascii="Century Gothic" w:hAnsi="Century Gothic"/>
          <w:sz w:val="19"/>
          <w:szCs w:val="19"/>
        </w:rPr>
        <w:t>.</w:t>
      </w:r>
    </w:p>
    <w:p w14:paraId="74C88C0D" w14:textId="7536725A" w:rsidR="00A4204B" w:rsidRPr="009A501D" w:rsidRDefault="00151086"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S</w:t>
      </w:r>
      <w:r w:rsidR="00A4204B" w:rsidRPr="009A501D">
        <w:rPr>
          <w:rFonts w:ascii="Century Gothic" w:hAnsi="Century Gothic"/>
          <w:sz w:val="19"/>
          <w:szCs w:val="19"/>
        </w:rPr>
        <w:t>e propus</w:t>
      </w:r>
      <w:r w:rsidR="00DE57FD" w:rsidRPr="009A501D">
        <w:rPr>
          <w:rFonts w:ascii="Century Gothic" w:hAnsi="Century Gothic"/>
          <w:sz w:val="19"/>
          <w:szCs w:val="19"/>
        </w:rPr>
        <w:t xml:space="preserve">ieron dos </w:t>
      </w:r>
      <w:r w:rsidR="00B2180E" w:rsidRPr="009A501D">
        <w:rPr>
          <w:rFonts w:ascii="Century Gothic" w:hAnsi="Century Gothic"/>
          <w:sz w:val="19"/>
          <w:szCs w:val="19"/>
        </w:rPr>
        <w:t>indicador</w:t>
      </w:r>
      <w:r w:rsidR="00DE57FD" w:rsidRPr="009A501D">
        <w:rPr>
          <w:rFonts w:ascii="Century Gothic" w:hAnsi="Century Gothic"/>
          <w:sz w:val="19"/>
          <w:szCs w:val="19"/>
        </w:rPr>
        <w:t>es</w:t>
      </w:r>
      <w:r w:rsidR="00B2180E" w:rsidRPr="009A501D">
        <w:rPr>
          <w:rFonts w:ascii="Century Gothic" w:hAnsi="Century Gothic"/>
          <w:sz w:val="19"/>
          <w:szCs w:val="19"/>
        </w:rPr>
        <w:t xml:space="preserve"> de costo-efectividad </w:t>
      </w:r>
      <w:r w:rsidR="00442B0E">
        <w:rPr>
          <w:rFonts w:ascii="Century Gothic" w:hAnsi="Century Gothic"/>
          <w:sz w:val="19"/>
          <w:szCs w:val="19"/>
        </w:rPr>
        <w:t>que</w:t>
      </w:r>
      <w:r w:rsidR="00B2180E" w:rsidRPr="009A501D">
        <w:rPr>
          <w:rFonts w:ascii="Century Gothic" w:hAnsi="Century Gothic"/>
          <w:sz w:val="19"/>
          <w:szCs w:val="19"/>
        </w:rPr>
        <w:t xml:space="preserve"> están siendo discutid</w:t>
      </w:r>
      <w:r w:rsidR="00442B0E">
        <w:rPr>
          <w:rFonts w:ascii="Century Gothic" w:hAnsi="Century Gothic"/>
          <w:sz w:val="19"/>
          <w:szCs w:val="19"/>
        </w:rPr>
        <w:t>o</w:t>
      </w:r>
      <w:r w:rsidR="00B2180E" w:rsidRPr="009A501D">
        <w:rPr>
          <w:rFonts w:ascii="Century Gothic" w:hAnsi="Century Gothic"/>
          <w:sz w:val="19"/>
          <w:szCs w:val="19"/>
        </w:rPr>
        <w:t>s en</w:t>
      </w:r>
      <w:r w:rsidR="00442B0E">
        <w:rPr>
          <w:rFonts w:ascii="Century Gothic" w:hAnsi="Century Gothic"/>
          <w:sz w:val="19"/>
          <w:szCs w:val="19"/>
        </w:rPr>
        <w:t xml:space="preserve"> un</w:t>
      </w:r>
      <w:r w:rsidR="00B2180E" w:rsidRPr="009A501D">
        <w:rPr>
          <w:rFonts w:ascii="Century Gothic" w:hAnsi="Century Gothic"/>
          <w:sz w:val="19"/>
          <w:szCs w:val="19"/>
        </w:rPr>
        <w:t xml:space="preserve"> grupo de trabajo</w:t>
      </w:r>
      <w:r w:rsidR="00C42513" w:rsidRPr="009A501D">
        <w:rPr>
          <w:rFonts w:ascii="Century Gothic" w:hAnsi="Century Gothic"/>
          <w:sz w:val="19"/>
          <w:szCs w:val="19"/>
        </w:rPr>
        <w:t>.</w:t>
      </w:r>
    </w:p>
    <w:p w14:paraId="54112B10" w14:textId="36E62E8C" w:rsidR="00915898" w:rsidRPr="009A501D" w:rsidRDefault="00915898" w:rsidP="00330EBD">
      <w:pPr>
        <w:spacing w:before="240"/>
        <w:jc w:val="both"/>
        <w:rPr>
          <w:rFonts w:ascii="Century Gothic" w:hAnsi="Century Gothic"/>
          <w:b/>
          <w:bCs/>
        </w:rPr>
      </w:pPr>
      <w:r w:rsidRPr="009A501D">
        <w:rPr>
          <w:rFonts w:ascii="Century Gothic" w:hAnsi="Century Gothic"/>
          <w:b/>
          <w:bCs/>
        </w:rPr>
        <w:t xml:space="preserve">Retos para </w:t>
      </w:r>
      <w:r w:rsidR="00F05217" w:rsidRPr="009A501D">
        <w:rPr>
          <w:rFonts w:ascii="Century Gothic" w:hAnsi="Century Gothic"/>
          <w:b/>
          <w:bCs/>
        </w:rPr>
        <w:t>2023-2025</w:t>
      </w:r>
    </w:p>
    <w:p w14:paraId="1DCF1C25" w14:textId="7523C812" w:rsidR="003E2736" w:rsidRPr="009A501D" w:rsidRDefault="00602FB6"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Aprobar nuevos</w:t>
      </w:r>
      <w:r w:rsidR="00C42513" w:rsidRPr="009A501D">
        <w:rPr>
          <w:rFonts w:ascii="Century Gothic" w:hAnsi="Century Gothic"/>
          <w:sz w:val="19"/>
          <w:szCs w:val="19"/>
        </w:rPr>
        <w:t xml:space="preserve"> indicadores de precisión </w:t>
      </w:r>
      <w:r w:rsidRPr="009A501D">
        <w:rPr>
          <w:rFonts w:ascii="Century Gothic" w:hAnsi="Century Gothic"/>
          <w:sz w:val="19"/>
          <w:szCs w:val="19"/>
        </w:rPr>
        <w:t>para</w:t>
      </w:r>
      <w:r w:rsidR="00C42513" w:rsidRPr="009A501D">
        <w:rPr>
          <w:rFonts w:ascii="Century Gothic" w:hAnsi="Century Gothic"/>
          <w:sz w:val="19"/>
          <w:szCs w:val="19"/>
        </w:rPr>
        <w:t xml:space="preserve"> la información geográfica y </w:t>
      </w:r>
      <w:r w:rsidR="00246796" w:rsidRPr="009A501D">
        <w:rPr>
          <w:rFonts w:ascii="Century Gothic" w:hAnsi="Century Gothic"/>
          <w:sz w:val="19"/>
          <w:szCs w:val="19"/>
        </w:rPr>
        <w:t>proceso</w:t>
      </w:r>
      <w:r w:rsidR="003E2736" w:rsidRPr="009A501D">
        <w:rPr>
          <w:rFonts w:ascii="Century Gothic" w:hAnsi="Century Gothic"/>
          <w:sz w:val="19"/>
          <w:szCs w:val="19"/>
        </w:rPr>
        <w:t>s de estadística derivada</w:t>
      </w:r>
      <w:r w:rsidR="00C42513" w:rsidRPr="009A501D">
        <w:rPr>
          <w:rFonts w:ascii="Century Gothic" w:hAnsi="Century Gothic"/>
          <w:sz w:val="19"/>
          <w:szCs w:val="19"/>
        </w:rPr>
        <w:t xml:space="preserve">, así como </w:t>
      </w:r>
      <w:r w:rsidRPr="009A501D">
        <w:rPr>
          <w:rFonts w:ascii="Century Gothic" w:hAnsi="Century Gothic"/>
          <w:sz w:val="19"/>
          <w:szCs w:val="19"/>
        </w:rPr>
        <w:t>para</w:t>
      </w:r>
      <w:r w:rsidR="00C42513" w:rsidRPr="009A501D">
        <w:rPr>
          <w:rFonts w:ascii="Century Gothic" w:hAnsi="Century Gothic"/>
          <w:sz w:val="19"/>
          <w:szCs w:val="19"/>
        </w:rPr>
        <w:t xml:space="preserve"> los principios de calidad de procesos.</w:t>
      </w:r>
    </w:p>
    <w:p w14:paraId="5D91D9E6" w14:textId="74A51DED" w:rsidR="00993DB4" w:rsidRPr="009A501D" w:rsidRDefault="00B26CBA"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Concluir la elaboración de</w:t>
      </w:r>
      <w:r w:rsidR="00285454" w:rsidRPr="009A501D">
        <w:rPr>
          <w:rFonts w:ascii="Century Gothic" w:hAnsi="Century Gothic"/>
          <w:sz w:val="19"/>
          <w:szCs w:val="19"/>
        </w:rPr>
        <w:t>l</w:t>
      </w:r>
      <w:r w:rsidR="0091777B" w:rsidRPr="009A501D">
        <w:rPr>
          <w:rFonts w:ascii="Century Gothic" w:hAnsi="Century Gothic"/>
          <w:sz w:val="19"/>
          <w:szCs w:val="19"/>
        </w:rPr>
        <w:t xml:space="preserve"> </w:t>
      </w:r>
      <w:r w:rsidR="00C42513" w:rsidRPr="009A501D">
        <w:rPr>
          <w:rFonts w:ascii="Century Gothic" w:hAnsi="Century Gothic"/>
          <w:sz w:val="19"/>
          <w:szCs w:val="19"/>
        </w:rPr>
        <w:t xml:space="preserve">marco genérico para las evaluaciones de calidad que </w:t>
      </w:r>
      <w:r w:rsidR="00151086" w:rsidRPr="009A501D">
        <w:rPr>
          <w:rFonts w:ascii="Century Gothic" w:hAnsi="Century Gothic"/>
          <w:sz w:val="19"/>
          <w:szCs w:val="19"/>
        </w:rPr>
        <w:t xml:space="preserve">indique </w:t>
      </w:r>
      <w:r w:rsidR="00C42513" w:rsidRPr="009A501D">
        <w:rPr>
          <w:rFonts w:ascii="Century Gothic" w:hAnsi="Century Gothic"/>
          <w:sz w:val="19"/>
          <w:szCs w:val="19"/>
        </w:rPr>
        <w:t>los principales cuestionamientos que deberán</w:t>
      </w:r>
      <w:r w:rsidR="00151086" w:rsidRPr="009A501D">
        <w:rPr>
          <w:rFonts w:ascii="Century Gothic" w:hAnsi="Century Gothic"/>
          <w:sz w:val="19"/>
          <w:szCs w:val="19"/>
        </w:rPr>
        <w:t xml:space="preserve"> de</w:t>
      </w:r>
      <w:r w:rsidR="00C42513" w:rsidRPr="009A501D">
        <w:rPr>
          <w:rFonts w:ascii="Century Gothic" w:hAnsi="Century Gothic"/>
          <w:sz w:val="19"/>
          <w:szCs w:val="19"/>
        </w:rPr>
        <w:t xml:space="preserve"> responder las evaluaciones y las periodicidades sugeridas</w:t>
      </w:r>
      <w:r w:rsidR="00005687" w:rsidRPr="009A501D">
        <w:rPr>
          <w:rFonts w:ascii="Century Gothic" w:hAnsi="Century Gothic"/>
          <w:sz w:val="19"/>
          <w:szCs w:val="19"/>
        </w:rPr>
        <w:t>.</w:t>
      </w:r>
    </w:p>
    <w:p w14:paraId="508617D6" w14:textId="77777777" w:rsidR="00ED498A" w:rsidRPr="009A501D" w:rsidRDefault="00ED498A" w:rsidP="00ED498A">
      <w:pPr>
        <w:tabs>
          <w:tab w:val="num" w:pos="8015"/>
        </w:tabs>
        <w:spacing w:before="240"/>
        <w:ind w:right="27"/>
        <w:jc w:val="both"/>
        <w:rPr>
          <w:rFonts w:ascii="Century Gothic" w:hAnsi="Century Gothic"/>
          <w:b/>
        </w:rPr>
      </w:pPr>
    </w:p>
    <w:p w14:paraId="3F612CD7" w14:textId="7D7A0368" w:rsidR="00EC3679" w:rsidRPr="009A501D" w:rsidRDefault="009F3663" w:rsidP="00ED498A">
      <w:pPr>
        <w:pStyle w:val="Ttulo2"/>
        <w:spacing w:after="240"/>
        <w:rPr>
          <w:rFonts w:ascii="Century Gothic" w:eastAsiaTheme="minorHAnsi" w:hAnsi="Century Gothic" w:cstheme="minorBidi"/>
          <w:bCs/>
          <w:color w:val="0079BF"/>
          <w:sz w:val="24"/>
          <w:szCs w:val="24"/>
        </w:rPr>
      </w:pPr>
      <w:bookmarkStart w:id="4" w:name="_Toc131161795"/>
      <w:r w:rsidRPr="009A501D">
        <w:rPr>
          <w:rFonts w:ascii="Century Gothic" w:eastAsiaTheme="minorHAnsi" w:hAnsi="Century Gothic" w:cstheme="minorBidi"/>
          <w:bCs/>
          <w:color w:val="0079BF"/>
          <w:sz w:val="24"/>
          <w:szCs w:val="24"/>
        </w:rPr>
        <w:t>Actividad estratégica 3</w:t>
      </w:r>
      <w:r w:rsidR="00776F62" w:rsidRPr="009A501D">
        <w:rPr>
          <w:rFonts w:ascii="Century Gothic" w:eastAsiaTheme="minorHAnsi" w:hAnsi="Century Gothic" w:cstheme="minorBidi"/>
          <w:bCs/>
          <w:color w:val="0079BF"/>
          <w:sz w:val="24"/>
          <w:szCs w:val="24"/>
        </w:rPr>
        <w:t>:</w:t>
      </w:r>
      <w:r w:rsidR="00EC3679" w:rsidRPr="009A501D">
        <w:rPr>
          <w:rFonts w:ascii="Century Gothic" w:eastAsiaTheme="minorHAnsi" w:hAnsi="Century Gothic" w:cstheme="minorBidi"/>
          <w:bCs/>
          <w:color w:val="0079BF"/>
          <w:sz w:val="24"/>
          <w:szCs w:val="24"/>
        </w:rPr>
        <w:t xml:space="preserve"> </w:t>
      </w:r>
      <w:bookmarkStart w:id="5" w:name="_Hlk129602720"/>
      <w:r w:rsidR="00EC3679" w:rsidRPr="009A501D">
        <w:rPr>
          <w:rFonts w:ascii="Century Gothic" w:eastAsiaTheme="minorHAnsi" w:hAnsi="Century Gothic" w:cstheme="minorBidi"/>
          <w:bCs/>
          <w:color w:val="0079BF"/>
          <w:sz w:val="24"/>
          <w:szCs w:val="24"/>
        </w:rPr>
        <w:t>Desarrollar protocolos para medir</w:t>
      </w:r>
      <w:r w:rsidR="00776F62" w:rsidRPr="009A501D">
        <w:rPr>
          <w:rFonts w:ascii="Century Gothic" w:eastAsiaTheme="minorHAnsi" w:hAnsi="Century Gothic" w:cstheme="minorBidi"/>
          <w:bCs/>
          <w:color w:val="0079BF"/>
          <w:sz w:val="24"/>
          <w:szCs w:val="24"/>
        </w:rPr>
        <w:t xml:space="preserve"> y documentar el impacto de las </w:t>
      </w:r>
      <w:r w:rsidR="00EC3679" w:rsidRPr="009A501D">
        <w:rPr>
          <w:rFonts w:ascii="Century Gothic" w:eastAsiaTheme="minorHAnsi" w:hAnsi="Century Gothic" w:cstheme="minorBidi"/>
          <w:bCs/>
          <w:color w:val="0079BF"/>
          <w:sz w:val="24"/>
          <w:szCs w:val="24"/>
        </w:rPr>
        <w:t>mejoras</w:t>
      </w:r>
      <w:r w:rsidR="00285454" w:rsidRPr="009A501D">
        <w:rPr>
          <w:rFonts w:ascii="Century Gothic" w:eastAsiaTheme="minorHAnsi" w:hAnsi="Century Gothic" w:cstheme="minorBidi"/>
          <w:bCs/>
          <w:color w:val="0079BF"/>
          <w:sz w:val="24"/>
          <w:szCs w:val="24"/>
        </w:rPr>
        <w:t>.</w:t>
      </w:r>
      <w:bookmarkEnd w:id="4"/>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8079"/>
      </w:tblGrid>
      <w:tr w:rsidR="00365C0A" w:rsidRPr="009A501D" w14:paraId="7284E647" w14:textId="77777777" w:rsidTr="00ED498A">
        <w:trPr>
          <w:jc w:val="center"/>
        </w:trPr>
        <w:tc>
          <w:tcPr>
            <w:tcW w:w="8079" w:type="dxa"/>
            <w:shd w:val="clear" w:color="auto" w:fill="D9D9D9" w:themeFill="background1" w:themeFillShade="D9"/>
          </w:tcPr>
          <w:bookmarkEnd w:id="5"/>
          <w:p w14:paraId="7C76D5C5" w14:textId="2DB222E4" w:rsidR="00365C0A" w:rsidRPr="009A501D" w:rsidRDefault="008E04D3" w:rsidP="00330EBD">
            <w:pPr>
              <w:pStyle w:val="Default"/>
              <w:spacing w:before="240" w:after="160"/>
              <w:jc w:val="center"/>
              <w:rPr>
                <w:rFonts w:ascii="Century Gothic" w:hAnsi="Century Gothic"/>
                <w:color w:val="404040" w:themeColor="text1" w:themeTint="BF"/>
                <w:sz w:val="19"/>
                <w:szCs w:val="19"/>
                <w:lang w:val="es-MX"/>
              </w:rPr>
            </w:pPr>
            <w:r w:rsidRPr="009A501D">
              <w:rPr>
                <w:rFonts w:ascii="Century Gothic" w:hAnsi="Century Gothic"/>
                <w:b/>
                <w:bCs/>
                <w:color w:val="404040" w:themeColor="text1" w:themeTint="BF"/>
                <w:sz w:val="19"/>
                <w:szCs w:val="19"/>
                <w:lang w:val="es-MX"/>
              </w:rPr>
              <w:t xml:space="preserve">II.3. </w:t>
            </w:r>
            <w:r w:rsidR="00365C0A" w:rsidRPr="009A501D">
              <w:rPr>
                <w:rFonts w:ascii="Century Gothic" w:hAnsi="Century Gothic"/>
                <w:b/>
                <w:bCs/>
                <w:color w:val="404040" w:themeColor="text1" w:themeTint="BF"/>
                <w:sz w:val="19"/>
                <w:szCs w:val="19"/>
                <w:lang w:val="es-MX"/>
              </w:rPr>
              <w:t xml:space="preserve">Metas 2020-2022: </w:t>
            </w:r>
          </w:p>
          <w:p w14:paraId="75F3D502" w14:textId="6D8F9BF5" w:rsidR="0039699B" w:rsidRPr="009A501D" w:rsidRDefault="00365C0A" w:rsidP="00ED498A">
            <w:pPr>
              <w:pStyle w:val="Default"/>
              <w:spacing w:before="240" w:after="160"/>
              <w:ind w:left="180" w:hanging="180"/>
              <w:jc w:val="both"/>
              <w:rPr>
                <w:rFonts w:ascii="Century Gothic" w:hAnsi="Century Gothic"/>
                <w:color w:val="404040" w:themeColor="text1" w:themeTint="BF"/>
                <w:sz w:val="19"/>
                <w:szCs w:val="19"/>
                <w:lang w:val="es-MX"/>
              </w:rPr>
            </w:pPr>
            <w:r w:rsidRPr="009A501D">
              <w:rPr>
                <w:rFonts w:ascii="Century Gothic" w:hAnsi="Century Gothic"/>
                <w:color w:val="404040" w:themeColor="text1" w:themeTint="BF"/>
                <w:sz w:val="19"/>
                <w:szCs w:val="19"/>
                <w:lang w:val="es-MX"/>
              </w:rPr>
              <w:t>•</w:t>
            </w:r>
            <w:r w:rsidR="00F40A72" w:rsidRPr="009A501D">
              <w:rPr>
                <w:rFonts w:ascii="Century Gothic" w:hAnsi="Century Gothic"/>
                <w:color w:val="404040" w:themeColor="text1" w:themeTint="BF"/>
                <w:sz w:val="19"/>
                <w:szCs w:val="19"/>
                <w:lang w:val="es-MX"/>
              </w:rPr>
              <w:t xml:space="preserve"> </w:t>
            </w:r>
            <w:r w:rsidR="0039699B" w:rsidRPr="009A501D">
              <w:rPr>
                <w:rFonts w:ascii="Century Gothic" w:hAnsi="Century Gothic"/>
                <w:color w:val="404040" w:themeColor="text1" w:themeTint="BF"/>
                <w:sz w:val="19"/>
                <w:szCs w:val="19"/>
                <w:lang w:val="es-MX"/>
              </w:rPr>
              <w:t>100% de los programas del INEGI documentan sus mejoras a través del Sistema de Seguimiento de Cambios.</w:t>
            </w:r>
          </w:p>
          <w:p w14:paraId="263FA40A" w14:textId="77777777" w:rsidR="00365C0A" w:rsidRPr="009A501D" w:rsidRDefault="0039699B" w:rsidP="00ED498A">
            <w:pPr>
              <w:pStyle w:val="Default"/>
              <w:spacing w:before="240" w:after="160"/>
              <w:ind w:left="180" w:hanging="180"/>
              <w:jc w:val="both"/>
              <w:rPr>
                <w:rFonts w:ascii="Century Gothic" w:hAnsi="Century Gothic"/>
                <w:b/>
                <w:bCs/>
                <w:color w:val="404040" w:themeColor="text1" w:themeTint="BF"/>
                <w:sz w:val="19"/>
                <w:szCs w:val="19"/>
                <w:lang w:val="es-MX"/>
              </w:rPr>
            </w:pPr>
            <w:r w:rsidRPr="009A501D">
              <w:rPr>
                <w:rFonts w:ascii="Century Gothic" w:hAnsi="Century Gothic"/>
                <w:color w:val="404040" w:themeColor="text1" w:themeTint="BF"/>
                <w:sz w:val="19"/>
                <w:szCs w:val="19"/>
                <w:lang w:val="es-MX"/>
              </w:rPr>
              <w:t>•</w:t>
            </w:r>
            <w:r w:rsidRPr="009A501D">
              <w:rPr>
                <w:rFonts w:ascii="Century Gothic" w:hAnsi="Century Gothic"/>
                <w:color w:val="404040" w:themeColor="text1" w:themeTint="BF"/>
                <w:sz w:val="19"/>
                <w:szCs w:val="19"/>
                <w:lang w:val="es-MX"/>
              </w:rPr>
              <w:tab/>
              <w:t>Existen cursos de capacitación para el 100% de las iniciativas aprobadas por el Comité de Aseguramiento de Calidad.</w:t>
            </w:r>
          </w:p>
        </w:tc>
      </w:tr>
    </w:tbl>
    <w:p w14:paraId="4CA63A42" w14:textId="6A576594" w:rsidR="00777F2C" w:rsidRPr="009A501D" w:rsidRDefault="00777F2C">
      <w:pPr>
        <w:rPr>
          <w:rFonts w:ascii="Century Gothic" w:hAnsi="Century Gothic"/>
          <w:b/>
          <w:bCs/>
        </w:rPr>
      </w:pPr>
    </w:p>
    <w:p w14:paraId="1364A087" w14:textId="40B075DB" w:rsidR="00042159" w:rsidRPr="009A501D" w:rsidRDefault="00042159" w:rsidP="0048464C">
      <w:pPr>
        <w:spacing w:before="240"/>
        <w:rPr>
          <w:rFonts w:ascii="Century Gothic" w:hAnsi="Century Gothic"/>
          <w:b/>
          <w:bCs/>
        </w:rPr>
      </w:pPr>
      <w:r w:rsidRPr="009A501D">
        <w:rPr>
          <w:rFonts w:ascii="Century Gothic" w:hAnsi="Century Gothic"/>
          <w:b/>
          <w:bCs/>
        </w:rPr>
        <w:t>Avances</w:t>
      </w:r>
      <w:r w:rsidR="0078281A" w:rsidRPr="009A501D">
        <w:rPr>
          <w:rFonts w:ascii="Century Gothic" w:hAnsi="Century Gothic"/>
          <w:b/>
          <w:bCs/>
        </w:rPr>
        <w:t xml:space="preserve"> </w:t>
      </w:r>
    </w:p>
    <w:p w14:paraId="3A12FE9A" w14:textId="1B88EE00" w:rsidR="002507BC" w:rsidRPr="005045B4" w:rsidRDefault="002507BC" w:rsidP="0055092A">
      <w:pPr>
        <w:numPr>
          <w:ilvl w:val="1"/>
          <w:numId w:val="1"/>
        </w:numPr>
        <w:tabs>
          <w:tab w:val="num" w:pos="284"/>
        </w:tabs>
        <w:spacing w:after="0"/>
        <w:ind w:left="284" w:right="27" w:hanging="284"/>
        <w:jc w:val="both"/>
        <w:rPr>
          <w:rFonts w:ascii="Century Gothic" w:hAnsi="Century Gothic"/>
          <w:sz w:val="19"/>
          <w:szCs w:val="19"/>
        </w:rPr>
      </w:pPr>
      <w:r>
        <w:rPr>
          <w:rFonts w:ascii="Century Gothic" w:hAnsi="Century Gothic"/>
          <w:sz w:val="19"/>
          <w:szCs w:val="19"/>
        </w:rPr>
        <w:t xml:space="preserve">De acuerdo con los </w:t>
      </w:r>
      <w:r w:rsidRPr="002507BC">
        <w:rPr>
          <w:rFonts w:ascii="Century Gothic" w:hAnsi="Century Gothic"/>
          <w:i/>
          <w:iCs/>
          <w:sz w:val="19"/>
          <w:szCs w:val="19"/>
        </w:rPr>
        <w:t>Lineamientos del proceso de gestión de cambios</w:t>
      </w:r>
      <w:r>
        <w:rPr>
          <w:rFonts w:ascii="Century Gothic" w:hAnsi="Century Gothic"/>
          <w:sz w:val="19"/>
          <w:szCs w:val="19"/>
        </w:rPr>
        <w:t xml:space="preserve"> las Unidades Administrativas</w:t>
      </w:r>
      <w:r w:rsidR="00C80607">
        <w:rPr>
          <w:rFonts w:ascii="Century Gothic" w:hAnsi="Century Gothic"/>
          <w:sz w:val="19"/>
          <w:szCs w:val="19"/>
        </w:rPr>
        <w:t xml:space="preserve"> responsables de los procesos de producción reportan</w:t>
      </w:r>
      <w:r>
        <w:rPr>
          <w:rFonts w:ascii="Century Gothic" w:hAnsi="Century Gothic"/>
          <w:sz w:val="19"/>
          <w:szCs w:val="19"/>
        </w:rPr>
        <w:t xml:space="preserve"> en el Sistema de Seguimiento de Cambios </w:t>
      </w:r>
      <w:r w:rsidR="00C80607">
        <w:rPr>
          <w:rFonts w:ascii="Century Gothic" w:hAnsi="Century Gothic"/>
          <w:sz w:val="19"/>
          <w:szCs w:val="19"/>
        </w:rPr>
        <w:t>todas</w:t>
      </w:r>
      <w:r>
        <w:rPr>
          <w:rFonts w:ascii="Century Gothic" w:hAnsi="Century Gothic"/>
          <w:sz w:val="19"/>
          <w:szCs w:val="19"/>
        </w:rPr>
        <w:t xml:space="preserve"> las modificaciones a los diseños de los procesos de producción</w:t>
      </w:r>
      <w:r w:rsidR="00E3780D">
        <w:rPr>
          <w:rFonts w:ascii="Century Gothic" w:hAnsi="Century Gothic"/>
          <w:sz w:val="19"/>
          <w:szCs w:val="19"/>
        </w:rPr>
        <w:t xml:space="preserve">.  </w:t>
      </w:r>
      <w:r w:rsidR="00E3780D" w:rsidRPr="005045B4">
        <w:rPr>
          <w:rFonts w:ascii="Century Gothic" w:hAnsi="Century Gothic"/>
          <w:sz w:val="19"/>
          <w:szCs w:val="19"/>
        </w:rPr>
        <w:t xml:space="preserve">Entre 2021 y 2022 se reportaron cambios al diseño </w:t>
      </w:r>
      <w:r w:rsidR="004613DB">
        <w:rPr>
          <w:rFonts w:ascii="Century Gothic" w:hAnsi="Century Gothic"/>
          <w:sz w:val="19"/>
          <w:szCs w:val="19"/>
        </w:rPr>
        <w:t>correspondientes a</w:t>
      </w:r>
      <w:r w:rsidR="00E3780D" w:rsidRPr="005045B4">
        <w:rPr>
          <w:rFonts w:ascii="Century Gothic" w:hAnsi="Century Gothic"/>
          <w:sz w:val="19"/>
          <w:szCs w:val="19"/>
        </w:rPr>
        <w:t xml:space="preserve"> 43 procesos de producción.</w:t>
      </w:r>
    </w:p>
    <w:p w14:paraId="7CEE1E2B" w14:textId="653FA44C" w:rsidR="00DF70F6" w:rsidRDefault="00DF70F6" w:rsidP="00FF6ADE">
      <w:pPr>
        <w:numPr>
          <w:ilvl w:val="1"/>
          <w:numId w:val="1"/>
        </w:numPr>
        <w:tabs>
          <w:tab w:val="num" w:pos="284"/>
        </w:tabs>
        <w:spacing w:after="0"/>
        <w:ind w:left="284" w:right="27" w:hanging="284"/>
        <w:jc w:val="both"/>
        <w:rPr>
          <w:rFonts w:ascii="Century Gothic" w:hAnsi="Century Gothic"/>
          <w:sz w:val="19"/>
          <w:szCs w:val="19"/>
        </w:rPr>
      </w:pPr>
      <w:r>
        <w:rPr>
          <w:rFonts w:ascii="Century Gothic" w:hAnsi="Century Gothic"/>
          <w:sz w:val="19"/>
          <w:szCs w:val="19"/>
        </w:rPr>
        <w:t>Se tienen cursos para el 81% de guías e indicadores aprobados en el Comité, en 2023 se desarrollarán los cursos para la Guía de diseño de la muestra de encuestas y los Indicadores de precisión para encuestas.</w:t>
      </w:r>
    </w:p>
    <w:p w14:paraId="5F34759E" w14:textId="20F4789B" w:rsidR="006A66C2" w:rsidRPr="009A501D" w:rsidRDefault="00DF70F6" w:rsidP="00FF6ADE">
      <w:pPr>
        <w:numPr>
          <w:ilvl w:val="1"/>
          <w:numId w:val="1"/>
        </w:numPr>
        <w:tabs>
          <w:tab w:val="num" w:pos="284"/>
        </w:tabs>
        <w:spacing w:after="0"/>
        <w:ind w:left="284" w:right="27" w:hanging="284"/>
        <w:jc w:val="both"/>
        <w:rPr>
          <w:rFonts w:ascii="Century Gothic" w:hAnsi="Century Gothic"/>
          <w:sz w:val="19"/>
          <w:szCs w:val="19"/>
        </w:rPr>
      </w:pPr>
      <w:r>
        <w:rPr>
          <w:rFonts w:ascii="Century Gothic" w:hAnsi="Century Gothic"/>
          <w:sz w:val="19"/>
          <w:szCs w:val="19"/>
        </w:rPr>
        <w:t>En 2022, s</w:t>
      </w:r>
      <w:r w:rsidR="006A66C2" w:rsidRPr="009A501D">
        <w:rPr>
          <w:rFonts w:ascii="Century Gothic" w:hAnsi="Century Gothic"/>
          <w:sz w:val="19"/>
          <w:szCs w:val="19"/>
        </w:rPr>
        <w:t>e desarrollaron</w:t>
      </w:r>
      <w:r w:rsidR="006A66C2" w:rsidRPr="009A501D" w:rsidDel="000509DF">
        <w:rPr>
          <w:rFonts w:ascii="Century Gothic" w:hAnsi="Century Gothic"/>
          <w:sz w:val="19"/>
          <w:szCs w:val="19"/>
        </w:rPr>
        <w:t xml:space="preserve"> </w:t>
      </w:r>
      <w:r w:rsidR="006A66C2" w:rsidRPr="009A501D">
        <w:rPr>
          <w:rFonts w:ascii="Century Gothic" w:hAnsi="Century Gothic"/>
          <w:sz w:val="19"/>
          <w:szCs w:val="19"/>
        </w:rPr>
        <w:t xml:space="preserve">cursos de </w:t>
      </w:r>
      <w:r w:rsidR="000509DF" w:rsidRPr="009A501D">
        <w:rPr>
          <w:rFonts w:ascii="Century Gothic" w:hAnsi="Century Gothic"/>
          <w:sz w:val="19"/>
          <w:szCs w:val="19"/>
        </w:rPr>
        <w:t xml:space="preserve">capacitación </w:t>
      </w:r>
      <w:r w:rsidR="00104FB8" w:rsidRPr="009A501D">
        <w:rPr>
          <w:rFonts w:ascii="Century Gothic" w:hAnsi="Century Gothic"/>
          <w:sz w:val="19"/>
          <w:szCs w:val="19"/>
        </w:rPr>
        <w:t>sobre</w:t>
      </w:r>
      <w:r w:rsidR="000509DF" w:rsidRPr="009A501D">
        <w:rPr>
          <w:rFonts w:ascii="Century Gothic" w:hAnsi="Century Gothic"/>
          <w:sz w:val="19"/>
          <w:szCs w:val="19"/>
        </w:rPr>
        <w:t xml:space="preserve"> </w:t>
      </w:r>
      <w:r w:rsidR="006A66C2" w:rsidRPr="009A501D">
        <w:rPr>
          <w:rFonts w:ascii="Century Gothic" w:hAnsi="Century Gothic"/>
          <w:sz w:val="19"/>
          <w:szCs w:val="19"/>
        </w:rPr>
        <w:t>la Guía de Diseño Conceptual para Encuestas y de Indicadores de Precisión de Censos que se comenzarán a impartir en 2023 bajo la modalidad de autoestudio.</w:t>
      </w:r>
    </w:p>
    <w:p w14:paraId="3E44CDB6" w14:textId="466E1A19" w:rsidR="00546277" w:rsidRPr="009A501D" w:rsidRDefault="00FA38C2" w:rsidP="00FF6ADE">
      <w:pPr>
        <w:numPr>
          <w:ilvl w:val="1"/>
          <w:numId w:val="1"/>
        </w:numPr>
        <w:tabs>
          <w:tab w:val="num" w:pos="284"/>
        </w:tabs>
        <w:spacing w:after="0"/>
        <w:ind w:left="284" w:right="27" w:hanging="284"/>
        <w:jc w:val="both"/>
        <w:rPr>
          <w:rFonts w:ascii="Century Gothic" w:hAnsi="Century Gothic"/>
          <w:sz w:val="19"/>
          <w:szCs w:val="19"/>
        </w:rPr>
      </w:pPr>
      <w:r w:rsidRPr="009A501D">
        <w:rPr>
          <w:rFonts w:ascii="Century Gothic" w:hAnsi="Century Gothic"/>
          <w:sz w:val="19"/>
          <w:szCs w:val="19"/>
        </w:rPr>
        <w:t xml:space="preserve">Se </w:t>
      </w:r>
      <w:r w:rsidR="00AB7343" w:rsidRPr="009A501D">
        <w:rPr>
          <w:rFonts w:ascii="Century Gothic" w:hAnsi="Century Gothic"/>
          <w:sz w:val="19"/>
          <w:szCs w:val="19"/>
        </w:rPr>
        <w:t xml:space="preserve">continuó </w:t>
      </w:r>
      <w:r w:rsidR="000600DC" w:rsidRPr="009A501D">
        <w:rPr>
          <w:rFonts w:ascii="Century Gothic" w:hAnsi="Century Gothic"/>
          <w:sz w:val="19"/>
          <w:szCs w:val="19"/>
        </w:rPr>
        <w:t xml:space="preserve">con </w:t>
      </w:r>
      <w:r w:rsidR="00AB7343" w:rsidRPr="009A501D">
        <w:rPr>
          <w:rFonts w:ascii="Century Gothic" w:hAnsi="Century Gothic"/>
          <w:sz w:val="19"/>
          <w:szCs w:val="19"/>
        </w:rPr>
        <w:t xml:space="preserve">la impartición de </w:t>
      </w:r>
      <w:r w:rsidR="00526344" w:rsidRPr="009A501D">
        <w:rPr>
          <w:rFonts w:ascii="Century Gothic" w:hAnsi="Century Gothic"/>
          <w:sz w:val="19"/>
          <w:szCs w:val="19"/>
        </w:rPr>
        <w:t>ocho</w:t>
      </w:r>
      <w:r w:rsidR="00AB7343" w:rsidRPr="009A501D">
        <w:rPr>
          <w:rFonts w:ascii="Century Gothic" w:hAnsi="Century Gothic"/>
          <w:sz w:val="19"/>
          <w:szCs w:val="19"/>
        </w:rPr>
        <w:t xml:space="preserve"> cursos relacionados con las iniciativas </w:t>
      </w:r>
      <w:r w:rsidR="005823E5" w:rsidRPr="009A501D">
        <w:rPr>
          <w:rFonts w:ascii="Century Gothic" w:hAnsi="Century Gothic"/>
          <w:sz w:val="19"/>
          <w:szCs w:val="19"/>
        </w:rPr>
        <w:t>de calidad</w:t>
      </w:r>
      <w:r w:rsidR="009F6829" w:rsidRPr="009A501D">
        <w:rPr>
          <w:rFonts w:ascii="Century Gothic" w:hAnsi="Century Gothic"/>
          <w:sz w:val="19"/>
          <w:szCs w:val="19"/>
        </w:rPr>
        <w:t xml:space="preserve"> (</w:t>
      </w:r>
      <w:r w:rsidR="00C277D9" w:rsidRPr="009A501D">
        <w:rPr>
          <w:rFonts w:ascii="Century Gothic" w:hAnsi="Century Gothic"/>
          <w:sz w:val="19"/>
          <w:szCs w:val="19"/>
        </w:rPr>
        <w:t xml:space="preserve">ver </w:t>
      </w:r>
      <w:r w:rsidR="00F776D4" w:rsidRPr="009A501D">
        <w:rPr>
          <w:rFonts w:ascii="Century Gothic" w:hAnsi="Century Gothic"/>
          <w:sz w:val="19"/>
          <w:szCs w:val="19"/>
        </w:rPr>
        <w:t>cuadro</w:t>
      </w:r>
      <w:r w:rsidR="009F6829" w:rsidRPr="009A501D">
        <w:rPr>
          <w:rFonts w:ascii="Century Gothic" w:hAnsi="Century Gothic"/>
          <w:sz w:val="19"/>
          <w:szCs w:val="19"/>
        </w:rPr>
        <w:t xml:space="preserve"> II.</w:t>
      </w:r>
      <w:r w:rsidR="005D64F4" w:rsidRPr="009A501D">
        <w:rPr>
          <w:rFonts w:ascii="Century Gothic" w:hAnsi="Century Gothic"/>
          <w:sz w:val="19"/>
          <w:szCs w:val="19"/>
        </w:rPr>
        <w:t>4.</w:t>
      </w:r>
      <w:r w:rsidR="00FD2FF3" w:rsidRPr="009A501D">
        <w:rPr>
          <w:rFonts w:ascii="Century Gothic" w:hAnsi="Century Gothic"/>
          <w:sz w:val="19"/>
          <w:szCs w:val="19"/>
        </w:rPr>
        <w:t>)</w:t>
      </w:r>
      <w:r w:rsidR="00AB7343" w:rsidRPr="009A501D">
        <w:rPr>
          <w:rFonts w:ascii="Century Gothic" w:hAnsi="Century Gothic"/>
          <w:sz w:val="19"/>
          <w:szCs w:val="19"/>
        </w:rPr>
        <w:t>.</w:t>
      </w:r>
    </w:p>
    <w:p w14:paraId="1063792E" w14:textId="2709CBD1" w:rsidR="00AB7343" w:rsidRPr="009A501D" w:rsidRDefault="00AB7343" w:rsidP="0003352B">
      <w:pPr>
        <w:spacing w:before="240"/>
        <w:jc w:val="center"/>
        <w:rPr>
          <w:rFonts w:ascii="Century Gothic" w:hAnsi="Century Gothic"/>
          <w:sz w:val="19"/>
          <w:szCs w:val="19"/>
        </w:rPr>
      </w:pPr>
      <w:r w:rsidRPr="009A501D">
        <w:rPr>
          <w:rFonts w:ascii="Century Gothic" w:hAnsi="Century Gothic"/>
          <w:b/>
          <w:sz w:val="19"/>
          <w:szCs w:val="19"/>
        </w:rPr>
        <w:t>II.</w:t>
      </w:r>
      <w:r w:rsidR="005D64F4" w:rsidRPr="009A501D">
        <w:rPr>
          <w:rFonts w:ascii="Century Gothic" w:hAnsi="Century Gothic"/>
          <w:b/>
          <w:sz w:val="19"/>
          <w:szCs w:val="19"/>
        </w:rPr>
        <w:t>4</w:t>
      </w:r>
      <w:r w:rsidR="009B3A86" w:rsidRPr="009A501D">
        <w:rPr>
          <w:rFonts w:ascii="Century Gothic" w:hAnsi="Century Gothic"/>
          <w:b/>
          <w:sz w:val="19"/>
          <w:szCs w:val="19"/>
        </w:rPr>
        <w:t>.</w:t>
      </w:r>
      <w:r w:rsidR="000F019A" w:rsidRPr="009A501D">
        <w:rPr>
          <w:rFonts w:ascii="Century Gothic" w:hAnsi="Century Gothic"/>
          <w:b/>
          <w:sz w:val="19"/>
          <w:szCs w:val="19"/>
        </w:rPr>
        <w:t xml:space="preserve"> </w:t>
      </w:r>
      <w:r w:rsidRPr="009A501D">
        <w:rPr>
          <w:rFonts w:ascii="Century Gothic" w:hAnsi="Century Gothic"/>
          <w:b/>
          <w:sz w:val="19"/>
          <w:szCs w:val="19"/>
        </w:rPr>
        <w:t>Cursos de capacitación</w:t>
      </w:r>
    </w:p>
    <w:tbl>
      <w:tblPr>
        <w:tblStyle w:val="Tablaconcuadrcula4-nfasis3"/>
        <w:tblW w:w="0" w:type="auto"/>
        <w:jc w:val="center"/>
        <w:tblLayout w:type="fixed"/>
        <w:tblLook w:val="04A0" w:firstRow="1" w:lastRow="0" w:firstColumn="1" w:lastColumn="0" w:noHBand="0" w:noVBand="1"/>
      </w:tblPr>
      <w:tblGrid>
        <w:gridCol w:w="4248"/>
        <w:gridCol w:w="1378"/>
        <w:gridCol w:w="1476"/>
        <w:gridCol w:w="1260"/>
      </w:tblGrid>
      <w:tr w:rsidR="00E50026" w:rsidRPr="009A501D" w14:paraId="7C9C70FF" w14:textId="77777777" w:rsidTr="00777F2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002060"/>
            <w:vAlign w:val="center"/>
          </w:tcPr>
          <w:p w14:paraId="532C83E5" w14:textId="2F0A697F" w:rsidR="00CE7E63" w:rsidRPr="009A501D" w:rsidRDefault="00777F2C" w:rsidP="0003352B">
            <w:pPr>
              <w:pStyle w:val="Prrafodelista"/>
              <w:ind w:hanging="720"/>
              <w:jc w:val="center"/>
              <w:rPr>
                <w:rFonts w:ascii="Century Gothic" w:hAnsi="Century Gothic"/>
                <w:sz w:val="16"/>
                <w:szCs w:val="16"/>
              </w:rPr>
            </w:pPr>
            <w:bookmarkStart w:id="6" w:name="_Hlk93909555"/>
            <w:r w:rsidRPr="009A501D">
              <w:rPr>
                <w:rFonts w:ascii="Century Gothic" w:hAnsi="Century Gothic" w:cs="Calibri"/>
                <w:color w:val="FFFFFF" w:themeColor="light1"/>
                <w:kern w:val="24"/>
                <w:sz w:val="16"/>
                <w:szCs w:val="16"/>
              </w:rPr>
              <w:t>Curso</w:t>
            </w:r>
          </w:p>
        </w:tc>
        <w:tc>
          <w:tcPr>
            <w:tcW w:w="1378" w:type="dxa"/>
            <w:shd w:val="clear" w:color="auto" w:fill="002060"/>
            <w:vAlign w:val="center"/>
          </w:tcPr>
          <w:p w14:paraId="6DCCCC25" w14:textId="233B2065" w:rsidR="00CE7E63" w:rsidRPr="009A501D" w:rsidRDefault="00777F2C" w:rsidP="000335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cs="Calibri"/>
                <w:color w:val="FFFFFF" w:themeColor="light1"/>
                <w:kern w:val="24"/>
                <w:sz w:val="16"/>
                <w:szCs w:val="16"/>
              </w:rPr>
              <w:t xml:space="preserve">Personas </w:t>
            </w:r>
            <w:r w:rsidRPr="009A501D">
              <w:rPr>
                <w:rFonts w:ascii="Century Gothic" w:hAnsi="Century Gothic" w:cs="Calibri"/>
                <w:color w:val="FFFFFF" w:themeColor="light1"/>
                <w:kern w:val="24"/>
                <w:sz w:val="16"/>
                <w:szCs w:val="16"/>
              </w:rPr>
              <w:br/>
              <w:t>capacitadas en 2022</w:t>
            </w:r>
          </w:p>
        </w:tc>
        <w:tc>
          <w:tcPr>
            <w:tcW w:w="1476" w:type="dxa"/>
            <w:shd w:val="clear" w:color="auto" w:fill="002060"/>
            <w:vAlign w:val="center"/>
          </w:tcPr>
          <w:p w14:paraId="64C08D1E" w14:textId="662653EC" w:rsidR="00CE7E63" w:rsidRPr="009A501D" w:rsidRDefault="00777F2C" w:rsidP="000335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color w:val="FFFFFF" w:themeColor="light1"/>
                <w:kern w:val="24"/>
                <w:sz w:val="16"/>
                <w:szCs w:val="16"/>
              </w:rPr>
            </w:pPr>
            <w:r w:rsidRPr="009A501D">
              <w:rPr>
                <w:rFonts w:ascii="Century Gothic" w:hAnsi="Century Gothic" w:cs="Calibri"/>
                <w:color w:val="FFFFFF" w:themeColor="light1"/>
                <w:kern w:val="24"/>
                <w:sz w:val="16"/>
                <w:szCs w:val="16"/>
              </w:rPr>
              <w:t>Personas capacitadas</w:t>
            </w:r>
            <w:r w:rsidR="008E04D3" w:rsidRPr="009A501D">
              <w:rPr>
                <w:rFonts w:ascii="Century Gothic" w:hAnsi="Century Gothic" w:cs="Calibri"/>
                <w:color w:val="FFFFFF" w:themeColor="light1"/>
                <w:kern w:val="24"/>
                <w:sz w:val="16"/>
                <w:szCs w:val="16"/>
              </w:rPr>
              <w:t xml:space="preserve"> (acumulado)</w:t>
            </w:r>
          </w:p>
        </w:tc>
        <w:tc>
          <w:tcPr>
            <w:tcW w:w="1260" w:type="dxa"/>
            <w:shd w:val="clear" w:color="auto" w:fill="002060"/>
            <w:vAlign w:val="center"/>
          </w:tcPr>
          <w:p w14:paraId="49F2A478" w14:textId="087E5D2D" w:rsidR="00CE7E63" w:rsidRPr="009A501D" w:rsidRDefault="00777F2C" w:rsidP="000335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color w:val="FFFFFF" w:themeColor="light1"/>
                <w:kern w:val="24"/>
                <w:sz w:val="16"/>
                <w:szCs w:val="16"/>
              </w:rPr>
            </w:pPr>
            <w:r w:rsidRPr="009A501D">
              <w:rPr>
                <w:rFonts w:ascii="Century Gothic" w:hAnsi="Century Gothic" w:cs="Calibri"/>
                <w:color w:val="FFFFFF" w:themeColor="light1"/>
                <w:kern w:val="24"/>
                <w:sz w:val="16"/>
                <w:szCs w:val="16"/>
              </w:rPr>
              <w:t>% población objetivo</w:t>
            </w:r>
          </w:p>
        </w:tc>
      </w:tr>
      <w:tr w:rsidR="00BC416F" w:rsidRPr="009A501D" w14:paraId="03B38A44" w14:textId="77777777" w:rsidTr="00777F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vAlign w:val="center"/>
          </w:tcPr>
          <w:p w14:paraId="18A7EBF0" w14:textId="08D38B80"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Indicadores de precisión para registros administrativos</w:t>
            </w:r>
          </w:p>
        </w:tc>
        <w:tc>
          <w:tcPr>
            <w:tcW w:w="1378" w:type="dxa"/>
            <w:shd w:val="clear" w:color="auto" w:fill="auto"/>
            <w:vAlign w:val="center"/>
          </w:tcPr>
          <w:p w14:paraId="7D130F0E" w14:textId="369B66E5"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335</w:t>
            </w:r>
          </w:p>
        </w:tc>
        <w:tc>
          <w:tcPr>
            <w:tcW w:w="1476" w:type="dxa"/>
            <w:shd w:val="clear" w:color="auto" w:fill="auto"/>
            <w:vAlign w:val="center"/>
          </w:tcPr>
          <w:p w14:paraId="5F35871E" w14:textId="02C73E48"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826</w:t>
            </w:r>
          </w:p>
        </w:tc>
        <w:tc>
          <w:tcPr>
            <w:tcW w:w="1260" w:type="dxa"/>
            <w:shd w:val="clear" w:color="auto" w:fill="auto"/>
            <w:vAlign w:val="center"/>
          </w:tcPr>
          <w:p w14:paraId="238D6DA1" w14:textId="0604F5CE"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73</w:t>
            </w:r>
          </w:p>
        </w:tc>
      </w:tr>
      <w:tr w:rsidR="00E50026" w:rsidRPr="009A501D" w14:paraId="698F6A17" w14:textId="77777777" w:rsidTr="00777F2C">
        <w:trPr>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F2F2F2" w:themeFill="background1" w:themeFillShade="F2"/>
            <w:vAlign w:val="center"/>
          </w:tcPr>
          <w:p w14:paraId="19CBFED7" w14:textId="51159DF4"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 xml:space="preserve">Aplicación de los indicadores de precisión para registros administrativos </w:t>
            </w:r>
          </w:p>
        </w:tc>
        <w:tc>
          <w:tcPr>
            <w:tcW w:w="1378" w:type="dxa"/>
            <w:shd w:val="clear" w:color="auto" w:fill="F2F2F2" w:themeFill="background1" w:themeFillShade="F2"/>
            <w:vAlign w:val="center"/>
          </w:tcPr>
          <w:p w14:paraId="41FC310F" w14:textId="4559726E"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246</w:t>
            </w:r>
          </w:p>
        </w:tc>
        <w:tc>
          <w:tcPr>
            <w:tcW w:w="1476" w:type="dxa"/>
            <w:shd w:val="clear" w:color="auto" w:fill="F2F2F2" w:themeFill="background1" w:themeFillShade="F2"/>
            <w:vAlign w:val="center"/>
          </w:tcPr>
          <w:p w14:paraId="02F2D3B6" w14:textId="1387C92B"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406</w:t>
            </w:r>
          </w:p>
        </w:tc>
        <w:tc>
          <w:tcPr>
            <w:tcW w:w="1260" w:type="dxa"/>
            <w:shd w:val="clear" w:color="auto" w:fill="F2F2F2" w:themeFill="background1" w:themeFillShade="F2"/>
            <w:vAlign w:val="center"/>
          </w:tcPr>
          <w:p w14:paraId="38B096A1" w14:textId="633EE8AD"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64</w:t>
            </w:r>
          </w:p>
        </w:tc>
      </w:tr>
      <w:tr w:rsidR="00BC416F" w:rsidRPr="009A501D" w14:paraId="47A0A8D4" w14:textId="77777777" w:rsidTr="00777F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vAlign w:val="center"/>
          </w:tcPr>
          <w:p w14:paraId="3DE5EFC3" w14:textId="4B690945"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 xml:space="preserve">Herramienta para la Evaluación de la Calidad de los Registros Administrativos </w:t>
            </w:r>
            <w:r w:rsidR="00CD07FB" w:rsidRPr="009A501D">
              <w:rPr>
                <w:rFonts w:ascii="Century Gothic" w:hAnsi="Century Gothic" w:cs="Calibri"/>
                <w:b w:val="0"/>
                <w:color w:val="000000" w:themeColor="dark1"/>
                <w:kern w:val="24"/>
                <w:sz w:val="16"/>
                <w:szCs w:val="16"/>
              </w:rPr>
              <w:t>(HECRA)</w:t>
            </w:r>
          </w:p>
        </w:tc>
        <w:tc>
          <w:tcPr>
            <w:tcW w:w="1378" w:type="dxa"/>
            <w:shd w:val="clear" w:color="auto" w:fill="auto"/>
            <w:vAlign w:val="center"/>
          </w:tcPr>
          <w:p w14:paraId="392BEBE6" w14:textId="04FC8931"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336</w:t>
            </w:r>
          </w:p>
        </w:tc>
        <w:tc>
          <w:tcPr>
            <w:tcW w:w="1476" w:type="dxa"/>
            <w:shd w:val="clear" w:color="auto" w:fill="auto"/>
            <w:vAlign w:val="center"/>
          </w:tcPr>
          <w:p w14:paraId="6505AB26" w14:textId="0242C10D"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dark1"/>
                <w:kern w:val="24"/>
                <w:sz w:val="16"/>
                <w:szCs w:val="16"/>
              </w:rPr>
            </w:pPr>
            <w:r w:rsidRPr="009A501D">
              <w:rPr>
                <w:rFonts w:ascii="Century Gothic" w:hAnsi="Century Gothic" w:cs="Calibri"/>
                <w:color w:val="000000" w:themeColor="dark1"/>
                <w:kern w:val="24"/>
                <w:sz w:val="16"/>
                <w:szCs w:val="16"/>
              </w:rPr>
              <w:t>955</w:t>
            </w:r>
          </w:p>
        </w:tc>
        <w:tc>
          <w:tcPr>
            <w:tcW w:w="1260" w:type="dxa"/>
            <w:shd w:val="clear" w:color="auto" w:fill="auto"/>
            <w:vAlign w:val="center"/>
          </w:tcPr>
          <w:p w14:paraId="2583AD6B" w14:textId="6DF83C69"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dark1"/>
                <w:kern w:val="24"/>
                <w:sz w:val="16"/>
                <w:szCs w:val="16"/>
              </w:rPr>
            </w:pPr>
            <w:r w:rsidRPr="009A501D">
              <w:rPr>
                <w:rFonts w:ascii="Century Gothic" w:hAnsi="Century Gothic" w:cs="Calibri"/>
                <w:color w:val="000000" w:themeColor="dark1"/>
                <w:kern w:val="24"/>
                <w:sz w:val="16"/>
                <w:szCs w:val="16"/>
              </w:rPr>
              <w:t>ND</w:t>
            </w:r>
          </w:p>
        </w:tc>
      </w:tr>
      <w:tr w:rsidR="00E50026" w:rsidRPr="009A501D" w14:paraId="2C53F1F7" w14:textId="77777777" w:rsidTr="00777F2C">
        <w:trPr>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F2F2F2" w:themeFill="background1" w:themeFillShade="F2"/>
            <w:vAlign w:val="center"/>
          </w:tcPr>
          <w:p w14:paraId="7979A760" w14:textId="26E09128"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Nuestra información. Nuestra calidad</w:t>
            </w:r>
          </w:p>
        </w:tc>
        <w:tc>
          <w:tcPr>
            <w:tcW w:w="1378" w:type="dxa"/>
            <w:shd w:val="clear" w:color="auto" w:fill="F2F2F2" w:themeFill="background1" w:themeFillShade="F2"/>
            <w:vAlign w:val="center"/>
          </w:tcPr>
          <w:p w14:paraId="4B171053" w14:textId="102D6B13"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3 688</w:t>
            </w:r>
          </w:p>
        </w:tc>
        <w:tc>
          <w:tcPr>
            <w:tcW w:w="1476" w:type="dxa"/>
            <w:shd w:val="clear" w:color="auto" w:fill="F2F2F2" w:themeFill="background1" w:themeFillShade="F2"/>
            <w:vAlign w:val="center"/>
          </w:tcPr>
          <w:p w14:paraId="4EDA2322" w14:textId="39716C94"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8 489</w:t>
            </w:r>
          </w:p>
        </w:tc>
        <w:tc>
          <w:tcPr>
            <w:tcW w:w="1260" w:type="dxa"/>
            <w:shd w:val="clear" w:color="auto" w:fill="F2F2F2" w:themeFill="background1" w:themeFillShade="F2"/>
            <w:vAlign w:val="center"/>
          </w:tcPr>
          <w:p w14:paraId="2182A72B" w14:textId="11D29F4C"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71</w:t>
            </w:r>
          </w:p>
        </w:tc>
      </w:tr>
      <w:tr w:rsidR="00BC416F" w:rsidRPr="009A501D" w14:paraId="125219DD" w14:textId="77777777" w:rsidTr="00777F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vAlign w:val="center"/>
          </w:tcPr>
          <w:p w14:paraId="2B76664D" w14:textId="53001FBD"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Introducción a la norma del MPEG</w:t>
            </w:r>
          </w:p>
        </w:tc>
        <w:tc>
          <w:tcPr>
            <w:tcW w:w="1378" w:type="dxa"/>
            <w:shd w:val="clear" w:color="auto" w:fill="auto"/>
            <w:vAlign w:val="center"/>
          </w:tcPr>
          <w:p w14:paraId="783F5C14" w14:textId="46CE75CB"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915</w:t>
            </w:r>
          </w:p>
        </w:tc>
        <w:tc>
          <w:tcPr>
            <w:tcW w:w="1476" w:type="dxa"/>
            <w:shd w:val="clear" w:color="auto" w:fill="auto"/>
            <w:vAlign w:val="center"/>
          </w:tcPr>
          <w:p w14:paraId="31BC6FBD" w14:textId="7989C84E"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12 796</w:t>
            </w:r>
          </w:p>
        </w:tc>
        <w:tc>
          <w:tcPr>
            <w:tcW w:w="1260" w:type="dxa"/>
            <w:shd w:val="clear" w:color="auto" w:fill="auto"/>
            <w:vAlign w:val="center"/>
          </w:tcPr>
          <w:p w14:paraId="251784E5" w14:textId="5835F030"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83</w:t>
            </w:r>
          </w:p>
        </w:tc>
      </w:tr>
      <w:tr w:rsidR="00E50026" w:rsidRPr="009A501D" w14:paraId="3E0F66BD" w14:textId="77777777" w:rsidTr="00777F2C">
        <w:trPr>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F2F2F2" w:themeFill="background1" w:themeFillShade="F2"/>
            <w:vAlign w:val="center"/>
          </w:tcPr>
          <w:p w14:paraId="72B6F080" w14:textId="5A836110" w:rsidR="00BC416F" w:rsidRPr="009A501D" w:rsidRDefault="00BC416F" w:rsidP="0003352B">
            <w:pPr>
              <w:rPr>
                <w:rFonts w:ascii="Century Gothic" w:hAnsi="Century Gothic"/>
                <w:b w:val="0"/>
                <w:sz w:val="16"/>
                <w:szCs w:val="16"/>
              </w:rPr>
            </w:pPr>
            <w:r w:rsidRPr="009A501D">
              <w:rPr>
                <w:rFonts w:ascii="Century Gothic" w:hAnsi="Century Gothic" w:cs="Calibri"/>
                <w:b w:val="0"/>
                <w:color w:val="000000" w:themeColor="dark1"/>
                <w:kern w:val="24"/>
                <w:sz w:val="16"/>
                <w:szCs w:val="16"/>
              </w:rPr>
              <w:t>Rally de la ruta 8</w:t>
            </w:r>
          </w:p>
        </w:tc>
        <w:tc>
          <w:tcPr>
            <w:tcW w:w="1378" w:type="dxa"/>
            <w:shd w:val="clear" w:color="auto" w:fill="F2F2F2" w:themeFill="background1" w:themeFillShade="F2"/>
            <w:vAlign w:val="center"/>
          </w:tcPr>
          <w:p w14:paraId="6F3547B2" w14:textId="7D2F8C88"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926</w:t>
            </w:r>
          </w:p>
        </w:tc>
        <w:tc>
          <w:tcPr>
            <w:tcW w:w="1476" w:type="dxa"/>
            <w:shd w:val="clear" w:color="auto" w:fill="F2F2F2" w:themeFill="background1" w:themeFillShade="F2"/>
            <w:vAlign w:val="center"/>
          </w:tcPr>
          <w:p w14:paraId="6A0C78C3" w14:textId="242F48ED"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11 679</w:t>
            </w:r>
          </w:p>
        </w:tc>
        <w:tc>
          <w:tcPr>
            <w:tcW w:w="1260" w:type="dxa"/>
            <w:shd w:val="clear" w:color="auto" w:fill="F2F2F2" w:themeFill="background1" w:themeFillShade="F2"/>
            <w:vAlign w:val="center"/>
          </w:tcPr>
          <w:p w14:paraId="7B81CFD7" w14:textId="768E1B36"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79</w:t>
            </w:r>
          </w:p>
        </w:tc>
      </w:tr>
      <w:tr w:rsidR="00BC416F" w:rsidRPr="009A501D" w14:paraId="4C92E25E" w14:textId="77777777" w:rsidTr="00777F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vAlign w:val="center"/>
          </w:tcPr>
          <w:p w14:paraId="6FE52F68" w14:textId="69C4246C" w:rsidR="00BC416F" w:rsidRPr="009A501D" w:rsidRDefault="00EA5C0F" w:rsidP="0003352B">
            <w:pPr>
              <w:rPr>
                <w:rFonts w:ascii="Century Gothic" w:hAnsi="Century Gothic"/>
                <w:b w:val="0"/>
                <w:sz w:val="16"/>
                <w:szCs w:val="16"/>
              </w:rPr>
            </w:pPr>
            <w:r w:rsidRPr="009A501D">
              <w:rPr>
                <w:rFonts w:ascii="Century Gothic" w:hAnsi="Century Gothic" w:cs="Calibri"/>
                <w:b w:val="0"/>
                <w:bCs w:val="0"/>
                <w:color w:val="000000" w:themeColor="dark1"/>
                <w:kern w:val="24"/>
                <w:sz w:val="16"/>
                <w:szCs w:val="16"/>
              </w:rPr>
              <w:t>PTRACKING</w:t>
            </w:r>
          </w:p>
        </w:tc>
        <w:tc>
          <w:tcPr>
            <w:tcW w:w="1378" w:type="dxa"/>
            <w:shd w:val="clear" w:color="auto" w:fill="auto"/>
            <w:vAlign w:val="center"/>
          </w:tcPr>
          <w:p w14:paraId="4658A550" w14:textId="69E95588"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0</w:t>
            </w:r>
          </w:p>
        </w:tc>
        <w:tc>
          <w:tcPr>
            <w:tcW w:w="1476" w:type="dxa"/>
            <w:shd w:val="clear" w:color="auto" w:fill="auto"/>
            <w:vAlign w:val="center"/>
          </w:tcPr>
          <w:p w14:paraId="51CAC3B4" w14:textId="4BF1B409"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347</w:t>
            </w:r>
          </w:p>
        </w:tc>
        <w:tc>
          <w:tcPr>
            <w:tcW w:w="1260" w:type="dxa"/>
            <w:shd w:val="clear" w:color="auto" w:fill="auto"/>
            <w:vAlign w:val="center"/>
          </w:tcPr>
          <w:p w14:paraId="6AC2C1D4" w14:textId="3F6F07BA" w:rsidR="00BC416F" w:rsidRPr="009A501D" w:rsidRDefault="00BC416F"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A501D">
              <w:rPr>
                <w:rFonts w:ascii="Century Gothic" w:hAnsi="Century Gothic"/>
                <w:sz w:val="16"/>
                <w:szCs w:val="16"/>
              </w:rPr>
              <w:t>90</w:t>
            </w:r>
          </w:p>
        </w:tc>
      </w:tr>
      <w:tr w:rsidR="00E50026" w:rsidRPr="009A501D" w14:paraId="2A5508AA" w14:textId="77777777" w:rsidTr="00777F2C">
        <w:trPr>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F2F2F2" w:themeFill="background1" w:themeFillShade="F2"/>
            <w:vAlign w:val="center"/>
          </w:tcPr>
          <w:p w14:paraId="3A030FC2" w14:textId="4FE308DA" w:rsidR="00BC416F" w:rsidRPr="009A501D" w:rsidRDefault="00BC416F" w:rsidP="0003352B">
            <w:pPr>
              <w:rPr>
                <w:rFonts w:ascii="Century Gothic" w:hAnsi="Century Gothic" w:cs="Calibri"/>
                <w:b w:val="0"/>
                <w:color w:val="000000" w:themeColor="dark1"/>
                <w:kern w:val="24"/>
                <w:sz w:val="16"/>
                <w:szCs w:val="16"/>
              </w:rPr>
            </w:pPr>
            <w:r w:rsidRPr="009A501D">
              <w:rPr>
                <w:rFonts w:ascii="Century Gothic" w:hAnsi="Century Gothic" w:cs="Calibri"/>
                <w:b w:val="0"/>
                <w:color w:val="000000" w:themeColor="dark1"/>
                <w:kern w:val="24"/>
                <w:sz w:val="16"/>
                <w:szCs w:val="16"/>
              </w:rPr>
              <w:t>Taller de verificación MPEG</w:t>
            </w:r>
          </w:p>
        </w:tc>
        <w:tc>
          <w:tcPr>
            <w:tcW w:w="1378" w:type="dxa"/>
            <w:shd w:val="clear" w:color="auto" w:fill="F2F2F2" w:themeFill="background1" w:themeFillShade="F2"/>
            <w:vAlign w:val="center"/>
          </w:tcPr>
          <w:p w14:paraId="228056A0" w14:textId="3EF5EAFF"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dark1"/>
                <w:kern w:val="24"/>
                <w:sz w:val="16"/>
                <w:szCs w:val="16"/>
              </w:rPr>
            </w:pPr>
            <w:r w:rsidRPr="009A501D">
              <w:rPr>
                <w:rFonts w:ascii="Century Gothic" w:hAnsi="Century Gothic" w:cs="Calibri"/>
                <w:color w:val="000000" w:themeColor="dark1"/>
                <w:kern w:val="24"/>
                <w:sz w:val="16"/>
                <w:szCs w:val="16"/>
              </w:rPr>
              <w:t>0</w:t>
            </w:r>
          </w:p>
        </w:tc>
        <w:tc>
          <w:tcPr>
            <w:tcW w:w="1476" w:type="dxa"/>
            <w:shd w:val="clear" w:color="auto" w:fill="F2F2F2" w:themeFill="background1" w:themeFillShade="F2"/>
            <w:vAlign w:val="center"/>
          </w:tcPr>
          <w:p w14:paraId="3088071A" w14:textId="0B1FBCB4"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dark1"/>
                <w:kern w:val="24"/>
                <w:sz w:val="16"/>
                <w:szCs w:val="16"/>
              </w:rPr>
            </w:pPr>
            <w:r w:rsidRPr="009A501D">
              <w:rPr>
                <w:rFonts w:ascii="Century Gothic" w:hAnsi="Century Gothic" w:cs="Calibri"/>
                <w:color w:val="000000" w:themeColor="dark1"/>
                <w:kern w:val="24"/>
                <w:sz w:val="16"/>
                <w:szCs w:val="16"/>
              </w:rPr>
              <w:t>352</w:t>
            </w:r>
          </w:p>
        </w:tc>
        <w:tc>
          <w:tcPr>
            <w:tcW w:w="1260" w:type="dxa"/>
            <w:shd w:val="clear" w:color="auto" w:fill="F2F2F2" w:themeFill="background1" w:themeFillShade="F2"/>
            <w:vAlign w:val="center"/>
          </w:tcPr>
          <w:p w14:paraId="6D853527" w14:textId="142A5EC4" w:rsidR="00BC416F" w:rsidRPr="009A501D" w:rsidRDefault="00BC416F" w:rsidP="000335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dark1"/>
                <w:kern w:val="24"/>
                <w:sz w:val="16"/>
                <w:szCs w:val="16"/>
              </w:rPr>
            </w:pPr>
            <w:r w:rsidRPr="009A501D">
              <w:rPr>
                <w:rFonts w:ascii="Century Gothic" w:hAnsi="Century Gothic" w:cs="Calibri"/>
                <w:color w:val="000000" w:themeColor="dark1"/>
                <w:kern w:val="24"/>
                <w:sz w:val="16"/>
                <w:szCs w:val="16"/>
              </w:rPr>
              <w:t>92</w:t>
            </w:r>
          </w:p>
        </w:tc>
      </w:tr>
      <w:tr w:rsidR="00EF6848" w:rsidRPr="009A501D" w14:paraId="453D960F" w14:textId="77777777" w:rsidTr="00777F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F2F2F2" w:themeFill="background1" w:themeFillShade="F2"/>
            <w:vAlign w:val="center"/>
          </w:tcPr>
          <w:p w14:paraId="71AA209B" w14:textId="23033305" w:rsidR="00EF6848" w:rsidRPr="00EF6848" w:rsidRDefault="00EF6848" w:rsidP="0003352B">
            <w:pPr>
              <w:rPr>
                <w:rFonts w:ascii="Century Gothic" w:hAnsi="Century Gothic" w:cs="Calibri"/>
                <w:b w:val="0"/>
                <w:bCs w:val="0"/>
                <w:color w:val="000000" w:themeColor="dark1"/>
                <w:kern w:val="24"/>
                <w:sz w:val="16"/>
                <w:szCs w:val="16"/>
              </w:rPr>
            </w:pPr>
            <w:r w:rsidRPr="00EF6848">
              <w:rPr>
                <w:rFonts w:ascii="Century Gothic" w:hAnsi="Century Gothic" w:cs="Calibri"/>
                <w:b w:val="0"/>
                <w:bCs w:val="0"/>
                <w:color w:val="000000" w:themeColor="dark1"/>
                <w:kern w:val="24"/>
                <w:sz w:val="16"/>
                <w:szCs w:val="16"/>
              </w:rPr>
              <w:t>Lineamientos de Coordinación Operativa</w:t>
            </w:r>
          </w:p>
        </w:tc>
        <w:tc>
          <w:tcPr>
            <w:tcW w:w="1378" w:type="dxa"/>
            <w:shd w:val="clear" w:color="auto" w:fill="F2F2F2" w:themeFill="background1" w:themeFillShade="F2"/>
            <w:vAlign w:val="center"/>
          </w:tcPr>
          <w:p w14:paraId="26B1D857" w14:textId="1B4BF7B9" w:rsidR="00EF6848" w:rsidRPr="009A501D" w:rsidRDefault="00EF6848"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dark1"/>
                <w:kern w:val="24"/>
                <w:sz w:val="16"/>
                <w:szCs w:val="16"/>
              </w:rPr>
            </w:pPr>
            <w:r>
              <w:rPr>
                <w:rFonts w:ascii="Century Gothic" w:hAnsi="Century Gothic" w:cs="Calibri"/>
                <w:color w:val="000000" w:themeColor="dark1"/>
                <w:kern w:val="24"/>
                <w:sz w:val="16"/>
                <w:szCs w:val="16"/>
              </w:rPr>
              <w:t>2 097</w:t>
            </w:r>
          </w:p>
        </w:tc>
        <w:tc>
          <w:tcPr>
            <w:tcW w:w="1476" w:type="dxa"/>
            <w:shd w:val="clear" w:color="auto" w:fill="F2F2F2" w:themeFill="background1" w:themeFillShade="F2"/>
            <w:vAlign w:val="center"/>
          </w:tcPr>
          <w:p w14:paraId="0FC5492A" w14:textId="7B4F72BF" w:rsidR="00EF6848" w:rsidRPr="009A501D" w:rsidRDefault="00EF6848"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dark1"/>
                <w:kern w:val="24"/>
                <w:sz w:val="16"/>
                <w:szCs w:val="16"/>
              </w:rPr>
            </w:pPr>
            <w:r>
              <w:rPr>
                <w:rFonts w:ascii="Century Gothic" w:hAnsi="Century Gothic" w:cs="Calibri"/>
                <w:color w:val="000000" w:themeColor="dark1"/>
                <w:kern w:val="24"/>
                <w:sz w:val="16"/>
                <w:szCs w:val="16"/>
              </w:rPr>
              <w:t>2 097</w:t>
            </w:r>
          </w:p>
        </w:tc>
        <w:tc>
          <w:tcPr>
            <w:tcW w:w="1260" w:type="dxa"/>
            <w:shd w:val="clear" w:color="auto" w:fill="F2F2F2" w:themeFill="background1" w:themeFillShade="F2"/>
            <w:vAlign w:val="center"/>
          </w:tcPr>
          <w:p w14:paraId="1E9495A5" w14:textId="47C9C022" w:rsidR="00EF6848" w:rsidRPr="009A501D" w:rsidRDefault="00EF6848" w:rsidP="000335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dark1"/>
                <w:kern w:val="24"/>
                <w:sz w:val="16"/>
                <w:szCs w:val="16"/>
              </w:rPr>
            </w:pPr>
            <w:r>
              <w:rPr>
                <w:rFonts w:ascii="Century Gothic" w:hAnsi="Century Gothic" w:cs="Calibri"/>
                <w:color w:val="000000" w:themeColor="dark1"/>
                <w:kern w:val="24"/>
                <w:sz w:val="16"/>
                <w:szCs w:val="16"/>
              </w:rPr>
              <w:t>57</w:t>
            </w:r>
          </w:p>
        </w:tc>
      </w:tr>
    </w:tbl>
    <w:bookmarkEnd w:id="6"/>
    <w:p w14:paraId="1B3A2007" w14:textId="45CF2007" w:rsidR="007B2370" w:rsidRPr="009A501D" w:rsidRDefault="0039763F" w:rsidP="0039763F">
      <w:pPr>
        <w:spacing w:after="0"/>
        <w:ind w:left="1276" w:right="1302"/>
        <w:jc w:val="both"/>
        <w:rPr>
          <w:rFonts w:ascii="Century Gothic" w:hAnsi="Century Gothic"/>
          <w:sz w:val="14"/>
          <w:szCs w:val="14"/>
        </w:rPr>
      </w:pPr>
      <w:r w:rsidRPr="009A501D">
        <w:rPr>
          <w:rFonts w:ascii="Century Gothic" w:hAnsi="Century Gothic"/>
          <w:sz w:val="14"/>
          <w:szCs w:val="14"/>
        </w:rPr>
        <w:t>ND: no disponible (e</w:t>
      </w:r>
      <w:r w:rsidR="00CD07FB" w:rsidRPr="009A501D">
        <w:rPr>
          <w:rFonts w:ascii="Century Gothic" w:hAnsi="Century Gothic"/>
          <w:sz w:val="14"/>
          <w:szCs w:val="14"/>
        </w:rPr>
        <w:t>l curso de la HECRA está abierto a personas fuera del INEGI</w:t>
      </w:r>
      <w:r w:rsidR="007F4849" w:rsidRPr="009A501D">
        <w:rPr>
          <w:rFonts w:ascii="Century Gothic" w:hAnsi="Century Gothic"/>
          <w:sz w:val="14"/>
          <w:szCs w:val="14"/>
        </w:rPr>
        <w:t>,</w:t>
      </w:r>
      <w:r w:rsidR="00CD07FB" w:rsidRPr="009A501D">
        <w:rPr>
          <w:rFonts w:ascii="Century Gothic" w:hAnsi="Century Gothic"/>
          <w:sz w:val="14"/>
          <w:szCs w:val="14"/>
        </w:rPr>
        <w:t xml:space="preserve"> por lo que no se tiene definida una población objetivo</w:t>
      </w:r>
      <w:r w:rsidRPr="009A501D">
        <w:rPr>
          <w:rFonts w:ascii="Century Gothic" w:hAnsi="Century Gothic"/>
          <w:sz w:val="14"/>
          <w:szCs w:val="14"/>
        </w:rPr>
        <w:t>)</w:t>
      </w:r>
      <w:r w:rsidR="002D5CD2" w:rsidRPr="009A501D">
        <w:rPr>
          <w:rFonts w:ascii="Century Gothic" w:hAnsi="Century Gothic"/>
          <w:sz w:val="14"/>
          <w:szCs w:val="14"/>
        </w:rPr>
        <w:t>.</w:t>
      </w:r>
    </w:p>
    <w:p w14:paraId="237C153E" w14:textId="1DA33970" w:rsidR="00A6617B" w:rsidRPr="009A501D" w:rsidRDefault="00ED08C3" w:rsidP="00033F8D">
      <w:pPr>
        <w:spacing w:before="240"/>
        <w:jc w:val="both"/>
        <w:rPr>
          <w:rFonts w:ascii="Century Gothic" w:hAnsi="Century Gothic"/>
          <w:b/>
          <w:bCs/>
        </w:rPr>
      </w:pPr>
      <w:r w:rsidRPr="009A501D">
        <w:rPr>
          <w:rFonts w:ascii="Century Gothic" w:hAnsi="Century Gothic"/>
          <w:b/>
          <w:bCs/>
        </w:rPr>
        <w:t>Retos</w:t>
      </w:r>
      <w:r w:rsidR="00F30FDC" w:rsidRPr="009A501D">
        <w:rPr>
          <w:rFonts w:ascii="Century Gothic" w:hAnsi="Century Gothic"/>
          <w:b/>
          <w:bCs/>
        </w:rPr>
        <w:t xml:space="preserve"> </w:t>
      </w:r>
      <w:r w:rsidR="006A66C2" w:rsidRPr="009A501D">
        <w:rPr>
          <w:rFonts w:ascii="Century Gothic" w:hAnsi="Century Gothic"/>
          <w:b/>
          <w:bCs/>
        </w:rPr>
        <w:t>2023-2025</w:t>
      </w:r>
    </w:p>
    <w:p w14:paraId="1E075015" w14:textId="6D286E54" w:rsidR="007F1684" w:rsidRPr="009A501D" w:rsidRDefault="006A66C2" w:rsidP="00FF6ADE">
      <w:pPr>
        <w:pStyle w:val="Prrafodelista"/>
        <w:numPr>
          <w:ilvl w:val="0"/>
          <w:numId w:val="12"/>
        </w:numPr>
        <w:spacing w:after="0"/>
        <w:ind w:left="284" w:hanging="284"/>
        <w:contextualSpacing w:val="0"/>
        <w:jc w:val="both"/>
        <w:rPr>
          <w:rFonts w:ascii="Century Gothic" w:hAnsi="Century Gothic"/>
          <w:sz w:val="19"/>
          <w:szCs w:val="19"/>
        </w:rPr>
      </w:pPr>
      <w:r w:rsidRPr="009A501D">
        <w:rPr>
          <w:rFonts w:ascii="Century Gothic" w:hAnsi="Century Gothic"/>
          <w:sz w:val="19"/>
          <w:szCs w:val="19"/>
        </w:rPr>
        <w:t>Elaborar cursos de capacitación para todas las guías e indicadores aprobados por el Comité.</w:t>
      </w:r>
    </w:p>
    <w:p w14:paraId="3622E534" w14:textId="5C24457A" w:rsidR="0092342C" w:rsidRPr="009A501D" w:rsidRDefault="005045B4" w:rsidP="00FF6ADE">
      <w:pPr>
        <w:numPr>
          <w:ilvl w:val="1"/>
          <w:numId w:val="1"/>
        </w:numPr>
        <w:tabs>
          <w:tab w:val="num" w:pos="284"/>
        </w:tabs>
        <w:spacing w:after="0"/>
        <w:ind w:left="284" w:hanging="284"/>
        <w:jc w:val="both"/>
        <w:rPr>
          <w:rFonts w:ascii="Century Gothic" w:hAnsi="Century Gothic"/>
          <w:sz w:val="19"/>
          <w:szCs w:val="19"/>
        </w:rPr>
      </w:pPr>
      <w:r>
        <w:rPr>
          <w:rFonts w:ascii="Century Gothic" w:hAnsi="Century Gothic"/>
          <w:sz w:val="19"/>
          <w:szCs w:val="19"/>
        </w:rPr>
        <w:t>E</w:t>
      </w:r>
      <w:r w:rsidRPr="005045B4">
        <w:rPr>
          <w:rFonts w:ascii="Century Gothic" w:hAnsi="Century Gothic"/>
          <w:sz w:val="19"/>
          <w:szCs w:val="19"/>
        </w:rPr>
        <w:t xml:space="preserve">stablecer un mecanismo para asegurar que el total de </w:t>
      </w:r>
      <w:r>
        <w:rPr>
          <w:rFonts w:ascii="Century Gothic" w:hAnsi="Century Gothic"/>
          <w:sz w:val="19"/>
          <w:szCs w:val="19"/>
        </w:rPr>
        <w:t>los</w:t>
      </w:r>
      <w:r w:rsidRPr="005045B4">
        <w:rPr>
          <w:rFonts w:ascii="Century Gothic" w:hAnsi="Century Gothic"/>
          <w:sz w:val="19"/>
          <w:szCs w:val="19"/>
        </w:rPr>
        <w:t xml:space="preserve"> cambios</w:t>
      </w:r>
      <w:r>
        <w:rPr>
          <w:rFonts w:ascii="Century Gothic" w:hAnsi="Century Gothic"/>
          <w:sz w:val="19"/>
          <w:szCs w:val="19"/>
        </w:rPr>
        <w:t xml:space="preserve"> a</w:t>
      </w:r>
      <w:r w:rsidR="002507BC">
        <w:rPr>
          <w:rFonts w:ascii="Century Gothic" w:hAnsi="Century Gothic"/>
          <w:sz w:val="19"/>
          <w:szCs w:val="19"/>
        </w:rPr>
        <w:t xml:space="preserve"> </w:t>
      </w:r>
      <w:r>
        <w:rPr>
          <w:rFonts w:ascii="Century Gothic" w:hAnsi="Century Gothic"/>
          <w:sz w:val="19"/>
          <w:szCs w:val="19"/>
        </w:rPr>
        <w:t>l</w:t>
      </w:r>
      <w:r w:rsidR="002507BC">
        <w:rPr>
          <w:rFonts w:ascii="Century Gothic" w:hAnsi="Century Gothic"/>
          <w:sz w:val="19"/>
          <w:szCs w:val="19"/>
        </w:rPr>
        <w:t>os</w:t>
      </w:r>
      <w:r>
        <w:rPr>
          <w:rFonts w:ascii="Century Gothic" w:hAnsi="Century Gothic"/>
          <w:sz w:val="19"/>
          <w:szCs w:val="19"/>
        </w:rPr>
        <w:t xml:space="preserve"> diseño</w:t>
      </w:r>
      <w:r w:rsidR="002507BC">
        <w:rPr>
          <w:rFonts w:ascii="Century Gothic" w:hAnsi="Century Gothic"/>
          <w:sz w:val="19"/>
          <w:szCs w:val="19"/>
        </w:rPr>
        <w:t>s de los procesos de producción</w:t>
      </w:r>
      <w:r w:rsidRPr="005045B4">
        <w:rPr>
          <w:rFonts w:ascii="Century Gothic" w:hAnsi="Century Gothic"/>
          <w:sz w:val="19"/>
          <w:szCs w:val="19"/>
        </w:rPr>
        <w:t xml:space="preserve"> sean registrados en el SSC</w:t>
      </w:r>
      <w:r w:rsidR="0092342C" w:rsidRPr="009A501D">
        <w:rPr>
          <w:rFonts w:ascii="Century Gothic" w:hAnsi="Century Gothic"/>
          <w:sz w:val="19"/>
          <w:szCs w:val="19"/>
        </w:rPr>
        <w:t>.</w:t>
      </w:r>
    </w:p>
    <w:p w14:paraId="47019EA4" w14:textId="3B07ACEF" w:rsidR="006A66C2" w:rsidRPr="009A501D" w:rsidRDefault="00A233CF" w:rsidP="00FF6ADE">
      <w:pPr>
        <w:numPr>
          <w:ilvl w:val="1"/>
          <w:numId w:val="1"/>
        </w:numPr>
        <w:tabs>
          <w:tab w:val="num" w:pos="284"/>
        </w:tabs>
        <w:spacing w:after="0"/>
        <w:ind w:left="284" w:hanging="284"/>
        <w:jc w:val="both"/>
        <w:rPr>
          <w:rFonts w:ascii="Century Gothic" w:hAnsi="Century Gothic"/>
        </w:rPr>
      </w:pPr>
      <w:r w:rsidRPr="009A501D">
        <w:rPr>
          <w:rFonts w:ascii="Century Gothic" w:hAnsi="Century Gothic"/>
          <w:sz w:val="19"/>
          <w:szCs w:val="19"/>
        </w:rPr>
        <w:t>Crear un mecanismo institucional para compartir buenas prácticas en materia de aseguramiento de la calidad</w:t>
      </w:r>
      <w:r w:rsidR="0092342C" w:rsidRPr="009A501D">
        <w:rPr>
          <w:rFonts w:ascii="Century Gothic" w:hAnsi="Century Gothic"/>
          <w:sz w:val="19"/>
          <w:szCs w:val="19"/>
        </w:rPr>
        <w:t>.</w:t>
      </w:r>
    </w:p>
    <w:p w14:paraId="6D59C178" w14:textId="3703D740" w:rsidR="00ED498A" w:rsidRPr="009A501D" w:rsidRDefault="00ED498A">
      <w:pPr>
        <w:rPr>
          <w:rFonts w:ascii="Century Gothic" w:hAnsi="Century Gothic"/>
        </w:rPr>
      </w:pPr>
      <w:r w:rsidRPr="009A501D">
        <w:rPr>
          <w:rFonts w:ascii="Century Gothic" w:hAnsi="Century Gothic"/>
        </w:rPr>
        <w:br w:type="page"/>
      </w:r>
    </w:p>
    <w:p w14:paraId="0D12EFB7" w14:textId="72D20672" w:rsidR="00714614" w:rsidRPr="009A501D" w:rsidRDefault="00714614" w:rsidP="00714614">
      <w:pPr>
        <w:pStyle w:val="Ttulo1"/>
        <w:spacing w:after="160"/>
        <w:ind w:left="2835" w:hanging="2835"/>
        <w:jc w:val="right"/>
        <w:rPr>
          <w:rFonts w:ascii="Century Gothic" w:hAnsi="Century Gothic" w:cstheme="minorHAnsi"/>
          <w:b/>
          <w:bCs/>
          <w:color w:val="002060"/>
        </w:rPr>
      </w:pPr>
      <w:bookmarkStart w:id="7" w:name="_Toc131161796"/>
      <w:r w:rsidRPr="009A501D">
        <w:rPr>
          <w:rFonts w:ascii="Century Gothic" w:hAnsi="Century Gothic" w:cstheme="minorHAnsi"/>
          <w:b/>
          <w:bCs/>
          <w:color w:val="002060"/>
        </w:rPr>
        <w:lastRenderedPageBreak/>
        <w:t>III. RESULTADOS DE LOS INDICADORES DE CALIDAD</w:t>
      </w:r>
      <w:bookmarkEnd w:id="7"/>
    </w:p>
    <w:p w14:paraId="575069FF" w14:textId="73B2C3BD" w:rsidR="008228CA" w:rsidRPr="009A501D" w:rsidRDefault="007C1B2B" w:rsidP="006D504A">
      <w:pPr>
        <w:jc w:val="both"/>
        <w:rPr>
          <w:rFonts w:ascii="Century Gothic" w:hAnsi="Century Gothic"/>
          <w:sz w:val="19"/>
          <w:szCs w:val="19"/>
        </w:rPr>
      </w:pPr>
      <w:r w:rsidRPr="009A501D">
        <w:rPr>
          <w:rFonts w:ascii="Century Gothic" w:hAnsi="Century Gothic"/>
          <w:sz w:val="19"/>
          <w:szCs w:val="19"/>
        </w:rPr>
        <w:t xml:space="preserve">Como puede observarse en </w:t>
      </w:r>
      <w:r w:rsidR="00D449CD" w:rsidRPr="009A501D">
        <w:rPr>
          <w:rFonts w:ascii="Century Gothic" w:hAnsi="Century Gothic"/>
          <w:sz w:val="19"/>
          <w:szCs w:val="19"/>
        </w:rPr>
        <w:t>la</w:t>
      </w:r>
      <w:r w:rsidRPr="009A501D">
        <w:rPr>
          <w:rFonts w:ascii="Century Gothic" w:hAnsi="Century Gothic"/>
          <w:sz w:val="19"/>
          <w:szCs w:val="19"/>
        </w:rPr>
        <w:t xml:space="preserve"> </w:t>
      </w:r>
      <w:r w:rsidR="00D449CD" w:rsidRPr="009A501D">
        <w:rPr>
          <w:rFonts w:ascii="Century Gothic" w:hAnsi="Century Gothic"/>
          <w:sz w:val="19"/>
          <w:szCs w:val="19"/>
        </w:rPr>
        <w:t>figura</w:t>
      </w:r>
      <w:r w:rsidRPr="009A501D">
        <w:rPr>
          <w:rFonts w:ascii="Century Gothic" w:hAnsi="Century Gothic"/>
          <w:sz w:val="19"/>
          <w:szCs w:val="19"/>
        </w:rPr>
        <w:t xml:space="preserve"> III.1, e</w:t>
      </w:r>
      <w:r w:rsidR="008228CA" w:rsidRPr="009A501D">
        <w:rPr>
          <w:rFonts w:ascii="Century Gothic" w:hAnsi="Century Gothic"/>
          <w:sz w:val="19"/>
          <w:szCs w:val="19"/>
        </w:rPr>
        <w:t>l Comité ha aprobado indicadores</w:t>
      </w:r>
      <w:r w:rsidR="0021748B" w:rsidRPr="009A501D">
        <w:rPr>
          <w:rFonts w:ascii="Century Gothic" w:hAnsi="Century Gothic"/>
          <w:sz w:val="19"/>
          <w:szCs w:val="19"/>
        </w:rPr>
        <w:t xml:space="preserve"> transversales:</w:t>
      </w:r>
      <w:r w:rsidR="008228CA" w:rsidRPr="009A501D">
        <w:rPr>
          <w:rFonts w:ascii="Century Gothic" w:hAnsi="Century Gothic"/>
          <w:sz w:val="19"/>
          <w:szCs w:val="19"/>
        </w:rPr>
        <w:t xml:space="preserve"> </w:t>
      </w:r>
      <w:r w:rsidR="00FF6ADE" w:rsidRPr="009A501D">
        <w:rPr>
          <w:rFonts w:ascii="Century Gothic" w:hAnsi="Century Gothic"/>
          <w:sz w:val="19"/>
          <w:szCs w:val="19"/>
        </w:rPr>
        <w:t>12</w:t>
      </w:r>
      <w:r w:rsidR="0021748B" w:rsidRPr="009A501D">
        <w:rPr>
          <w:rFonts w:ascii="Century Gothic" w:hAnsi="Century Gothic"/>
          <w:sz w:val="19"/>
          <w:szCs w:val="19"/>
        </w:rPr>
        <w:t xml:space="preserve"> </w:t>
      </w:r>
      <w:r w:rsidR="008228CA" w:rsidRPr="009A501D">
        <w:rPr>
          <w:rFonts w:ascii="Century Gothic" w:hAnsi="Century Gothic"/>
          <w:sz w:val="19"/>
          <w:szCs w:val="19"/>
        </w:rPr>
        <w:t xml:space="preserve">de pertinencia, dos de oportunidad, </w:t>
      </w:r>
      <w:r w:rsidR="009A40B9" w:rsidRPr="009A501D">
        <w:rPr>
          <w:rFonts w:ascii="Century Gothic" w:hAnsi="Century Gothic"/>
          <w:sz w:val="19"/>
          <w:szCs w:val="19"/>
        </w:rPr>
        <w:t>dos de puntualidad</w:t>
      </w:r>
      <w:r w:rsidR="0021748B" w:rsidRPr="009A501D">
        <w:rPr>
          <w:rFonts w:ascii="Century Gothic" w:hAnsi="Century Gothic"/>
          <w:sz w:val="19"/>
          <w:szCs w:val="19"/>
        </w:rPr>
        <w:t xml:space="preserve"> y</w:t>
      </w:r>
      <w:r w:rsidR="009A40B9" w:rsidRPr="009A501D">
        <w:rPr>
          <w:rFonts w:ascii="Century Gothic" w:hAnsi="Century Gothic"/>
          <w:sz w:val="19"/>
          <w:szCs w:val="19"/>
        </w:rPr>
        <w:t xml:space="preserve"> </w:t>
      </w:r>
      <w:r w:rsidR="00172F5B" w:rsidRPr="009A501D">
        <w:rPr>
          <w:rFonts w:ascii="Century Gothic" w:hAnsi="Century Gothic"/>
          <w:sz w:val="19"/>
          <w:szCs w:val="19"/>
        </w:rPr>
        <w:t>uno de accesibilidad</w:t>
      </w:r>
      <w:r w:rsidR="0021748B" w:rsidRPr="009A501D">
        <w:rPr>
          <w:rFonts w:ascii="Century Gothic" w:hAnsi="Century Gothic"/>
          <w:sz w:val="19"/>
          <w:szCs w:val="19"/>
        </w:rPr>
        <w:t xml:space="preserve">. Adicionalmente, ha aprobado indicadores de precisión por método de generación: </w:t>
      </w:r>
      <w:r w:rsidR="00FF6ADE" w:rsidRPr="009A501D">
        <w:rPr>
          <w:rFonts w:ascii="Century Gothic" w:hAnsi="Century Gothic"/>
          <w:sz w:val="19"/>
          <w:szCs w:val="19"/>
        </w:rPr>
        <w:t>13</w:t>
      </w:r>
      <w:r w:rsidR="00172F5B" w:rsidRPr="009A501D">
        <w:rPr>
          <w:rFonts w:ascii="Century Gothic" w:hAnsi="Century Gothic"/>
          <w:sz w:val="19"/>
          <w:szCs w:val="19"/>
        </w:rPr>
        <w:t xml:space="preserve"> para encu</w:t>
      </w:r>
      <w:r w:rsidR="0021748B" w:rsidRPr="009A501D">
        <w:rPr>
          <w:rFonts w:ascii="Century Gothic" w:hAnsi="Century Gothic"/>
          <w:sz w:val="19"/>
          <w:szCs w:val="19"/>
        </w:rPr>
        <w:t>estas</w:t>
      </w:r>
      <w:r w:rsidR="00FD7C05" w:rsidRPr="009A501D">
        <w:rPr>
          <w:rFonts w:ascii="Century Gothic" w:hAnsi="Century Gothic"/>
          <w:sz w:val="19"/>
          <w:szCs w:val="19"/>
        </w:rPr>
        <w:t xml:space="preserve"> (probabilísticas y no probabilísticas)</w:t>
      </w:r>
      <w:r w:rsidR="0021748B" w:rsidRPr="009A501D">
        <w:rPr>
          <w:rFonts w:ascii="Century Gothic" w:hAnsi="Century Gothic"/>
          <w:sz w:val="19"/>
          <w:szCs w:val="19"/>
        </w:rPr>
        <w:t xml:space="preserve">, </w:t>
      </w:r>
      <w:r w:rsidR="00FD7C05" w:rsidRPr="009A501D">
        <w:rPr>
          <w:rFonts w:ascii="Century Gothic" w:hAnsi="Century Gothic"/>
          <w:sz w:val="19"/>
          <w:szCs w:val="19"/>
        </w:rPr>
        <w:t xml:space="preserve">tres para </w:t>
      </w:r>
      <w:r w:rsidR="006D504A" w:rsidRPr="009A501D">
        <w:rPr>
          <w:rFonts w:ascii="Century Gothic" w:hAnsi="Century Gothic"/>
          <w:sz w:val="19"/>
          <w:szCs w:val="19"/>
        </w:rPr>
        <w:t xml:space="preserve">aprovechamiento de </w:t>
      </w:r>
      <w:r w:rsidR="00302A44" w:rsidRPr="009A501D">
        <w:rPr>
          <w:rFonts w:ascii="Century Gothic" w:hAnsi="Century Gothic"/>
          <w:sz w:val="19"/>
          <w:szCs w:val="19"/>
        </w:rPr>
        <w:t>registros administrativos</w:t>
      </w:r>
      <w:r w:rsidR="006D504A" w:rsidRPr="009A501D">
        <w:rPr>
          <w:rFonts w:ascii="Century Gothic" w:hAnsi="Century Gothic"/>
          <w:sz w:val="19"/>
          <w:szCs w:val="19"/>
        </w:rPr>
        <w:t>, cuatro para censos y tres para información geográfica. En este apartado, se presentarán los principales resultados de estos indicadores.</w:t>
      </w:r>
    </w:p>
    <w:p w14:paraId="478450D3" w14:textId="5619798D" w:rsidR="005D64F4" w:rsidRPr="009A501D" w:rsidRDefault="005D64F4" w:rsidP="005D64F4">
      <w:pPr>
        <w:spacing w:before="240"/>
        <w:jc w:val="center"/>
        <w:rPr>
          <w:rFonts w:ascii="Century Gothic" w:hAnsi="Century Gothic"/>
          <w:sz w:val="19"/>
          <w:szCs w:val="19"/>
        </w:rPr>
      </w:pPr>
      <w:r w:rsidRPr="009A501D">
        <w:rPr>
          <w:rFonts w:ascii="Century Gothic" w:hAnsi="Century Gothic"/>
          <w:b/>
          <w:sz w:val="19"/>
          <w:szCs w:val="19"/>
        </w:rPr>
        <w:t xml:space="preserve">III.1. </w:t>
      </w:r>
      <w:r w:rsidR="00FD0513" w:rsidRPr="009A501D">
        <w:rPr>
          <w:rFonts w:ascii="Century Gothic" w:hAnsi="Century Gothic"/>
          <w:b/>
          <w:sz w:val="19"/>
          <w:szCs w:val="19"/>
        </w:rPr>
        <w:t>Número de i</w:t>
      </w:r>
      <w:r w:rsidR="00AB7828" w:rsidRPr="009A501D">
        <w:rPr>
          <w:rFonts w:ascii="Century Gothic" w:hAnsi="Century Gothic"/>
          <w:b/>
          <w:sz w:val="19"/>
          <w:szCs w:val="19"/>
        </w:rPr>
        <w:t>ndicadores aprobados por el Comité</w:t>
      </w:r>
    </w:p>
    <w:p w14:paraId="0496A965" w14:textId="5D761B73" w:rsidR="00337F45" w:rsidRPr="009A501D" w:rsidRDefault="00175F0E" w:rsidP="00043202">
      <w:pPr>
        <w:jc w:val="center"/>
      </w:pPr>
      <w:r w:rsidRPr="009A501D">
        <w:rPr>
          <w:noProof/>
        </w:rPr>
        <w:drawing>
          <wp:inline distT="0" distB="0" distL="0" distR="0" wp14:anchorId="4DC508FB" wp14:editId="43C40223">
            <wp:extent cx="4906410" cy="336452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1196" cy="3388376"/>
                    </a:xfrm>
                    <a:prstGeom prst="rect">
                      <a:avLst/>
                    </a:prstGeom>
                    <a:noFill/>
                    <a:ln>
                      <a:noFill/>
                    </a:ln>
                  </pic:spPr>
                </pic:pic>
              </a:graphicData>
            </a:graphic>
          </wp:inline>
        </w:drawing>
      </w:r>
    </w:p>
    <w:p w14:paraId="2D0EFFBC" w14:textId="77777777" w:rsidR="00863CC5" w:rsidRPr="009A501D" w:rsidRDefault="006F28BF" w:rsidP="00664A1D">
      <w:pPr>
        <w:pStyle w:val="Ttulo2"/>
        <w:rPr>
          <w:rFonts w:ascii="Century Gothic" w:eastAsiaTheme="minorHAnsi" w:hAnsi="Century Gothic" w:cstheme="minorBidi"/>
          <w:bCs/>
          <w:color w:val="0079BF"/>
          <w:sz w:val="24"/>
          <w:szCs w:val="24"/>
        </w:rPr>
      </w:pPr>
      <w:bookmarkStart w:id="8" w:name="_Toc131161797"/>
      <w:r w:rsidRPr="009A501D">
        <w:rPr>
          <w:rFonts w:ascii="Century Gothic" w:eastAsiaTheme="minorHAnsi" w:hAnsi="Century Gothic" w:cstheme="minorBidi"/>
          <w:bCs/>
          <w:color w:val="0079BF"/>
          <w:sz w:val="24"/>
          <w:szCs w:val="24"/>
        </w:rPr>
        <w:t xml:space="preserve">III.1. </w:t>
      </w:r>
      <w:r w:rsidR="0004252C" w:rsidRPr="009A501D">
        <w:rPr>
          <w:rFonts w:ascii="Century Gothic" w:eastAsiaTheme="minorHAnsi" w:hAnsi="Century Gothic" w:cstheme="minorBidi"/>
          <w:bCs/>
          <w:color w:val="0079BF"/>
          <w:sz w:val="24"/>
          <w:szCs w:val="24"/>
        </w:rPr>
        <w:t>Indicadores de pertinencia</w:t>
      </w:r>
      <w:bookmarkEnd w:id="8"/>
      <w:r w:rsidR="0029041B" w:rsidRPr="009A501D">
        <w:rPr>
          <w:rFonts w:ascii="Century Gothic" w:eastAsiaTheme="minorHAnsi" w:hAnsi="Century Gothic" w:cstheme="minorBidi"/>
          <w:bCs/>
          <w:color w:val="0079BF"/>
          <w:sz w:val="24"/>
          <w:szCs w:val="24"/>
        </w:rPr>
        <w:t xml:space="preserve"> </w:t>
      </w:r>
    </w:p>
    <w:p w14:paraId="3FF582C8" w14:textId="2ED5FC23" w:rsidR="005823E5" w:rsidRPr="009A501D" w:rsidRDefault="002604E4" w:rsidP="00664A1D">
      <w:pPr>
        <w:spacing w:before="240"/>
        <w:jc w:val="both"/>
        <w:rPr>
          <w:rFonts w:ascii="Century Gothic" w:hAnsi="Century Gothic"/>
          <w:sz w:val="19"/>
          <w:szCs w:val="19"/>
        </w:rPr>
      </w:pPr>
      <w:r w:rsidRPr="009A501D">
        <w:rPr>
          <w:rFonts w:ascii="Century Gothic" w:hAnsi="Century Gothic"/>
          <w:sz w:val="19"/>
          <w:szCs w:val="19"/>
        </w:rPr>
        <w:t xml:space="preserve">Actualmente, se </w:t>
      </w:r>
      <w:r w:rsidR="00184CB5" w:rsidRPr="009A501D">
        <w:rPr>
          <w:rFonts w:ascii="Century Gothic" w:hAnsi="Century Gothic"/>
          <w:sz w:val="19"/>
          <w:szCs w:val="19"/>
        </w:rPr>
        <w:t xml:space="preserve">cuenta con 12 </w:t>
      </w:r>
      <w:r w:rsidR="005823E5" w:rsidRPr="009A501D">
        <w:rPr>
          <w:rFonts w:ascii="Century Gothic" w:hAnsi="Century Gothic"/>
          <w:sz w:val="19"/>
          <w:szCs w:val="19"/>
        </w:rPr>
        <w:t>indicadores de pertinencia</w:t>
      </w:r>
      <w:r w:rsidR="007A4A8F" w:rsidRPr="009A501D">
        <w:rPr>
          <w:rStyle w:val="Refdenotaalpie"/>
          <w:rFonts w:ascii="Century Gothic" w:hAnsi="Century Gothic"/>
          <w:sz w:val="19"/>
          <w:szCs w:val="19"/>
        </w:rPr>
        <w:footnoteReference w:id="3"/>
      </w:r>
      <w:r w:rsidR="00184CB5" w:rsidRPr="009A501D">
        <w:rPr>
          <w:rFonts w:ascii="Century Gothic" w:hAnsi="Century Gothic"/>
          <w:sz w:val="19"/>
          <w:szCs w:val="19"/>
        </w:rPr>
        <w:t xml:space="preserve">, de los cuales </w:t>
      </w:r>
      <w:r w:rsidR="00AE6ABF" w:rsidRPr="009A501D">
        <w:rPr>
          <w:rFonts w:ascii="Century Gothic" w:hAnsi="Century Gothic"/>
          <w:sz w:val="19"/>
          <w:szCs w:val="19"/>
        </w:rPr>
        <w:t xml:space="preserve">dos </w:t>
      </w:r>
      <w:r w:rsidR="00B76B9C" w:rsidRPr="009A501D">
        <w:rPr>
          <w:rFonts w:ascii="Century Gothic" w:hAnsi="Century Gothic"/>
          <w:sz w:val="19"/>
          <w:szCs w:val="19"/>
        </w:rPr>
        <w:t xml:space="preserve">se vinculan </w:t>
      </w:r>
      <w:r w:rsidR="00AE6ABF" w:rsidRPr="009A501D">
        <w:rPr>
          <w:rFonts w:ascii="Century Gothic" w:hAnsi="Century Gothic"/>
          <w:sz w:val="19"/>
          <w:szCs w:val="19"/>
        </w:rPr>
        <w:t xml:space="preserve">con el grado de </w:t>
      </w:r>
      <w:r w:rsidR="005823E5" w:rsidRPr="009A501D">
        <w:rPr>
          <w:rFonts w:ascii="Century Gothic" w:hAnsi="Century Gothic"/>
          <w:sz w:val="19"/>
          <w:szCs w:val="19"/>
        </w:rPr>
        <w:t xml:space="preserve">cobertura de </w:t>
      </w:r>
      <w:r w:rsidR="00B76B9C" w:rsidRPr="009A501D">
        <w:rPr>
          <w:rFonts w:ascii="Century Gothic" w:hAnsi="Century Gothic"/>
          <w:sz w:val="19"/>
          <w:szCs w:val="19"/>
        </w:rPr>
        <w:t xml:space="preserve">las </w:t>
      </w:r>
      <w:r w:rsidR="005823E5" w:rsidRPr="009A501D">
        <w:rPr>
          <w:rFonts w:ascii="Century Gothic" w:hAnsi="Century Gothic"/>
          <w:sz w:val="19"/>
          <w:szCs w:val="19"/>
        </w:rPr>
        <w:t>necesidades</w:t>
      </w:r>
      <w:r w:rsidR="00B76B9C" w:rsidRPr="009A501D">
        <w:rPr>
          <w:rFonts w:ascii="Century Gothic" w:hAnsi="Century Gothic"/>
          <w:sz w:val="19"/>
          <w:szCs w:val="19"/>
        </w:rPr>
        <w:t xml:space="preserve"> de información y </w:t>
      </w:r>
      <w:r w:rsidR="00F2702B" w:rsidRPr="009A501D">
        <w:rPr>
          <w:rFonts w:ascii="Century Gothic" w:hAnsi="Century Gothic"/>
          <w:sz w:val="19"/>
          <w:szCs w:val="19"/>
        </w:rPr>
        <w:t xml:space="preserve">los diez restantes con el tipo de uso, mediante los cuales se estiman </w:t>
      </w:r>
      <w:r w:rsidR="00B76B9C" w:rsidRPr="009A501D">
        <w:rPr>
          <w:rFonts w:ascii="Century Gothic" w:hAnsi="Century Gothic"/>
          <w:sz w:val="19"/>
          <w:szCs w:val="19"/>
        </w:rPr>
        <w:t>aspectos de efectividad de la producción</w:t>
      </w:r>
      <w:r w:rsidR="00AE6ABF" w:rsidRPr="009A501D">
        <w:rPr>
          <w:rStyle w:val="Refdenotaalpie"/>
          <w:rFonts w:ascii="Century Gothic" w:hAnsi="Century Gothic"/>
          <w:sz w:val="19"/>
          <w:szCs w:val="19"/>
        </w:rPr>
        <w:footnoteReference w:id="4"/>
      </w:r>
      <w:r w:rsidR="00AF2DF2" w:rsidRPr="009A501D">
        <w:rPr>
          <w:rFonts w:ascii="Century Gothic" w:hAnsi="Century Gothic"/>
          <w:sz w:val="19"/>
          <w:szCs w:val="19"/>
        </w:rPr>
        <w:t>.</w:t>
      </w:r>
      <w:r w:rsidR="005823E5" w:rsidRPr="009A501D">
        <w:rPr>
          <w:rFonts w:ascii="Century Gothic" w:hAnsi="Century Gothic"/>
          <w:sz w:val="19"/>
          <w:szCs w:val="19"/>
        </w:rPr>
        <w:t xml:space="preserve"> En los </w:t>
      </w:r>
      <w:r w:rsidR="00DC47C3" w:rsidRPr="009A501D">
        <w:rPr>
          <w:rFonts w:ascii="Century Gothic" w:hAnsi="Century Gothic"/>
          <w:sz w:val="19"/>
          <w:szCs w:val="19"/>
        </w:rPr>
        <w:t>cuadros III.1.1. y III.1.2.</w:t>
      </w:r>
      <w:r w:rsidR="005823E5" w:rsidRPr="009A501D">
        <w:rPr>
          <w:rFonts w:ascii="Century Gothic" w:hAnsi="Century Gothic"/>
          <w:sz w:val="19"/>
          <w:szCs w:val="19"/>
        </w:rPr>
        <w:t xml:space="preserve"> se presenta la estimación de estos indicadores a diciembre de 202</w:t>
      </w:r>
      <w:r w:rsidR="000A2BD1" w:rsidRPr="009A501D">
        <w:rPr>
          <w:rFonts w:ascii="Century Gothic" w:hAnsi="Century Gothic"/>
          <w:sz w:val="19"/>
          <w:szCs w:val="19"/>
        </w:rPr>
        <w:t>2</w:t>
      </w:r>
      <w:r w:rsidR="000B052E" w:rsidRPr="009A501D">
        <w:rPr>
          <w:rFonts w:ascii="Century Gothic" w:hAnsi="Century Gothic"/>
          <w:sz w:val="19"/>
          <w:szCs w:val="19"/>
        </w:rPr>
        <w:t>, respectivamente</w:t>
      </w:r>
      <w:r w:rsidR="005823E5" w:rsidRPr="009A501D">
        <w:rPr>
          <w:rFonts w:ascii="Century Gothic" w:hAnsi="Century Gothic"/>
          <w:sz w:val="19"/>
          <w:szCs w:val="19"/>
        </w:rPr>
        <w:t>.</w:t>
      </w:r>
    </w:p>
    <w:p w14:paraId="49D3EA1D" w14:textId="2306EACE" w:rsidR="005823E5" w:rsidRPr="009A501D" w:rsidRDefault="000B052E" w:rsidP="00664A1D">
      <w:pPr>
        <w:spacing w:before="240"/>
        <w:jc w:val="both"/>
        <w:rPr>
          <w:rFonts w:ascii="Century Gothic" w:hAnsi="Century Gothic"/>
          <w:sz w:val="19"/>
          <w:szCs w:val="19"/>
        </w:rPr>
      </w:pPr>
      <w:r w:rsidRPr="009A501D">
        <w:rPr>
          <w:rFonts w:ascii="Century Gothic" w:hAnsi="Century Gothic"/>
          <w:sz w:val="19"/>
          <w:szCs w:val="19"/>
        </w:rPr>
        <w:t>S</w:t>
      </w:r>
      <w:r w:rsidR="000B061C" w:rsidRPr="009A501D">
        <w:rPr>
          <w:rFonts w:ascii="Century Gothic" w:hAnsi="Century Gothic"/>
          <w:sz w:val="19"/>
          <w:szCs w:val="19"/>
        </w:rPr>
        <w:t xml:space="preserve">e observa </w:t>
      </w:r>
      <w:r w:rsidR="009823A5" w:rsidRPr="009A501D">
        <w:rPr>
          <w:rFonts w:ascii="Century Gothic" w:hAnsi="Century Gothic"/>
          <w:sz w:val="19"/>
          <w:szCs w:val="19"/>
        </w:rPr>
        <w:t xml:space="preserve">que </w:t>
      </w:r>
      <w:r w:rsidR="000B061C" w:rsidRPr="009A501D">
        <w:rPr>
          <w:rFonts w:ascii="Century Gothic" w:hAnsi="Century Gothic"/>
          <w:sz w:val="19"/>
          <w:szCs w:val="19"/>
        </w:rPr>
        <w:t>el porcentaje de indicadores de programas derivados del Plan Nacional de Desarrollo</w:t>
      </w:r>
      <w:r w:rsidR="000667A8" w:rsidRPr="009A501D">
        <w:rPr>
          <w:rFonts w:ascii="Century Gothic" w:hAnsi="Century Gothic"/>
          <w:sz w:val="19"/>
          <w:szCs w:val="19"/>
        </w:rPr>
        <w:t xml:space="preserve"> (PND)</w:t>
      </w:r>
      <w:r w:rsidR="000B061C" w:rsidRPr="009A501D">
        <w:rPr>
          <w:rFonts w:ascii="Century Gothic" w:hAnsi="Century Gothic"/>
          <w:sz w:val="19"/>
          <w:szCs w:val="19"/>
        </w:rPr>
        <w:t xml:space="preserve"> que se calculan con información del INEGI</w:t>
      </w:r>
      <w:r w:rsidR="009F4647" w:rsidRPr="009A501D">
        <w:rPr>
          <w:rFonts w:ascii="Century Gothic" w:hAnsi="Century Gothic"/>
          <w:sz w:val="19"/>
          <w:szCs w:val="19"/>
        </w:rPr>
        <w:t xml:space="preserve"> </w:t>
      </w:r>
      <w:r w:rsidR="00F2702B" w:rsidRPr="009A501D">
        <w:rPr>
          <w:rFonts w:ascii="Century Gothic" w:hAnsi="Century Gothic"/>
          <w:sz w:val="19"/>
          <w:szCs w:val="19"/>
        </w:rPr>
        <w:t>es de</w:t>
      </w:r>
      <w:r w:rsidR="009F4647" w:rsidRPr="009A501D">
        <w:rPr>
          <w:rFonts w:ascii="Century Gothic" w:hAnsi="Century Gothic"/>
          <w:sz w:val="19"/>
          <w:szCs w:val="19"/>
        </w:rPr>
        <w:t xml:space="preserve"> </w:t>
      </w:r>
      <w:r w:rsidRPr="009A501D">
        <w:rPr>
          <w:rFonts w:ascii="Century Gothic" w:hAnsi="Century Gothic"/>
          <w:sz w:val="19"/>
          <w:szCs w:val="19"/>
        </w:rPr>
        <w:t>24.9%</w:t>
      </w:r>
      <w:r w:rsidR="00C65918" w:rsidRPr="009A501D">
        <w:rPr>
          <w:rFonts w:ascii="Century Gothic" w:hAnsi="Century Gothic"/>
          <w:sz w:val="19"/>
          <w:szCs w:val="19"/>
        </w:rPr>
        <w:t xml:space="preserve">. </w:t>
      </w:r>
      <w:r w:rsidR="00526344" w:rsidRPr="009A501D">
        <w:rPr>
          <w:rFonts w:ascii="Century Gothic" w:hAnsi="Century Gothic"/>
          <w:sz w:val="19"/>
          <w:szCs w:val="19"/>
        </w:rPr>
        <w:t>Mientras que</w:t>
      </w:r>
      <w:r w:rsidR="00C65918" w:rsidRPr="009A501D">
        <w:rPr>
          <w:rFonts w:ascii="Century Gothic" w:hAnsi="Century Gothic"/>
          <w:sz w:val="19"/>
          <w:szCs w:val="19"/>
        </w:rPr>
        <w:t xml:space="preserve"> el porcentaje de indicadores </w:t>
      </w:r>
      <w:r w:rsidR="00816B80" w:rsidRPr="009A501D">
        <w:rPr>
          <w:rFonts w:ascii="Century Gothic" w:hAnsi="Century Gothic"/>
          <w:sz w:val="19"/>
          <w:szCs w:val="19"/>
        </w:rPr>
        <w:t>de Objetivos de Desarrollo Sostenible (</w:t>
      </w:r>
      <w:r w:rsidR="00C65918" w:rsidRPr="009A501D">
        <w:rPr>
          <w:rFonts w:ascii="Century Gothic" w:hAnsi="Century Gothic"/>
          <w:sz w:val="19"/>
          <w:szCs w:val="19"/>
        </w:rPr>
        <w:t>ODS</w:t>
      </w:r>
      <w:r w:rsidR="00816B80" w:rsidRPr="009A501D">
        <w:rPr>
          <w:rFonts w:ascii="Century Gothic" w:hAnsi="Century Gothic"/>
          <w:sz w:val="19"/>
          <w:szCs w:val="19"/>
        </w:rPr>
        <w:t>)</w:t>
      </w:r>
      <w:r w:rsidR="00C65918" w:rsidRPr="009A501D">
        <w:rPr>
          <w:rFonts w:ascii="Century Gothic" w:hAnsi="Century Gothic"/>
          <w:sz w:val="19"/>
          <w:szCs w:val="19"/>
        </w:rPr>
        <w:t xml:space="preserve"> que se calculan con programas del INEGI</w:t>
      </w:r>
      <w:r w:rsidR="00F2702B" w:rsidRPr="009A501D">
        <w:rPr>
          <w:rFonts w:ascii="Century Gothic" w:hAnsi="Century Gothic"/>
          <w:sz w:val="19"/>
          <w:szCs w:val="19"/>
        </w:rPr>
        <w:t xml:space="preserve"> es de 70.6, similar al observado en 2021.</w:t>
      </w:r>
    </w:p>
    <w:p w14:paraId="6EB2822B" w14:textId="5138A275" w:rsidR="0039763F" w:rsidRPr="009A501D" w:rsidRDefault="0039763F">
      <w:pPr>
        <w:rPr>
          <w:rFonts w:ascii="Century Gothic" w:hAnsi="Century Gothic"/>
          <w:sz w:val="19"/>
          <w:szCs w:val="19"/>
        </w:rPr>
      </w:pPr>
      <w:r w:rsidRPr="009A501D">
        <w:rPr>
          <w:rFonts w:ascii="Century Gothic" w:hAnsi="Century Gothic"/>
          <w:sz w:val="19"/>
          <w:szCs w:val="19"/>
        </w:rPr>
        <w:br w:type="page"/>
      </w:r>
    </w:p>
    <w:p w14:paraId="7E13823E" w14:textId="77777777" w:rsidR="0081502B" w:rsidRPr="009A501D" w:rsidRDefault="002E4AA4"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III</w:t>
      </w:r>
      <w:r w:rsidR="0081502B" w:rsidRPr="009A501D">
        <w:rPr>
          <w:rFonts w:ascii="Century Gothic" w:hAnsi="Century Gothic"/>
          <w:b/>
          <w:sz w:val="19"/>
          <w:szCs w:val="19"/>
        </w:rPr>
        <w:t>.1.</w:t>
      </w:r>
      <w:r w:rsidRPr="009A501D">
        <w:rPr>
          <w:rFonts w:ascii="Century Gothic" w:hAnsi="Century Gothic"/>
          <w:b/>
          <w:sz w:val="19"/>
          <w:szCs w:val="19"/>
        </w:rPr>
        <w:t>1.</w:t>
      </w:r>
      <w:r w:rsidR="0081502B" w:rsidRPr="009A501D">
        <w:rPr>
          <w:rFonts w:ascii="Century Gothic" w:hAnsi="Century Gothic"/>
          <w:b/>
          <w:sz w:val="19"/>
          <w:szCs w:val="19"/>
        </w:rPr>
        <w:t xml:space="preserve"> Estimación de los indicadores de pertinencia (cobertura de necesidades) </w:t>
      </w:r>
    </w:p>
    <w:tbl>
      <w:tblPr>
        <w:tblW w:w="923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20" w:firstRow="1" w:lastRow="0" w:firstColumn="0" w:lastColumn="0" w:noHBand="0" w:noVBand="1"/>
      </w:tblPr>
      <w:tblGrid>
        <w:gridCol w:w="1132"/>
        <w:gridCol w:w="6569"/>
        <w:gridCol w:w="1535"/>
      </w:tblGrid>
      <w:tr w:rsidR="00F2702B" w:rsidRPr="009A501D" w14:paraId="606B7A71" w14:textId="086AF18F" w:rsidTr="00F2702B">
        <w:trPr>
          <w:trHeight w:val="20"/>
          <w:jc w:val="center"/>
        </w:trPr>
        <w:tc>
          <w:tcPr>
            <w:tcW w:w="1132" w:type="dxa"/>
            <w:shd w:val="clear" w:color="auto" w:fill="002060"/>
            <w:tcMar>
              <w:top w:w="3" w:type="dxa"/>
              <w:left w:w="15" w:type="dxa"/>
              <w:bottom w:w="0" w:type="dxa"/>
              <w:right w:w="15" w:type="dxa"/>
            </w:tcMar>
            <w:vAlign w:val="center"/>
            <w:hideMark/>
          </w:tcPr>
          <w:p w14:paraId="4D788673" w14:textId="77777777" w:rsidR="00F2702B" w:rsidRPr="009A501D" w:rsidRDefault="00F2702B" w:rsidP="00664A1D">
            <w:pPr>
              <w:spacing w:after="0"/>
              <w:jc w:val="center"/>
              <w:rPr>
                <w:rFonts w:ascii="Century Gothic" w:hAnsi="Century Gothic"/>
                <w:b/>
                <w:sz w:val="16"/>
                <w:szCs w:val="16"/>
              </w:rPr>
            </w:pPr>
            <w:r w:rsidRPr="009A501D">
              <w:rPr>
                <w:rFonts w:ascii="Century Gothic" w:hAnsi="Century Gothic"/>
                <w:b/>
                <w:sz w:val="16"/>
                <w:szCs w:val="16"/>
              </w:rPr>
              <w:t>Tipo de necesidades</w:t>
            </w:r>
          </w:p>
        </w:tc>
        <w:tc>
          <w:tcPr>
            <w:tcW w:w="6569" w:type="dxa"/>
            <w:shd w:val="clear" w:color="auto" w:fill="002060"/>
            <w:tcMar>
              <w:top w:w="3" w:type="dxa"/>
              <w:left w:w="15" w:type="dxa"/>
              <w:bottom w:w="0" w:type="dxa"/>
              <w:right w:w="15" w:type="dxa"/>
            </w:tcMar>
            <w:vAlign w:val="center"/>
            <w:hideMark/>
          </w:tcPr>
          <w:p w14:paraId="23CAC26B" w14:textId="77777777" w:rsidR="00F2702B" w:rsidRPr="009A501D" w:rsidRDefault="00F2702B" w:rsidP="00664A1D">
            <w:pPr>
              <w:spacing w:after="0"/>
              <w:jc w:val="center"/>
              <w:rPr>
                <w:rFonts w:ascii="Century Gothic" w:hAnsi="Century Gothic"/>
                <w:b/>
                <w:sz w:val="16"/>
                <w:szCs w:val="16"/>
              </w:rPr>
            </w:pPr>
            <w:r w:rsidRPr="009A501D">
              <w:rPr>
                <w:rFonts w:ascii="Century Gothic" w:hAnsi="Century Gothic"/>
                <w:b/>
                <w:sz w:val="16"/>
                <w:szCs w:val="16"/>
              </w:rPr>
              <w:t>Indicadores de pertinencia</w:t>
            </w:r>
          </w:p>
        </w:tc>
        <w:tc>
          <w:tcPr>
            <w:tcW w:w="1535" w:type="dxa"/>
            <w:shd w:val="clear" w:color="auto" w:fill="002060"/>
            <w:vAlign w:val="center"/>
          </w:tcPr>
          <w:p w14:paraId="09C1AA75" w14:textId="6295259B" w:rsidR="00F2702B" w:rsidRPr="009A501D" w:rsidRDefault="00F2702B" w:rsidP="00664A1D">
            <w:pPr>
              <w:spacing w:after="0"/>
              <w:jc w:val="center"/>
              <w:rPr>
                <w:rFonts w:ascii="Century Gothic" w:hAnsi="Century Gothic"/>
                <w:b/>
                <w:sz w:val="16"/>
                <w:szCs w:val="16"/>
              </w:rPr>
            </w:pPr>
            <w:r w:rsidRPr="009A501D">
              <w:rPr>
                <w:rFonts w:ascii="Century Gothic" w:hAnsi="Century Gothic"/>
                <w:b/>
                <w:sz w:val="16"/>
                <w:szCs w:val="16"/>
              </w:rPr>
              <w:t>2022</w:t>
            </w:r>
          </w:p>
        </w:tc>
      </w:tr>
      <w:tr w:rsidR="00F2702B" w:rsidRPr="009A501D" w14:paraId="23BF9DE6" w14:textId="65B5041F" w:rsidTr="00F2702B">
        <w:trPr>
          <w:trHeight w:val="510"/>
          <w:jc w:val="center"/>
        </w:trPr>
        <w:tc>
          <w:tcPr>
            <w:tcW w:w="1132" w:type="dxa"/>
            <w:vMerge w:val="restart"/>
            <w:shd w:val="clear" w:color="auto" w:fill="FFFFFF" w:themeFill="background1"/>
            <w:tcMar>
              <w:top w:w="64" w:type="dxa"/>
              <w:left w:w="15" w:type="dxa"/>
              <w:bottom w:w="0" w:type="dxa"/>
              <w:right w:w="15" w:type="dxa"/>
            </w:tcMar>
            <w:vAlign w:val="center"/>
            <w:hideMark/>
          </w:tcPr>
          <w:p w14:paraId="16451ECA" w14:textId="7A12C283" w:rsidR="00F2702B" w:rsidRPr="009A501D" w:rsidRDefault="00F2702B" w:rsidP="00664A1D">
            <w:pPr>
              <w:spacing w:after="0"/>
              <w:jc w:val="center"/>
              <w:rPr>
                <w:rFonts w:ascii="Century Gothic" w:hAnsi="Century Gothic"/>
                <w:bCs/>
                <w:sz w:val="16"/>
                <w:szCs w:val="16"/>
              </w:rPr>
            </w:pPr>
            <w:r w:rsidRPr="009A501D">
              <w:rPr>
                <w:rFonts w:ascii="Century Gothic" w:hAnsi="Century Gothic"/>
                <w:bCs/>
                <w:sz w:val="16"/>
                <w:szCs w:val="16"/>
              </w:rPr>
              <w:t>Objetivos de Desarrollo Sostenible</w:t>
            </w:r>
          </w:p>
        </w:tc>
        <w:tc>
          <w:tcPr>
            <w:tcW w:w="6569" w:type="dxa"/>
            <w:shd w:val="clear" w:color="auto" w:fill="FFFFFF" w:themeFill="background1"/>
            <w:tcMar>
              <w:top w:w="49" w:type="dxa"/>
              <w:left w:w="15" w:type="dxa"/>
              <w:bottom w:w="0" w:type="dxa"/>
              <w:right w:w="15" w:type="dxa"/>
            </w:tcMar>
            <w:vAlign w:val="center"/>
            <w:hideMark/>
          </w:tcPr>
          <w:p w14:paraId="74BAE7C6" w14:textId="0E31A2E6" w:rsidR="00F2702B" w:rsidRPr="009A501D" w:rsidRDefault="00F2702B" w:rsidP="00664A1D">
            <w:pPr>
              <w:spacing w:after="0"/>
              <w:jc w:val="center"/>
              <w:rPr>
                <w:rFonts w:ascii="Century Gothic" w:hAnsi="Century Gothic"/>
                <w:bCs/>
                <w:sz w:val="16"/>
                <w:szCs w:val="16"/>
              </w:rPr>
            </w:pPr>
            <w:r w:rsidRPr="009A501D">
              <w:rPr>
                <w:rFonts w:ascii="Century Gothic" w:hAnsi="Century Gothic"/>
                <w:bCs/>
                <w:sz w:val="16"/>
                <w:szCs w:val="16"/>
              </w:rPr>
              <w:t>Porcentaje de indicadores que permiten medir la evolución del desarrollo nacional que se calculan con programas de información estadística y geográfica del INEGI.</w:t>
            </w:r>
          </w:p>
        </w:tc>
        <w:tc>
          <w:tcPr>
            <w:tcW w:w="1535" w:type="dxa"/>
            <w:shd w:val="clear" w:color="auto" w:fill="FFFFFF" w:themeFill="background1"/>
            <w:vAlign w:val="center"/>
          </w:tcPr>
          <w:p w14:paraId="6C6C0D40" w14:textId="1C96FA2C" w:rsidR="00F2702B" w:rsidRPr="009A501D" w:rsidRDefault="00F2702B" w:rsidP="00664A1D">
            <w:pPr>
              <w:spacing w:after="0"/>
              <w:jc w:val="center"/>
              <w:rPr>
                <w:rFonts w:ascii="Century Gothic" w:hAnsi="Century Gothic"/>
                <w:bCs/>
                <w:sz w:val="16"/>
                <w:szCs w:val="16"/>
              </w:rPr>
            </w:pPr>
            <w:r w:rsidRPr="009A501D">
              <w:rPr>
                <w:rFonts w:ascii="Century Gothic" w:hAnsi="Century Gothic"/>
                <w:bCs/>
                <w:sz w:val="16"/>
                <w:szCs w:val="16"/>
              </w:rPr>
              <w:t>24.9%</w:t>
            </w:r>
          </w:p>
        </w:tc>
      </w:tr>
      <w:tr w:rsidR="00F2702B" w:rsidRPr="009A501D" w14:paraId="705A1EE1" w14:textId="084530FC" w:rsidTr="00F2702B">
        <w:trPr>
          <w:trHeight w:val="510"/>
          <w:jc w:val="center"/>
        </w:trPr>
        <w:tc>
          <w:tcPr>
            <w:tcW w:w="1132" w:type="dxa"/>
            <w:vMerge/>
            <w:shd w:val="clear" w:color="auto" w:fill="FFFFFF" w:themeFill="background1"/>
            <w:vAlign w:val="center"/>
            <w:hideMark/>
          </w:tcPr>
          <w:p w14:paraId="09194B1D" w14:textId="77777777" w:rsidR="00F2702B" w:rsidRPr="009A501D" w:rsidRDefault="00F2702B" w:rsidP="00664A1D">
            <w:pPr>
              <w:spacing w:after="0"/>
              <w:jc w:val="center"/>
              <w:rPr>
                <w:rFonts w:ascii="Century Gothic" w:hAnsi="Century Gothic"/>
                <w:bCs/>
                <w:sz w:val="16"/>
                <w:szCs w:val="16"/>
              </w:rPr>
            </w:pPr>
          </w:p>
        </w:tc>
        <w:tc>
          <w:tcPr>
            <w:tcW w:w="6569" w:type="dxa"/>
            <w:shd w:val="clear" w:color="auto" w:fill="F2F2F2" w:themeFill="background1" w:themeFillShade="F2"/>
            <w:tcMar>
              <w:top w:w="34" w:type="dxa"/>
              <w:left w:w="15" w:type="dxa"/>
              <w:bottom w:w="0" w:type="dxa"/>
              <w:right w:w="15" w:type="dxa"/>
            </w:tcMar>
            <w:vAlign w:val="center"/>
            <w:hideMark/>
          </w:tcPr>
          <w:p w14:paraId="2A6340BF" w14:textId="553C0E73" w:rsidR="00F2702B" w:rsidRPr="009A501D" w:rsidRDefault="00F2702B" w:rsidP="00664A1D">
            <w:pPr>
              <w:spacing w:after="0" w:line="240" w:lineRule="auto"/>
              <w:jc w:val="center"/>
              <w:rPr>
                <w:rFonts w:ascii="Century Gothic" w:hAnsi="Century Gothic"/>
                <w:bCs/>
                <w:sz w:val="16"/>
                <w:szCs w:val="16"/>
              </w:rPr>
            </w:pPr>
            <w:bookmarkStart w:id="9" w:name="_Hlk127879883"/>
            <w:r w:rsidRPr="009A501D">
              <w:rPr>
                <w:rFonts w:ascii="Century Gothic" w:hAnsi="Century Gothic"/>
                <w:bCs/>
                <w:sz w:val="16"/>
                <w:szCs w:val="16"/>
              </w:rPr>
              <w:t xml:space="preserve">Porcentaje de indicadores de los Objetivos de Desarrollo Sostenible </w:t>
            </w:r>
            <w:r w:rsidRPr="009A501D">
              <w:rPr>
                <w:rFonts w:ascii="Century Gothic" w:hAnsi="Century Gothic"/>
                <w:sz w:val="16"/>
              </w:rPr>
              <w:t xml:space="preserve">que se calculan </w:t>
            </w:r>
            <w:r w:rsidRPr="009A501D">
              <w:rPr>
                <w:rFonts w:ascii="Century Gothic" w:hAnsi="Century Gothic"/>
                <w:bCs/>
                <w:sz w:val="16"/>
                <w:szCs w:val="16"/>
              </w:rPr>
              <w:t>con programas de información estadística y geográfica del INEGI.</w:t>
            </w:r>
            <w:bookmarkEnd w:id="9"/>
          </w:p>
        </w:tc>
        <w:tc>
          <w:tcPr>
            <w:tcW w:w="1535" w:type="dxa"/>
            <w:shd w:val="clear" w:color="auto" w:fill="F2F2F2" w:themeFill="background1" w:themeFillShade="F2"/>
            <w:vAlign w:val="center"/>
          </w:tcPr>
          <w:p w14:paraId="6174FA34" w14:textId="2377D745" w:rsidR="00F2702B" w:rsidRPr="009A501D" w:rsidRDefault="00F2702B" w:rsidP="00664A1D">
            <w:pPr>
              <w:spacing w:after="0"/>
              <w:jc w:val="center"/>
              <w:rPr>
                <w:rFonts w:ascii="Century Gothic" w:hAnsi="Century Gothic"/>
                <w:bCs/>
                <w:sz w:val="16"/>
                <w:szCs w:val="16"/>
              </w:rPr>
            </w:pPr>
            <w:r w:rsidRPr="009A501D">
              <w:rPr>
                <w:rFonts w:ascii="Century Gothic" w:hAnsi="Century Gothic"/>
                <w:bCs/>
                <w:sz w:val="16"/>
                <w:szCs w:val="16"/>
              </w:rPr>
              <w:t>70.6%</w:t>
            </w:r>
          </w:p>
        </w:tc>
      </w:tr>
    </w:tbl>
    <w:p w14:paraId="69354023" w14:textId="44F1FAF1" w:rsidR="00A63873" w:rsidRPr="009A501D" w:rsidRDefault="0028444E" w:rsidP="00B24633">
      <w:pPr>
        <w:spacing w:before="240"/>
        <w:jc w:val="both"/>
        <w:rPr>
          <w:rFonts w:ascii="Century Gothic" w:hAnsi="Century Gothic"/>
          <w:sz w:val="19"/>
          <w:szCs w:val="19"/>
        </w:rPr>
      </w:pPr>
      <w:r w:rsidRPr="009A501D">
        <w:rPr>
          <w:rFonts w:ascii="Century Gothic" w:hAnsi="Century Gothic"/>
          <w:sz w:val="19"/>
          <w:szCs w:val="19"/>
        </w:rPr>
        <w:t>Si bien</w:t>
      </w:r>
      <w:r w:rsidR="0081502B" w:rsidRPr="009A501D">
        <w:rPr>
          <w:rFonts w:ascii="Century Gothic" w:hAnsi="Century Gothic"/>
          <w:sz w:val="19"/>
          <w:szCs w:val="19"/>
        </w:rPr>
        <w:t xml:space="preserve"> los indicadores de pertinencia desde el punto de vista de la efectividad de la producción miden cada uso de forma separada</w:t>
      </w:r>
      <w:r w:rsidR="001B7CC4" w:rsidRPr="009A501D">
        <w:rPr>
          <w:rFonts w:ascii="Century Gothic" w:hAnsi="Century Gothic"/>
          <w:sz w:val="19"/>
          <w:szCs w:val="19"/>
        </w:rPr>
        <w:t xml:space="preserve"> (ver Anexo 1)</w:t>
      </w:r>
      <w:r w:rsidR="0081502B" w:rsidRPr="009A501D">
        <w:rPr>
          <w:rFonts w:ascii="Century Gothic" w:hAnsi="Century Gothic"/>
          <w:sz w:val="19"/>
          <w:szCs w:val="19"/>
        </w:rPr>
        <w:t xml:space="preserve">, un mismo programa </w:t>
      </w:r>
      <w:r w:rsidR="00A376BC" w:rsidRPr="009A501D">
        <w:rPr>
          <w:rFonts w:ascii="Century Gothic" w:hAnsi="Century Gothic"/>
          <w:sz w:val="19"/>
          <w:szCs w:val="19"/>
        </w:rPr>
        <w:t>o proceso</w:t>
      </w:r>
      <w:r w:rsidR="0081502B" w:rsidRPr="009A501D">
        <w:rPr>
          <w:rFonts w:ascii="Century Gothic" w:hAnsi="Century Gothic"/>
          <w:sz w:val="19"/>
          <w:szCs w:val="19"/>
        </w:rPr>
        <w:t xml:space="preserve"> puede ser insumo para </w:t>
      </w:r>
      <w:r w:rsidR="00401335" w:rsidRPr="009A501D">
        <w:rPr>
          <w:rFonts w:ascii="Century Gothic" w:hAnsi="Century Gothic"/>
          <w:sz w:val="19"/>
          <w:szCs w:val="19"/>
        </w:rPr>
        <w:t xml:space="preserve">más de un </w:t>
      </w:r>
      <w:r w:rsidR="0081502B" w:rsidRPr="009A501D">
        <w:rPr>
          <w:rFonts w:ascii="Century Gothic" w:hAnsi="Century Gothic"/>
          <w:sz w:val="19"/>
          <w:szCs w:val="19"/>
        </w:rPr>
        <w:t>uso, por lo que resulta útil analizar el porcentaje acumulado</w:t>
      </w:r>
      <w:r w:rsidR="00C65918" w:rsidRPr="009A501D">
        <w:rPr>
          <w:rFonts w:ascii="Century Gothic" w:hAnsi="Century Gothic"/>
          <w:sz w:val="19"/>
          <w:szCs w:val="19"/>
        </w:rPr>
        <w:t xml:space="preserve"> </w:t>
      </w:r>
      <w:r w:rsidR="0081502B" w:rsidRPr="009A501D">
        <w:rPr>
          <w:rFonts w:ascii="Century Gothic" w:hAnsi="Century Gothic"/>
          <w:sz w:val="19"/>
          <w:szCs w:val="19"/>
        </w:rPr>
        <w:t>del uso externo de los programas de información</w:t>
      </w:r>
      <w:r w:rsidR="004B0812" w:rsidRPr="009A501D">
        <w:rPr>
          <w:rFonts w:ascii="Century Gothic" w:hAnsi="Century Gothic"/>
          <w:sz w:val="19"/>
          <w:szCs w:val="19"/>
        </w:rPr>
        <w:t xml:space="preserve"> o procesos de producción</w:t>
      </w:r>
      <w:r w:rsidR="0081502B" w:rsidRPr="009A501D">
        <w:rPr>
          <w:rFonts w:ascii="Century Gothic" w:hAnsi="Century Gothic"/>
          <w:sz w:val="19"/>
          <w:szCs w:val="19"/>
        </w:rPr>
        <w:t xml:space="preserve">. En el cuadro </w:t>
      </w:r>
      <w:r w:rsidR="002E4AA4" w:rsidRPr="009A501D">
        <w:rPr>
          <w:rFonts w:ascii="Century Gothic" w:hAnsi="Century Gothic"/>
          <w:sz w:val="19"/>
          <w:szCs w:val="19"/>
        </w:rPr>
        <w:t>III.1.2.</w:t>
      </w:r>
      <w:r w:rsidR="0081502B" w:rsidRPr="009A501D">
        <w:rPr>
          <w:rFonts w:ascii="Century Gothic" w:hAnsi="Century Gothic"/>
          <w:sz w:val="19"/>
          <w:szCs w:val="19"/>
        </w:rPr>
        <w:t xml:space="preserve"> </w:t>
      </w:r>
      <w:r w:rsidR="009C30F0" w:rsidRPr="009A501D">
        <w:rPr>
          <w:rFonts w:ascii="Century Gothic" w:hAnsi="Century Gothic"/>
          <w:sz w:val="19"/>
          <w:szCs w:val="19"/>
        </w:rPr>
        <w:t>se observa</w:t>
      </w:r>
      <w:r w:rsidR="0081502B" w:rsidRPr="009A501D">
        <w:rPr>
          <w:rFonts w:ascii="Century Gothic" w:hAnsi="Century Gothic"/>
          <w:sz w:val="19"/>
          <w:szCs w:val="19"/>
        </w:rPr>
        <w:t xml:space="preserve"> que </w:t>
      </w:r>
      <w:r w:rsidR="00AC526F" w:rsidRPr="009A501D">
        <w:rPr>
          <w:rFonts w:ascii="Century Gothic" w:hAnsi="Century Gothic"/>
          <w:sz w:val="19"/>
          <w:szCs w:val="19"/>
        </w:rPr>
        <w:t xml:space="preserve">el 42% de los programas de información </w:t>
      </w:r>
      <w:r w:rsidR="004B0812" w:rsidRPr="009A501D">
        <w:rPr>
          <w:rFonts w:ascii="Century Gothic" w:hAnsi="Century Gothic"/>
          <w:sz w:val="19"/>
          <w:szCs w:val="19"/>
        </w:rPr>
        <w:t>o procesos de producción</w:t>
      </w:r>
      <w:r w:rsidR="00AC526F" w:rsidRPr="009A501D">
        <w:rPr>
          <w:rFonts w:ascii="Century Gothic" w:hAnsi="Century Gothic"/>
          <w:sz w:val="19"/>
          <w:szCs w:val="19"/>
        </w:rPr>
        <w:t xml:space="preserve"> se utilizan para la atención a disposiciones lega</w:t>
      </w:r>
      <w:r w:rsidR="00401335" w:rsidRPr="009A501D">
        <w:rPr>
          <w:rFonts w:ascii="Century Gothic" w:hAnsi="Century Gothic"/>
          <w:sz w:val="19"/>
          <w:szCs w:val="19"/>
        </w:rPr>
        <w:t>l</w:t>
      </w:r>
      <w:r w:rsidR="00AC526F" w:rsidRPr="009A501D">
        <w:rPr>
          <w:rFonts w:ascii="Century Gothic" w:hAnsi="Century Gothic"/>
          <w:sz w:val="19"/>
          <w:szCs w:val="19"/>
        </w:rPr>
        <w:t>es</w:t>
      </w:r>
      <w:r w:rsidR="00401335" w:rsidRPr="009A501D">
        <w:rPr>
          <w:rFonts w:ascii="Century Gothic" w:hAnsi="Century Gothic"/>
          <w:sz w:val="19"/>
          <w:szCs w:val="19"/>
        </w:rPr>
        <w:t>,</w:t>
      </w:r>
      <w:r w:rsidR="00AC526F" w:rsidRPr="009A501D">
        <w:rPr>
          <w:rFonts w:ascii="Century Gothic" w:hAnsi="Century Gothic"/>
          <w:sz w:val="19"/>
          <w:szCs w:val="19"/>
        </w:rPr>
        <w:t xml:space="preserve"> </w:t>
      </w:r>
      <w:r w:rsidR="00B24633" w:rsidRPr="009A501D">
        <w:rPr>
          <w:rFonts w:ascii="Century Gothic" w:hAnsi="Century Gothic"/>
          <w:sz w:val="19"/>
          <w:szCs w:val="19"/>
        </w:rPr>
        <w:t xml:space="preserve">en tanto que </w:t>
      </w:r>
      <w:r w:rsidR="00401335" w:rsidRPr="009A501D">
        <w:rPr>
          <w:rFonts w:ascii="Century Gothic" w:hAnsi="Century Gothic"/>
          <w:sz w:val="19"/>
          <w:szCs w:val="19"/>
        </w:rPr>
        <w:t>el uso para indicadores de los ODS</w:t>
      </w:r>
      <w:r w:rsidR="00AC526F" w:rsidRPr="009A501D">
        <w:rPr>
          <w:rFonts w:ascii="Century Gothic" w:hAnsi="Century Gothic"/>
          <w:sz w:val="19"/>
          <w:szCs w:val="19"/>
        </w:rPr>
        <w:t xml:space="preserve"> alcanza </w:t>
      </w:r>
      <w:r w:rsidR="000667A8" w:rsidRPr="009A501D">
        <w:rPr>
          <w:rFonts w:ascii="Century Gothic" w:hAnsi="Century Gothic"/>
          <w:sz w:val="19"/>
          <w:szCs w:val="19"/>
        </w:rPr>
        <w:t>el</w:t>
      </w:r>
      <w:r w:rsidR="00AC526F" w:rsidRPr="009A501D">
        <w:rPr>
          <w:rFonts w:ascii="Century Gothic" w:hAnsi="Century Gothic"/>
          <w:sz w:val="19"/>
          <w:szCs w:val="19"/>
        </w:rPr>
        <w:t xml:space="preserve"> 69%.</w:t>
      </w:r>
    </w:p>
    <w:p w14:paraId="3AEA7148" w14:textId="77777777" w:rsidR="005C2104" w:rsidRPr="009A501D" w:rsidRDefault="002E4AA4" w:rsidP="00664A1D">
      <w:pPr>
        <w:spacing w:before="240"/>
        <w:jc w:val="center"/>
        <w:rPr>
          <w:rFonts w:ascii="Century Gothic" w:hAnsi="Century Gothic"/>
          <w:sz w:val="19"/>
          <w:szCs w:val="19"/>
        </w:rPr>
      </w:pPr>
      <w:r w:rsidRPr="009A501D">
        <w:rPr>
          <w:rFonts w:ascii="Century Gothic" w:hAnsi="Century Gothic"/>
          <w:b/>
          <w:sz w:val="19"/>
          <w:szCs w:val="19"/>
        </w:rPr>
        <w:t>III.1.2</w:t>
      </w:r>
      <w:r w:rsidR="000F019A" w:rsidRPr="009A501D">
        <w:rPr>
          <w:rFonts w:ascii="Century Gothic" w:hAnsi="Century Gothic"/>
          <w:b/>
          <w:sz w:val="19"/>
          <w:szCs w:val="19"/>
        </w:rPr>
        <w:t xml:space="preserve">. </w:t>
      </w:r>
      <w:r w:rsidR="007A4F36" w:rsidRPr="009A501D">
        <w:rPr>
          <w:rFonts w:ascii="Century Gothic" w:hAnsi="Century Gothic"/>
          <w:b/>
          <w:sz w:val="19"/>
          <w:szCs w:val="19"/>
        </w:rPr>
        <w:t>Porcentaje de p</w:t>
      </w:r>
      <w:r w:rsidR="005C2104" w:rsidRPr="009A501D">
        <w:rPr>
          <w:rFonts w:ascii="Century Gothic" w:hAnsi="Century Gothic"/>
          <w:b/>
          <w:sz w:val="19"/>
          <w:szCs w:val="19"/>
        </w:rPr>
        <w:t>rogramas con uso externo</w:t>
      </w:r>
    </w:p>
    <w:tbl>
      <w:tblPr>
        <w:tblW w:w="9240" w:type="dxa"/>
        <w:jc w:val="center"/>
        <w:tblCellMar>
          <w:left w:w="70" w:type="dxa"/>
          <w:right w:w="70" w:type="dxa"/>
        </w:tblCellMar>
        <w:tblLook w:val="04A0" w:firstRow="1" w:lastRow="0" w:firstColumn="1" w:lastColumn="0" w:noHBand="0" w:noVBand="1"/>
      </w:tblPr>
      <w:tblGrid>
        <w:gridCol w:w="2474"/>
        <w:gridCol w:w="3158"/>
        <w:gridCol w:w="514"/>
        <w:gridCol w:w="442"/>
        <w:gridCol w:w="442"/>
        <w:gridCol w:w="442"/>
        <w:gridCol w:w="442"/>
        <w:gridCol w:w="442"/>
        <w:gridCol w:w="442"/>
        <w:gridCol w:w="442"/>
      </w:tblGrid>
      <w:tr w:rsidR="00AC526F" w:rsidRPr="009A501D" w14:paraId="0510CB48" w14:textId="77777777" w:rsidTr="00F062A3">
        <w:trPr>
          <w:trHeight w:val="20"/>
          <w:jc w:val="center"/>
        </w:trPr>
        <w:tc>
          <w:tcPr>
            <w:tcW w:w="9240" w:type="dxa"/>
            <w:gridSpan w:val="10"/>
            <w:tcBorders>
              <w:top w:val="nil"/>
              <w:left w:val="single" w:sz="8" w:space="0" w:color="FFFFFF"/>
              <w:bottom w:val="single" w:sz="8" w:space="0" w:color="FFFFFF"/>
              <w:right w:val="nil"/>
            </w:tcBorders>
            <w:shd w:val="clear" w:color="auto" w:fill="002060"/>
            <w:vAlign w:val="center"/>
            <w:hideMark/>
          </w:tcPr>
          <w:p w14:paraId="3370AFB0" w14:textId="77777777" w:rsidR="00AC526F" w:rsidRPr="009A501D" w:rsidRDefault="00AC526F" w:rsidP="00A455C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Porcentaje de programas de información del INEGI por tipo de uso</w:t>
            </w:r>
          </w:p>
        </w:tc>
      </w:tr>
      <w:tr w:rsidR="00AC526F" w:rsidRPr="009A501D" w14:paraId="698B6F81" w14:textId="77777777" w:rsidTr="00F062A3">
        <w:trPr>
          <w:trHeight w:val="20"/>
          <w:jc w:val="center"/>
        </w:trPr>
        <w:tc>
          <w:tcPr>
            <w:tcW w:w="5632" w:type="dxa"/>
            <w:gridSpan w:val="2"/>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7053428C" w14:textId="77777777" w:rsidR="00AC526F" w:rsidRPr="009A501D" w:rsidRDefault="00AC526F" w:rsidP="00A455C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Tipo de uso</w:t>
            </w:r>
          </w:p>
        </w:tc>
        <w:tc>
          <w:tcPr>
            <w:tcW w:w="3608" w:type="dxa"/>
            <w:gridSpan w:val="8"/>
            <w:tcBorders>
              <w:top w:val="single" w:sz="8" w:space="0" w:color="FFFFFF"/>
              <w:left w:val="nil"/>
              <w:bottom w:val="single" w:sz="8" w:space="0" w:color="FFFFFF"/>
              <w:right w:val="single" w:sz="8" w:space="0" w:color="FFFFFF"/>
            </w:tcBorders>
            <w:shd w:val="clear" w:color="auto" w:fill="002060"/>
            <w:vAlign w:val="center"/>
            <w:hideMark/>
          </w:tcPr>
          <w:p w14:paraId="452CFA4F" w14:textId="77777777" w:rsidR="00AC526F" w:rsidRPr="009A501D" w:rsidRDefault="00AC526F" w:rsidP="00A455C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Porcentaje acumulado</w:t>
            </w:r>
          </w:p>
        </w:tc>
      </w:tr>
      <w:tr w:rsidR="00253B61" w:rsidRPr="009A501D" w14:paraId="7780920A" w14:textId="77777777" w:rsidTr="00253B61">
        <w:trPr>
          <w:trHeight w:val="20"/>
          <w:jc w:val="center"/>
        </w:trPr>
        <w:tc>
          <w:tcPr>
            <w:tcW w:w="2474" w:type="dxa"/>
            <w:vMerge w:val="restart"/>
            <w:tcBorders>
              <w:top w:val="nil"/>
              <w:left w:val="single" w:sz="8" w:space="0" w:color="FFFFFF"/>
              <w:bottom w:val="single" w:sz="8" w:space="0" w:color="FFFFFF"/>
              <w:right w:val="nil"/>
            </w:tcBorders>
            <w:shd w:val="clear" w:color="auto" w:fill="F2F2F2" w:themeFill="background1" w:themeFillShade="F2"/>
            <w:vAlign w:val="center"/>
            <w:hideMark/>
          </w:tcPr>
          <w:p w14:paraId="25419AA8"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Atención a disposiciones legales</w:t>
            </w:r>
          </w:p>
        </w:tc>
        <w:tc>
          <w:tcPr>
            <w:tcW w:w="3158" w:type="dxa"/>
            <w:tcBorders>
              <w:top w:val="nil"/>
              <w:left w:val="nil"/>
              <w:bottom w:val="single" w:sz="8" w:space="0" w:color="FFFFFF"/>
              <w:right w:val="nil"/>
            </w:tcBorders>
            <w:shd w:val="clear" w:color="auto" w:fill="F2F2F2" w:themeFill="background1" w:themeFillShade="F2"/>
            <w:noWrap/>
            <w:vAlign w:val="center"/>
            <w:hideMark/>
          </w:tcPr>
          <w:p w14:paraId="60D6DCFF"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Constitución y leyes</w:t>
            </w:r>
          </w:p>
        </w:tc>
        <w:tc>
          <w:tcPr>
            <w:tcW w:w="514" w:type="dxa"/>
            <w:tcBorders>
              <w:top w:val="nil"/>
              <w:left w:val="single" w:sz="8" w:space="0" w:color="FFFFFF"/>
              <w:bottom w:val="single" w:sz="8" w:space="0" w:color="FFFFFF"/>
              <w:right w:val="single" w:sz="8" w:space="0" w:color="FFFFFF"/>
            </w:tcBorders>
            <w:shd w:val="clear" w:color="auto" w:fill="F2F2F2" w:themeFill="background1" w:themeFillShade="F2"/>
            <w:noWrap/>
            <w:vAlign w:val="bottom"/>
            <w:hideMark/>
          </w:tcPr>
          <w:p w14:paraId="2DE904CB" w14:textId="77777777" w:rsidR="00AC526F" w:rsidRPr="009A501D" w:rsidRDefault="00AC526F" w:rsidP="00A455C6">
            <w:pPr>
              <w:spacing w:after="0" w:line="240" w:lineRule="auto"/>
              <w:jc w:val="right"/>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39%</w:t>
            </w:r>
          </w:p>
        </w:tc>
        <w:tc>
          <w:tcPr>
            <w:tcW w:w="442" w:type="dxa"/>
            <w:vMerge w:val="restart"/>
            <w:tcBorders>
              <w:top w:val="nil"/>
              <w:left w:val="single" w:sz="8" w:space="0" w:color="FFFFFF"/>
              <w:bottom w:val="single" w:sz="8" w:space="0" w:color="FFFFFF"/>
              <w:right w:val="nil"/>
            </w:tcBorders>
            <w:shd w:val="clear" w:color="auto" w:fill="F2F2F2" w:themeFill="background1" w:themeFillShade="F2"/>
            <w:noWrap/>
            <w:vAlign w:val="center"/>
            <w:hideMark/>
          </w:tcPr>
          <w:p w14:paraId="5F69B7A3"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42%</w:t>
            </w:r>
          </w:p>
        </w:tc>
        <w:tc>
          <w:tcPr>
            <w:tcW w:w="442" w:type="dxa"/>
            <w:vMerge w:val="restart"/>
            <w:tcBorders>
              <w:top w:val="nil"/>
              <w:left w:val="single" w:sz="8" w:space="0" w:color="FFFFFF"/>
              <w:bottom w:val="single" w:sz="8" w:space="0" w:color="FFFFFF"/>
              <w:right w:val="nil"/>
            </w:tcBorders>
            <w:shd w:val="clear" w:color="auto" w:fill="D9D9D9" w:themeFill="background1" w:themeFillShade="D9"/>
            <w:noWrap/>
            <w:vAlign w:val="center"/>
            <w:hideMark/>
          </w:tcPr>
          <w:p w14:paraId="75B6C486"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59%</w:t>
            </w:r>
          </w:p>
        </w:tc>
        <w:tc>
          <w:tcPr>
            <w:tcW w:w="442" w:type="dxa"/>
            <w:vMerge w:val="restart"/>
            <w:tcBorders>
              <w:top w:val="nil"/>
              <w:left w:val="single" w:sz="8" w:space="0" w:color="FFFFFF"/>
              <w:bottom w:val="single" w:sz="8" w:space="0" w:color="FFFFFF"/>
              <w:right w:val="nil"/>
            </w:tcBorders>
            <w:shd w:val="clear" w:color="auto" w:fill="D9D9D9" w:themeFill="background1" w:themeFillShade="D9"/>
            <w:noWrap/>
            <w:vAlign w:val="center"/>
            <w:hideMark/>
          </w:tcPr>
          <w:p w14:paraId="7F9E407D"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60%</w:t>
            </w:r>
          </w:p>
        </w:tc>
        <w:tc>
          <w:tcPr>
            <w:tcW w:w="442" w:type="dxa"/>
            <w:vMerge w:val="restart"/>
            <w:tcBorders>
              <w:top w:val="nil"/>
              <w:left w:val="single" w:sz="8" w:space="0" w:color="FFFFFF"/>
              <w:bottom w:val="single" w:sz="8" w:space="0" w:color="FFFFFF"/>
              <w:right w:val="nil"/>
            </w:tcBorders>
            <w:shd w:val="clear" w:color="auto" w:fill="D9D9D9" w:themeFill="background1" w:themeFillShade="D9"/>
            <w:noWrap/>
            <w:vAlign w:val="center"/>
            <w:hideMark/>
          </w:tcPr>
          <w:p w14:paraId="751CE654"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69%</w:t>
            </w:r>
          </w:p>
        </w:tc>
        <w:tc>
          <w:tcPr>
            <w:tcW w:w="442" w:type="dxa"/>
            <w:vMerge w:val="restart"/>
            <w:tcBorders>
              <w:top w:val="nil"/>
              <w:left w:val="single" w:sz="8" w:space="0" w:color="FFFFFF"/>
              <w:bottom w:val="single" w:sz="8" w:space="0" w:color="FFFFFF"/>
              <w:right w:val="nil"/>
            </w:tcBorders>
            <w:shd w:val="clear" w:color="auto" w:fill="D9D9D9" w:themeFill="background1" w:themeFillShade="D9"/>
            <w:noWrap/>
            <w:vAlign w:val="center"/>
            <w:hideMark/>
          </w:tcPr>
          <w:p w14:paraId="70BD2C82"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87%</w:t>
            </w:r>
          </w:p>
        </w:tc>
        <w:tc>
          <w:tcPr>
            <w:tcW w:w="442" w:type="dxa"/>
            <w:vMerge w:val="restart"/>
            <w:tcBorders>
              <w:top w:val="nil"/>
              <w:left w:val="single" w:sz="8" w:space="0" w:color="FFFFFF"/>
              <w:bottom w:val="single" w:sz="8" w:space="0" w:color="FFFFFF"/>
              <w:right w:val="nil"/>
            </w:tcBorders>
            <w:shd w:val="clear" w:color="auto" w:fill="DEEAF6" w:themeFill="accent1" w:themeFillTint="33"/>
            <w:noWrap/>
            <w:vAlign w:val="center"/>
            <w:hideMark/>
          </w:tcPr>
          <w:p w14:paraId="24616B25"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91%</w:t>
            </w:r>
          </w:p>
        </w:tc>
        <w:tc>
          <w:tcPr>
            <w:tcW w:w="442" w:type="dxa"/>
            <w:vMerge w:val="restart"/>
            <w:tcBorders>
              <w:top w:val="nil"/>
              <w:left w:val="single" w:sz="8" w:space="0" w:color="FFFFFF"/>
              <w:bottom w:val="single" w:sz="8" w:space="0" w:color="FFFFFF"/>
              <w:right w:val="single" w:sz="8" w:space="0" w:color="FFFFFF"/>
            </w:tcBorders>
            <w:shd w:val="clear" w:color="auto" w:fill="DEEAF6" w:themeFill="accent1" w:themeFillTint="33"/>
            <w:noWrap/>
            <w:vAlign w:val="center"/>
            <w:hideMark/>
          </w:tcPr>
          <w:p w14:paraId="48581DEB"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97%</w:t>
            </w:r>
          </w:p>
        </w:tc>
      </w:tr>
      <w:tr w:rsidR="00C47A98" w:rsidRPr="009A501D" w14:paraId="1D039BC1" w14:textId="77777777" w:rsidTr="00253B61">
        <w:trPr>
          <w:trHeight w:val="20"/>
          <w:jc w:val="center"/>
        </w:trPr>
        <w:tc>
          <w:tcPr>
            <w:tcW w:w="2474" w:type="dxa"/>
            <w:vMerge/>
            <w:tcBorders>
              <w:top w:val="nil"/>
              <w:left w:val="single" w:sz="8" w:space="0" w:color="FFFFFF"/>
              <w:bottom w:val="single" w:sz="8" w:space="0" w:color="FFFFFF"/>
              <w:right w:val="nil"/>
            </w:tcBorders>
            <w:vAlign w:val="center"/>
            <w:hideMark/>
          </w:tcPr>
          <w:p w14:paraId="1A6F8963"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p>
        </w:tc>
        <w:tc>
          <w:tcPr>
            <w:tcW w:w="3158" w:type="dxa"/>
            <w:tcBorders>
              <w:top w:val="nil"/>
              <w:left w:val="nil"/>
              <w:bottom w:val="single" w:sz="8" w:space="0" w:color="FFFFFF"/>
              <w:right w:val="nil"/>
            </w:tcBorders>
            <w:shd w:val="clear" w:color="auto" w:fill="F2F2F2" w:themeFill="background1" w:themeFillShade="F2"/>
            <w:noWrap/>
            <w:vAlign w:val="center"/>
            <w:hideMark/>
          </w:tcPr>
          <w:p w14:paraId="43F66944"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Tratados Internacionales</w:t>
            </w:r>
          </w:p>
        </w:tc>
        <w:tc>
          <w:tcPr>
            <w:tcW w:w="514" w:type="dxa"/>
            <w:tcBorders>
              <w:top w:val="nil"/>
              <w:left w:val="nil"/>
              <w:bottom w:val="single" w:sz="8" w:space="0" w:color="FFFFFF"/>
              <w:right w:val="nil"/>
            </w:tcBorders>
            <w:shd w:val="clear" w:color="auto" w:fill="F2F2F2" w:themeFill="background1" w:themeFillShade="F2"/>
            <w:noWrap/>
            <w:vAlign w:val="bottom"/>
            <w:hideMark/>
          </w:tcPr>
          <w:p w14:paraId="5F31286C"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shd w:val="clear" w:color="auto" w:fill="F2F2F2" w:themeFill="background1" w:themeFillShade="F2"/>
            <w:vAlign w:val="center"/>
            <w:hideMark/>
          </w:tcPr>
          <w:p w14:paraId="7BE8A573"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2720346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1986FE34"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6AD2DFDD"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36E30C5C"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3F5DEEA1"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shd w:val="clear" w:color="auto" w:fill="DEEAF6" w:themeFill="accent1" w:themeFillTint="33"/>
            <w:vAlign w:val="center"/>
            <w:hideMark/>
          </w:tcPr>
          <w:p w14:paraId="11985BBA"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C47A98" w:rsidRPr="009A501D" w14:paraId="1CD4E045" w14:textId="77777777" w:rsidTr="00253B61">
        <w:trPr>
          <w:trHeight w:val="20"/>
          <w:jc w:val="center"/>
        </w:trPr>
        <w:tc>
          <w:tcPr>
            <w:tcW w:w="2474" w:type="dxa"/>
            <w:vMerge w:val="restart"/>
            <w:tcBorders>
              <w:top w:val="nil"/>
              <w:left w:val="single" w:sz="8" w:space="0" w:color="FFFFFF"/>
              <w:bottom w:val="single" w:sz="8" w:space="0" w:color="FFFFFF"/>
              <w:right w:val="nil"/>
            </w:tcBorders>
            <w:shd w:val="clear" w:color="auto" w:fill="D9D9D9" w:themeFill="background1" w:themeFillShade="D9"/>
            <w:vAlign w:val="center"/>
            <w:hideMark/>
          </w:tcPr>
          <w:p w14:paraId="2E7B02E5"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Uso en la medición del desarrollo nacional</w:t>
            </w:r>
          </w:p>
        </w:tc>
        <w:tc>
          <w:tcPr>
            <w:tcW w:w="3672" w:type="dxa"/>
            <w:gridSpan w:val="2"/>
            <w:tcBorders>
              <w:top w:val="single" w:sz="8" w:space="0" w:color="FFFFFF"/>
              <w:left w:val="nil"/>
              <w:bottom w:val="single" w:sz="8" w:space="0" w:color="FFFFFF"/>
              <w:right w:val="nil"/>
            </w:tcBorders>
            <w:shd w:val="clear" w:color="auto" w:fill="D9D9D9" w:themeFill="background1" w:themeFillShade="D9"/>
            <w:noWrap/>
            <w:vAlign w:val="center"/>
            <w:hideMark/>
          </w:tcPr>
          <w:p w14:paraId="402AE57B"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Indicadores de programas derivados del PND</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48B274CD"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0137C381"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5353D5F9"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52448E72"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2B197A51"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0B76332C"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shd w:val="clear" w:color="auto" w:fill="DEEAF6" w:themeFill="accent1" w:themeFillTint="33"/>
            <w:vAlign w:val="center"/>
            <w:hideMark/>
          </w:tcPr>
          <w:p w14:paraId="5095C5D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C47A98" w:rsidRPr="009A501D" w14:paraId="6130F42C" w14:textId="77777777" w:rsidTr="00253B61">
        <w:trPr>
          <w:trHeight w:val="20"/>
          <w:jc w:val="center"/>
        </w:trPr>
        <w:tc>
          <w:tcPr>
            <w:tcW w:w="2474"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2DAC6BE4"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p>
        </w:tc>
        <w:tc>
          <w:tcPr>
            <w:tcW w:w="3158" w:type="dxa"/>
            <w:tcBorders>
              <w:top w:val="nil"/>
              <w:left w:val="nil"/>
              <w:bottom w:val="single" w:sz="8" w:space="0" w:color="FFFFFF"/>
              <w:right w:val="nil"/>
            </w:tcBorders>
            <w:shd w:val="clear" w:color="auto" w:fill="D9D9D9" w:themeFill="background1" w:themeFillShade="D9"/>
            <w:noWrap/>
            <w:vAlign w:val="center"/>
            <w:hideMark/>
          </w:tcPr>
          <w:p w14:paraId="4AB3E5D7"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Indicadores Clave</w:t>
            </w:r>
          </w:p>
        </w:tc>
        <w:tc>
          <w:tcPr>
            <w:tcW w:w="514" w:type="dxa"/>
            <w:tcBorders>
              <w:top w:val="nil"/>
              <w:left w:val="nil"/>
              <w:bottom w:val="single" w:sz="8" w:space="0" w:color="FFFFFF"/>
              <w:right w:val="nil"/>
            </w:tcBorders>
            <w:shd w:val="clear" w:color="auto" w:fill="D9D9D9" w:themeFill="background1" w:themeFillShade="D9"/>
            <w:noWrap/>
            <w:vAlign w:val="bottom"/>
            <w:hideMark/>
          </w:tcPr>
          <w:p w14:paraId="7285450A"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7DB68BF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5F245BF8"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10E91FD3"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5A769640"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126F02B9"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47C83525"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shd w:val="clear" w:color="auto" w:fill="DEEAF6" w:themeFill="accent1" w:themeFillTint="33"/>
            <w:vAlign w:val="center"/>
            <w:hideMark/>
          </w:tcPr>
          <w:p w14:paraId="66ABA049"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C47A98" w:rsidRPr="009A501D" w14:paraId="42F1736A" w14:textId="77777777" w:rsidTr="00253B61">
        <w:trPr>
          <w:trHeight w:val="20"/>
          <w:jc w:val="center"/>
        </w:trPr>
        <w:tc>
          <w:tcPr>
            <w:tcW w:w="2474"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2E142C27"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p>
        </w:tc>
        <w:tc>
          <w:tcPr>
            <w:tcW w:w="3158" w:type="dxa"/>
            <w:tcBorders>
              <w:top w:val="nil"/>
              <w:left w:val="nil"/>
              <w:bottom w:val="single" w:sz="8" w:space="0" w:color="FFFFFF"/>
              <w:right w:val="nil"/>
            </w:tcBorders>
            <w:shd w:val="clear" w:color="auto" w:fill="D9D9D9" w:themeFill="background1" w:themeFillShade="D9"/>
            <w:noWrap/>
            <w:vAlign w:val="center"/>
            <w:hideMark/>
          </w:tcPr>
          <w:p w14:paraId="56EEAAC9"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Indicadores de los ODS</w:t>
            </w:r>
          </w:p>
        </w:tc>
        <w:tc>
          <w:tcPr>
            <w:tcW w:w="514" w:type="dxa"/>
            <w:tcBorders>
              <w:top w:val="nil"/>
              <w:left w:val="nil"/>
              <w:bottom w:val="single" w:sz="8" w:space="0" w:color="FFFFFF"/>
              <w:right w:val="nil"/>
            </w:tcBorders>
            <w:shd w:val="clear" w:color="auto" w:fill="D9D9D9" w:themeFill="background1" w:themeFillShade="D9"/>
            <w:noWrap/>
            <w:vAlign w:val="bottom"/>
            <w:hideMark/>
          </w:tcPr>
          <w:p w14:paraId="1D1AB9F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255CDD2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769CB8EB"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756EFF7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3E4B47E1"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vAlign w:val="center"/>
            <w:hideMark/>
          </w:tcPr>
          <w:p w14:paraId="69115FD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5A97E5B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shd w:val="clear" w:color="auto" w:fill="DEEAF6" w:themeFill="accent1" w:themeFillTint="33"/>
            <w:vAlign w:val="center"/>
            <w:hideMark/>
          </w:tcPr>
          <w:p w14:paraId="1055B445"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C47A98" w:rsidRPr="009A501D" w14:paraId="3D61D695" w14:textId="77777777" w:rsidTr="00253B61">
        <w:trPr>
          <w:trHeight w:val="20"/>
          <w:jc w:val="center"/>
        </w:trPr>
        <w:tc>
          <w:tcPr>
            <w:tcW w:w="2474" w:type="dxa"/>
            <w:vMerge/>
            <w:tcBorders>
              <w:top w:val="nil"/>
              <w:left w:val="single" w:sz="8" w:space="0" w:color="FFFFFF"/>
              <w:bottom w:val="single" w:sz="8" w:space="0" w:color="FFFFFF"/>
              <w:right w:val="nil"/>
            </w:tcBorders>
            <w:shd w:val="clear" w:color="auto" w:fill="D9D9D9" w:themeFill="background1" w:themeFillShade="D9"/>
            <w:vAlign w:val="center"/>
            <w:hideMark/>
          </w:tcPr>
          <w:p w14:paraId="43E573C3"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p>
        </w:tc>
        <w:tc>
          <w:tcPr>
            <w:tcW w:w="3158" w:type="dxa"/>
            <w:tcBorders>
              <w:top w:val="nil"/>
              <w:left w:val="nil"/>
              <w:bottom w:val="single" w:sz="8" w:space="0" w:color="FFFFFF"/>
              <w:right w:val="nil"/>
            </w:tcBorders>
            <w:shd w:val="clear" w:color="auto" w:fill="D9D9D9" w:themeFill="background1" w:themeFillShade="D9"/>
            <w:noWrap/>
            <w:vAlign w:val="center"/>
            <w:hideMark/>
          </w:tcPr>
          <w:p w14:paraId="5496D9E7"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Metas genéricas del PND</w:t>
            </w:r>
          </w:p>
        </w:tc>
        <w:tc>
          <w:tcPr>
            <w:tcW w:w="514" w:type="dxa"/>
            <w:tcBorders>
              <w:top w:val="nil"/>
              <w:left w:val="nil"/>
              <w:bottom w:val="single" w:sz="8" w:space="0" w:color="FFFFFF"/>
              <w:right w:val="nil"/>
            </w:tcBorders>
            <w:shd w:val="clear" w:color="auto" w:fill="D9D9D9" w:themeFill="background1" w:themeFillShade="D9"/>
            <w:noWrap/>
            <w:vAlign w:val="bottom"/>
            <w:hideMark/>
          </w:tcPr>
          <w:p w14:paraId="3A32597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38A02A2A"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737E5C9B"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51B38DDC"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9D9D9" w:themeFill="background1" w:themeFillShade="D9"/>
            <w:noWrap/>
            <w:vAlign w:val="center"/>
            <w:hideMark/>
          </w:tcPr>
          <w:p w14:paraId="70560BF5"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vAlign w:val="center"/>
            <w:hideMark/>
          </w:tcPr>
          <w:p w14:paraId="3015AA72"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4A389561"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shd w:val="clear" w:color="auto" w:fill="DEEAF6" w:themeFill="accent1" w:themeFillTint="33"/>
            <w:vAlign w:val="center"/>
            <w:hideMark/>
          </w:tcPr>
          <w:p w14:paraId="77C78C64"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DC159D" w:rsidRPr="009A501D" w14:paraId="51482C28" w14:textId="77777777" w:rsidTr="00253B61">
        <w:trPr>
          <w:trHeight w:val="20"/>
          <w:jc w:val="center"/>
        </w:trPr>
        <w:tc>
          <w:tcPr>
            <w:tcW w:w="2474" w:type="dxa"/>
            <w:vMerge w:val="restart"/>
            <w:tcBorders>
              <w:top w:val="nil"/>
              <w:left w:val="single" w:sz="8" w:space="0" w:color="FFFFFF"/>
              <w:bottom w:val="single" w:sz="8" w:space="0" w:color="FFFFFF"/>
              <w:right w:val="nil"/>
            </w:tcBorders>
            <w:shd w:val="clear" w:color="auto" w:fill="DEEAF6" w:themeFill="accent1" w:themeFillTint="33"/>
            <w:vAlign w:val="center"/>
            <w:hideMark/>
          </w:tcPr>
          <w:p w14:paraId="6D71EE83" w14:textId="77777777" w:rsidR="00AC526F" w:rsidRPr="009A501D" w:rsidRDefault="00AC526F" w:rsidP="00A455C6">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Consultas de usuarios</w:t>
            </w:r>
          </w:p>
        </w:tc>
        <w:tc>
          <w:tcPr>
            <w:tcW w:w="5440" w:type="dxa"/>
            <w:gridSpan w:val="6"/>
            <w:tcBorders>
              <w:top w:val="single" w:sz="8" w:space="0" w:color="FFFFFF"/>
              <w:left w:val="nil"/>
              <w:bottom w:val="single" w:sz="8" w:space="0" w:color="FFFFFF"/>
              <w:right w:val="nil"/>
            </w:tcBorders>
            <w:shd w:val="clear" w:color="auto" w:fill="DEEAF6" w:themeFill="accent1" w:themeFillTint="33"/>
            <w:noWrap/>
            <w:vAlign w:val="center"/>
            <w:hideMark/>
          </w:tcPr>
          <w:p w14:paraId="46D8165E"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Laboratorio de microdatos (principalmente para investigación)</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6ADEFAD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nil"/>
            </w:tcBorders>
            <w:shd w:val="clear" w:color="auto" w:fill="DEEAF6" w:themeFill="accent1" w:themeFillTint="33"/>
            <w:vAlign w:val="center"/>
            <w:hideMark/>
          </w:tcPr>
          <w:p w14:paraId="074B3E57"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c>
          <w:tcPr>
            <w:tcW w:w="442" w:type="dxa"/>
            <w:vMerge/>
            <w:tcBorders>
              <w:top w:val="nil"/>
              <w:left w:val="single" w:sz="8" w:space="0" w:color="FFFFFF"/>
              <w:bottom w:val="single" w:sz="8" w:space="0" w:color="FFFFFF"/>
              <w:right w:val="single" w:sz="8" w:space="0" w:color="FFFFFF"/>
            </w:tcBorders>
            <w:vAlign w:val="center"/>
            <w:hideMark/>
          </w:tcPr>
          <w:p w14:paraId="6CA356DC"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r w:rsidR="00DC159D" w:rsidRPr="009A501D" w14:paraId="359F2069" w14:textId="77777777" w:rsidTr="00253B61">
        <w:trPr>
          <w:trHeight w:val="20"/>
          <w:jc w:val="center"/>
        </w:trPr>
        <w:tc>
          <w:tcPr>
            <w:tcW w:w="2474" w:type="dxa"/>
            <w:vMerge/>
            <w:tcBorders>
              <w:top w:val="nil"/>
              <w:left w:val="single" w:sz="8" w:space="0" w:color="FFFFFF"/>
              <w:bottom w:val="single" w:sz="8" w:space="0" w:color="FFFFFF"/>
              <w:right w:val="nil"/>
            </w:tcBorders>
            <w:shd w:val="clear" w:color="auto" w:fill="DEEAF6" w:themeFill="accent1" w:themeFillTint="33"/>
            <w:vAlign w:val="center"/>
            <w:hideMark/>
          </w:tcPr>
          <w:p w14:paraId="58D2ECA5" w14:textId="77777777" w:rsidR="00AC526F" w:rsidRPr="009A501D" w:rsidRDefault="00AC526F" w:rsidP="00A455C6">
            <w:pPr>
              <w:spacing w:after="0" w:line="240" w:lineRule="auto"/>
              <w:rPr>
                <w:rFonts w:ascii="Century Gothic" w:eastAsia="Times New Roman" w:hAnsi="Century Gothic" w:cs="Arial"/>
                <w:color w:val="000000"/>
                <w:sz w:val="16"/>
                <w:szCs w:val="16"/>
                <w:lang w:eastAsia="es-MX"/>
              </w:rPr>
            </w:pPr>
          </w:p>
        </w:tc>
        <w:tc>
          <w:tcPr>
            <w:tcW w:w="3672" w:type="dxa"/>
            <w:gridSpan w:val="2"/>
            <w:tcBorders>
              <w:top w:val="single" w:sz="8" w:space="0" w:color="FFFFFF"/>
              <w:left w:val="nil"/>
              <w:bottom w:val="single" w:sz="8" w:space="0" w:color="FFFFFF"/>
              <w:right w:val="nil"/>
            </w:tcBorders>
            <w:shd w:val="clear" w:color="auto" w:fill="DEEAF6" w:themeFill="accent1" w:themeFillTint="33"/>
            <w:noWrap/>
            <w:vAlign w:val="center"/>
            <w:hideMark/>
          </w:tcPr>
          <w:p w14:paraId="2ECD6849" w14:textId="4CA9EE80" w:rsidR="00AC526F" w:rsidRPr="009A501D" w:rsidRDefault="00AC526F" w:rsidP="00A455C6">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lang w:eastAsia="es-MX"/>
              </w:rPr>
              <w:t xml:space="preserve">Usuarios de la </w:t>
            </w:r>
            <w:r w:rsidR="000667A8" w:rsidRPr="009A501D">
              <w:rPr>
                <w:rFonts w:ascii="Century Gothic" w:eastAsia="Times New Roman" w:hAnsi="Century Gothic" w:cs="Arial"/>
                <w:color w:val="000000"/>
                <w:sz w:val="16"/>
                <w:szCs w:val="16"/>
                <w:lang w:eastAsia="es-MX"/>
              </w:rPr>
              <w:t>p</w:t>
            </w:r>
            <w:r w:rsidRPr="009A501D">
              <w:rPr>
                <w:rFonts w:ascii="Century Gothic" w:eastAsia="Times New Roman" w:hAnsi="Century Gothic" w:cs="Arial"/>
                <w:color w:val="000000"/>
                <w:sz w:val="16"/>
                <w:szCs w:val="16"/>
                <w:lang w:eastAsia="es-MX"/>
              </w:rPr>
              <w:t>ágina del INEGI</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1926730B"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73181B26"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7ED67CCF"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057F02B8"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74980782"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tcBorders>
              <w:top w:val="nil"/>
              <w:left w:val="nil"/>
              <w:bottom w:val="single" w:sz="8" w:space="0" w:color="FFFFFF"/>
              <w:right w:val="nil"/>
            </w:tcBorders>
            <w:shd w:val="clear" w:color="auto" w:fill="DEEAF6" w:themeFill="accent1" w:themeFillTint="33"/>
            <w:noWrap/>
            <w:vAlign w:val="center"/>
            <w:hideMark/>
          </w:tcPr>
          <w:p w14:paraId="07650F0D"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r w:rsidRPr="009A501D">
              <w:rPr>
                <w:rFonts w:ascii="Century Gothic" w:eastAsia="Times New Roman" w:hAnsi="Century Gothic" w:cs="Arial"/>
                <w:color w:val="000000"/>
                <w:sz w:val="18"/>
                <w:szCs w:val="18"/>
                <w:lang w:eastAsia="es-MX"/>
              </w:rPr>
              <w:t> </w:t>
            </w:r>
          </w:p>
        </w:tc>
        <w:tc>
          <w:tcPr>
            <w:tcW w:w="442" w:type="dxa"/>
            <w:vMerge/>
            <w:tcBorders>
              <w:top w:val="nil"/>
              <w:left w:val="single" w:sz="8" w:space="0" w:color="FFFFFF"/>
              <w:bottom w:val="single" w:sz="8" w:space="0" w:color="FFFFFF"/>
              <w:right w:val="single" w:sz="8" w:space="0" w:color="FFFFFF"/>
            </w:tcBorders>
            <w:vAlign w:val="center"/>
            <w:hideMark/>
          </w:tcPr>
          <w:p w14:paraId="4AFF0CE9" w14:textId="77777777" w:rsidR="00AC526F" w:rsidRPr="009A501D" w:rsidRDefault="00AC526F" w:rsidP="00A455C6">
            <w:pPr>
              <w:spacing w:after="0" w:line="240" w:lineRule="auto"/>
              <w:rPr>
                <w:rFonts w:ascii="Century Gothic" w:eastAsia="Times New Roman" w:hAnsi="Century Gothic" w:cs="Arial"/>
                <w:color w:val="000000"/>
                <w:sz w:val="18"/>
                <w:szCs w:val="18"/>
                <w:lang w:eastAsia="es-MX"/>
              </w:rPr>
            </w:pPr>
          </w:p>
        </w:tc>
      </w:tr>
    </w:tbl>
    <w:p w14:paraId="4CCDF4AF" w14:textId="77777777" w:rsidR="00FE05C1" w:rsidRPr="009A501D" w:rsidRDefault="0004512F" w:rsidP="00DD01CE">
      <w:pPr>
        <w:ind w:left="851" w:right="735"/>
        <w:jc w:val="both"/>
        <w:rPr>
          <w:rFonts w:ascii="Century Gothic" w:hAnsi="Century Gothic"/>
          <w:sz w:val="14"/>
          <w:szCs w:val="14"/>
        </w:rPr>
      </w:pPr>
      <w:r w:rsidRPr="009A501D">
        <w:rPr>
          <w:rFonts w:ascii="Century Gothic" w:hAnsi="Century Gothic"/>
          <w:sz w:val="14"/>
          <w:szCs w:val="14"/>
        </w:rPr>
        <w:t>No</w:t>
      </w:r>
      <w:r w:rsidR="008969E4" w:rsidRPr="009A501D">
        <w:rPr>
          <w:rFonts w:ascii="Century Gothic" w:hAnsi="Century Gothic"/>
          <w:sz w:val="14"/>
          <w:szCs w:val="14"/>
        </w:rPr>
        <w:t xml:space="preserve">ta: </w:t>
      </w:r>
      <w:r w:rsidR="009C30F0" w:rsidRPr="009A501D">
        <w:rPr>
          <w:rFonts w:ascii="Century Gothic" w:hAnsi="Century Gothic"/>
          <w:sz w:val="14"/>
          <w:szCs w:val="14"/>
        </w:rPr>
        <w:t>la suma es diferente a</w:t>
      </w:r>
      <w:r w:rsidRPr="009A501D">
        <w:rPr>
          <w:rFonts w:ascii="Century Gothic" w:hAnsi="Century Gothic"/>
          <w:sz w:val="14"/>
          <w:szCs w:val="14"/>
        </w:rPr>
        <w:t xml:space="preserve"> 100%</w:t>
      </w:r>
      <w:r w:rsidR="009C30F0" w:rsidRPr="009A501D">
        <w:rPr>
          <w:rFonts w:ascii="Century Gothic" w:hAnsi="Century Gothic"/>
          <w:sz w:val="14"/>
          <w:szCs w:val="14"/>
        </w:rPr>
        <w:t>,</w:t>
      </w:r>
      <w:r w:rsidRPr="009A501D">
        <w:rPr>
          <w:rFonts w:ascii="Century Gothic" w:hAnsi="Century Gothic"/>
          <w:sz w:val="14"/>
          <w:szCs w:val="14"/>
        </w:rPr>
        <w:t xml:space="preserve"> ya que</w:t>
      </w:r>
      <w:r w:rsidR="009C30F0" w:rsidRPr="009A501D">
        <w:rPr>
          <w:rFonts w:ascii="Century Gothic" w:hAnsi="Century Gothic"/>
          <w:sz w:val="14"/>
          <w:szCs w:val="14"/>
        </w:rPr>
        <w:t>,</w:t>
      </w:r>
      <w:r w:rsidRPr="009A501D">
        <w:rPr>
          <w:rFonts w:ascii="Century Gothic" w:hAnsi="Century Gothic"/>
          <w:sz w:val="14"/>
          <w:szCs w:val="14"/>
        </w:rPr>
        <w:t xml:space="preserve"> el programa </w:t>
      </w:r>
      <w:r w:rsidR="00AC526F" w:rsidRPr="009A501D">
        <w:rPr>
          <w:rFonts w:ascii="Century Gothic" w:hAnsi="Century Gothic"/>
          <w:sz w:val="14"/>
          <w:szCs w:val="14"/>
        </w:rPr>
        <w:t>Marco Maestro de Muestreo se utiliza sólo como insumo de otros programas</w:t>
      </w:r>
      <w:r w:rsidR="009C30F0" w:rsidRPr="009A501D">
        <w:rPr>
          <w:rFonts w:ascii="Century Gothic" w:hAnsi="Century Gothic"/>
          <w:sz w:val="14"/>
          <w:szCs w:val="14"/>
        </w:rPr>
        <w:t>. N</w:t>
      </w:r>
      <w:r w:rsidR="00AC526F" w:rsidRPr="009A501D">
        <w:rPr>
          <w:rFonts w:ascii="Century Gothic" w:hAnsi="Century Gothic"/>
          <w:sz w:val="14"/>
          <w:szCs w:val="14"/>
        </w:rPr>
        <w:t xml:space="preserve">o se identificó ningún uso </w:t>
      </w:r>
      <w:r w:rsidR="00401335" w:rsidRPr="009A501D">
        <w:rPr>
          <w:rFonts w:ascii="Century Gothic" w:hAnsi="Century Gothic"/>
          <w:sz w:val="14"/>
          <w:szCs w:val="14"/>
        </w:rPr>
        <w:t xml:space="preserve">para </w:t>
      </w:r>
      <w:r w:rsidR="00AC526F" w:rsidRPr="009A501D">
        <w:rPr>
          <w:rFonts w:ascii="Century Gothic" w:hAnsi="Century Gothic"/>
          <w:sz w:val="14"/>
          <w:szCs w:val="14"/>
        </w:rPr>
        <w:t xml:space="preserve">los </w:t>
      </w:r>
      <w:r w:rsidR="00401335" w:rsidRPr="009A501D">
        <w:rPr>
          <w:rFonts w:ascii="Century Gothic" w:hAnsi="Century Gothic"/>
          <w:sz w:val="14"/>
          <w:szCs w:val="14"/>
        </w:rPr>
        <w:t>casos</w:t>
      </w:r>
      <w:r w:rsidR="00AC526F" w:rsidRPr="009A501D">
        <w:rPr>
          <w:rFonts w:ascii="Century Gothic" w:hAnsi="Century Gothic"/>
          <w:sz w:val="14"/>
          <w:szCs w:val="14"/>
        </w:rPr>
        <w:t xml:space="preserve"> de Estimación de Características Sociodemográficas en Áreas Pequeñas y la Evaluación Cognitiva para la ENASEM</w:t>
      </w:r>
      <w:r w:rsidR="00401335" w:rsidRPr="009A501D">
        <w:rPr>
          <w:rFonts w:ascii="Century Gothic" w:hAnsi="Century Gothic"/>
          <w:sz w:val="14"/>
          <w:szCs w:val="14"/>
        </w:rPr>
        <w:t>.</w:t>
      </w:r>
    </w:p>
    <w:p w14:paraId="77594949" w14:textId="1CCF6630" w:rsidR="00CC04C8" w:rsidRPr="009A501D" w:rsidRDefault="0018318A" w:rsidP="00A57720">
      <w:pPr>
        <w:ind w:right="27"/>
        <w:jc w:val="both"/>
        <w:rPr>
          <w:rFonts w:ascii="Century Gothic" w:hAnsi="Century Gothic"/>
        </w:rPr>
      </w:pPr>
      <w:r w:rsidRPr="009A501D">
        <w:rPr>
          <w:rFonts w:ascii="Century Gothic" w:hAnsi="Century Gothic"/>
          <w:sz w:val="19"/>
          <w:szCs w:val="19"/>
        </w:rPr>
        <w:t>Cabe señalar que</w:t>
      </w:r>
      <w:r w:rsidR="00401335" w:rsidRPr="009A501D">
        <w:rPr>
          <w:rFonts w:ascii="Century Gothic" w:hAnsi="Century Gothic"/>
          <w:sz w:val="19"/>
          <w:szCs w:val="19"/>
        </w:rPr>
        <w:t>, además de alguno de los usos descritos en el cuadro III.1.2,</w:t>
      </w:r>
      <w:r w:rsidRPr="009A501D">
        <w:rPr>
          <w:rFonts w:ascii="Century Gothic" w:hAnsi="Century Gothic"/>
          <w:sz w:val="19"/>
          <w:szCs w:val="19"/>
        </w:rPr>
        <w:t xml:space="preserve"> </w:t>
      </w:r>
      <w:r w:rsidR="009C30F0" w:rsidRPr="009A501D">
        <w:rPr>
          <w:rFonts w:ascii="Century Gothic" w:hAnsi="Century Gothic"/>
          <w:sz w:val="19"/>
          <w:szCs w:val="19"/>
        </w:rPr>
        <w:t xml:space="preserve">el </w:t>
      </w:r>
      <w:r w:rsidRPr="009A501D">
        <w:rPr>
          <w:rFonts w:ascii="Century Gothic" w:hAnsi="Century Gothic"/>
          <w:sz w:val="19"/>
          <w:szCs w:val="19"/>
        </w:rPr>
        <w:t xml:space="preserve">48% de los programas de información </w:t>
      </w:r>
      <w:r w:rsidR="004A0794" w:rsidRPr="009A501D">
        <w:rPr>
          <w:rFonts w:ascii="Century Gothic" w:hAnsi="Century Gothic"/>
          <w:sz w:val="19"/>
          <w:szCs w:val="19"/>
        </w:rPr>
        <w:t>o procesos de producción</w:t>
      </w:r>
      <w:r w:rsidRPr="009A501D">
        <w:rPr>
          <w:rFonts w:ascii="Century Gothic" w:hAnsi="Century Gothic"/>
          <w:sz w:val="19"/>
          <w:szCs w:val="19"/>
        </w:rPr>
        <w:t xml:space="preserve"> </w:t>
      </w:r>
      <w:r w:rsidR="00401335" w:rsidRPr="009A501D">
        <w:rPr>
          <w:rFonts w:ascii="Century Gothic" w:hAnsi="Century Gothic"/>
          <w:sz w:val="19"/>
          <w:szCs w:val="19"/>
        </w:rPr>
        <w:t>son</w:t>
      </w:r>
      <w:r w:rsidRPr="009A501D">
        <w:rPr>
          <w:rFonts w:ascii="Century Gothic" w:hAnsi="Century Gothic"/>
          <w:sz w:val="19"/>
          <w:szCs w:val="19"/>
        </w:rPr>
        <w:t xml:space="preserve"> insumo de otros programas </w:t>
      </w:r>
      <w:r w:rsidR="004A0794" w:rsidRPr="009A501D">
        <w:rPr>
          <w:rFonts w:ascii="Century Gothic" w:hAnsi="Century Gothic"/>
          <w:sz w:val="19"/>
          <w:szCs w:val="19"/>
        </w:rPr>
        <w:t xml:space="preserve">o procesos </w:t>
      </w:r>
      <w:r w:rsidRPr="009A501D">
        <w:rPr>
          <w:rFonts w:ascii="Century Gothic" w:hAnsi="Century Gothic"/>
          <w:sz w:val="19"/>
          <w:szCs w:val="19"/>
        </w:rPr>
        <w:t>del INEGI.</w:t>
      </w:r>
    </w:p>
    <w:p w14:paraId="375D5C66" w14:textId="5656A0B0" w:rsidR="00B10749" w:rsidRPr="009A501D" w:rsidRDefault="00A76D4A" w:rsidP="00664A1D">
      <w:pPr>
        <w:pStyle w:val="Ttulo2"/>
        <w:rPr>
          <w:rFonts w:ascii="Century Gothic" w:eastAsiaTheme="minorHAnsi" w:hAnsi="Century Gothic" w:cstheme="minorBidi"/>
          <w:bCs/>
          <w:color w:val="0079BF"/>
          <w:sz w:val="24"/>
          <w:szCs w:val="24"/>
        </w:rPr>
      </w:pPr>
      <w:bookmarkStart w:id="10" w:name="_Toc131161798"/>
      <w:r w:rsidRPr="009A501D">
        <w:rPr>
          <w:rFonts w:ascii="Century Gothic" w:eastAsiaTheme="minorHAnsi" w:hAnsi="Century Gothic" w:cstheme="minorBidi"/>
          <w:bCs/>
          <w:color w:val="0079BF"/>
          <w:sz w:val="24"/>
          <w:szCs w:val="24"/>
        </w:rPr>
        <w:t xml:space="preserve">III.2. </w:t>
      </w:r>
      <w:r w:rsidR="0004252C" w:rsidRPr="009A501D">
        <w:rPr>
          <w:rFonts w:ascii="Century Gothic" w:eastAsiaTheme="minorHAnsi" w:hAnsi="Century Gothic" w:cstheme="minorBidi"/>
          <w:bCs/>
          <w:color w:val="0079BF"/>
          <w:sz w:val="24"/>
          <w:szCs w:val="24"/>
        </w:rPr>
        <w:t>Indicadores de oportunidad</w:t>
      </w:r>
      <w:bookmarkEnd w:id="10"/>
    </w:p>
    <w:p w14:paraId="5A14E79C" w14:textId="11EB2433" w:rsidR="00236335" w:rsidRPr="009A501D" w:rsidRDefault="0066047C" w:rsidP="007E0FE1">
      <w:pPr>
        <w:spacing w:before="240"/>
        <w:jc w:val="both"/>
        <w:rPr>
          <w:rFonts w:ascii="Century Gothic" w:hAnsi="Century Gothic"/>
          <w:sz w:val="19"/>
          <w:szCs w:val="19"/>
        </w:rPr>
      </w:pPr>
      <w:r w:rsidRPr="009A501D">
        <w:rPr>
          <w:rFonts w:ascii="Century Gothic" w:hAnsi="Century Gothic"/>
          <w:sz w:val="19"/>
          <w:szCs w:val="19"/>
        </w:rPr>
        <w:t xml:space="preserve">La oportunidad </w:t>
      </w:r>
      <w:r w:rsidR="00E571FD" w:rsidRPr="009A501D">
        <w:rPr>
          <w:rFonts w:ascii="Century Gothic" w:hAnsi="Century Gothic"/>
          <w:sz w:val="19"/>
          <w:szCs w:val="19"/>
        </w:rPr>
        <w:t>puede</w:t>
      </w:r>
      <w:r w:rsidRPr="009A501D">
        <w:rPr>
          <w:rFonts w:ascii="Century Gothic" w:hAnsi="Century Gothic"/>
          <w:sz w:val="19"/>
          <w:szCs w:val="19"/>
        </w:rPr>
        <w:t xml:space="preserve"> </w:t>
      </w:r>
      <w:r w:rsidR="00236335" w:rsidRPr="009A501D">
        <w:rPr>
          <w:rFonts w:ascii="Century Gothic" w:hAnsi="Century Gothic"/>
          <w:sz w:val="19"/>
          <w:szCs w:val="19"/>
        </w:rPr>
        <w:t>definirse</w:t>
      </w:r>
      <w:r w:rsidRPr="009A501D">
        <w:rPr>
          <w:rFonts w:ascii="Century Gothic" w:hAnsi="Century Gothic"/>
          <w:sz w:val="19"/>
          <w:szCs w:val="19"/>
        </w:rPr>
        <w:t xml:space="preserve"> como el tiempo transcurrido entre que la información está disponible para </w:t>
      </w:r>
      <w:r w:rsidR="00A625C7" w:rsidRPr="009A501D">
        <w:rPr>
          <w:rFonts w:ascii="Century Gothic" w:hAnsi="Century Gothic"/>
          <w:sz w:val="19"/>
          <w:szCs w:val="19"/>
        </w:rPr>
        <w:t xml:space="preserve">las </w:t>
      </w:r>
      <w:r w:rsidR="00142D42" w:rsidRPr="009A501D">
        <w:rPr>
          <w:rFonts w:ascii="Century Gothic" w:hAnsi="Century Gothic"/>
          <w:sz w:val="19"/>
          <w:szCs w:val="19"/>
        </w:rPr>
        <w:t xml:space="preserve">personas </w:t>
      </w:r>
      <w:r w:rsidRPr="009A501D">
        <w:rPr>
          <w:rFonts w:ascii="Century Gothic" w:hAnsi="Century Gothic"/>
          <w:sz w:val="19"/>
          <w:szCs w:val="19"/>
        </w:rPr>
        <w:t>usuari</w:t>
      </w:r>
      <w:r w:rsidR="00142D42" w:rsidRPr="009A501D">
        <w:rPr>
          <w:rFonts w:ascii="Century Gothic" w:hAnsi="Century Gothic"/>
          <w:sz w:val="19"/>
          <w:szCs w:val="19"/>
        </w:rPr>
        <w:t>a</w:t>
      </w:r>
      <w:r w:rsidRPr="009A501D">
        <w:rPr>
          <w:rFonts w:ascii="Century Gothic" w:hAnsi="Century Gothic"/>
          <w:sz w:val="19"/>
          <w:szCs w:val="19"/>
        </w:rPr>
        <w:t xml:space="preserve">s y </w:t>
      </w:r>
      <w:r w:rsidR="009C30F0" w:rsidRPr="009A501D">
        <w:rPr>
          <w:rFonts w:ascii="Century Gothic" w:hAnsi="Century Gothic"/>
          <w:sz w:val="19"/>
          <w:szCs w:val="19"/>
        </w:rPr>
        <w:t xml:space="preserve">la ocurrencia del </w:t>
      </w:r>
      <w:r w:rsidRPr="009A501D">
        <w:rPr>
          <w:rFonts w:ascii="Century Gothic" w:hAnsi="Century Gothic"/>
          <w:sz w:val="19"/>
          <w:szCs w:val="19"/>
        </w:rPr>
        <w:t xml:space="preserve">hecho o fenómeno que describe (período de referencia). </w:t>
      </w:r>
      <w:r w:rsidR="00696C78" w:rsidRPr="009A501D">
        <w:rPr>
          <w:rFonts w:ascii="Century Gothic" w:hAnsi="Century Gothic"/>
          <w:sz w:val="19"/>
          <w:szCs w:val="19"/>
        </w:rPr>
        <w:t>La oportunidad</w:t>
      </w:r>
      <w:r w:rsidRPr="009A501D">
        <w:rPr>
          <w:rFonts w:ascii="Century Gothic" w:hAnsi="Century Gothic"/>
          <w:sz w:val="19"/>
          <w:szCs w:val="19"/>
        </w:rPr>
        <w:t xml:space="preserve"> es una de las características que más importa a l</w:t>
      </w:r>
      <w:r w:rsidR="00236335" w:rsidRPr="009A501D">
        <w:rPr>
          <w:rFonts w:ascii="Century Gothic" w:hAnsi="Century Gothic"/>
          <w:sz w:val="19"/>
          <w:szCs w:val="19"/>
        </w:rPr>
        <w:t xml:space="preserve">as </w:t>
      </w:r>
      <w:r w:rsidR="00142D42" w:rsidRPr="009A501D">
        <w:rPr>
          <w:rFonts w:ascii="Century Gothic" w:hAnsi="Century Gothic"/>
          <w:sz w:val="19"/>
          <w:szCs w:val="19"/>
        </w:rPr>
        <w:t>personas</w:t>
      </w:r>
      <w:r w:rsidRPr="009A501D">
        <w:rPr>
          <w:rFonts w:ascii="Century Gothic" w:hAnsi="Century Gothic"/>
          <w:sz w:val="19"/>
          <w:szCs w:val="19"/>
        </w:rPr>
        <w:t xml:space="preserve"> usuari</w:t>
      </w:r>
      <w:r w:rsidR="00142D42" w:rsidRPr="009A501D">
        <w:rPr>
          <w:rFonts w:ascii="Century Gothic" w:hAnsi="Century Gothic"/>
          <w:sz w:val="19"/>
          <w:szCs w:val="19"/>
        </w:rPr>
        <w:t>a</w:t>
      </w:r>
      <w:r w:rsidRPr="009A501D">
        <w:rPr>
          <w:rFonts w:ascii="Century Gothic" w:hAnsi="Century Gothic"/>
          <w:sz w:val="19"/>
          <w:szCs w:val="19"/>
        </w:rPr>
        <w:t>s</w:t>
      </w:r>
      <w:r w:rsidR="009C30F0" w:rsidRPr="009A501D">
        <w:rPr>
          <w:rFonts w:ascii="Century Gothic" w:hAnsi="Century Gothic"/>
          <w:sz w:val="19"/>
          <w:szCs w:val="19"/>
        </w:rPr>
        <w:t>,</w:t>
      </w:r>
      <w:r w:rsidRPr="009A501D">
        <w:rPr>
          <w:rFonts w:ascii="Century Gothic" w:hAnsi="Century Gothic"/>
          <w:sz w:val="19"/>
          <w:szCs w:val="19"/>
        </w:rPr>
        <w:t xml:space="preserve"> ya que si la información que se publica está desactualizada no </w:t>
      </w:r>
      <w:r w:rsidR="00F13C42" w:rsidRPr="009A501D">
        <w:rPr>
          <w:rFonts w:ascii="Century Gothic" w:hAnsi="Century Gothic"/>
          <w:sz w:val="19"/>
          <w:szCs w:val="19"/>
        </w:rPr>
        <w:t xml:space="preserve">les </w:t>
      </w:r>
      <w:r w:rsidR="00933C0B" w:rsidRPr="009A501D">
        <w:rPr>
          <w:rFonts w:ascii="Century Gothic" w:hAnsi="Century Gothic"/>
          <w:sz w:val="19"/>
          <w:szCs w:val="19"/>
        </w:rPr>
        <w:t xml:space="preserve">será útil </w:t>
      </w:r>
      <w:r w:rsidRPr="009A501D">
        <w:rPr>
          <w:rFonts w:ascii="Century Gothic" w:hAnsi="Century Gothic"/>
          <w:sz w:val="19"/>
          <w:szCs w:val="19"/>
        </w:rPr>
        <w:t>para una adecuada toma de decisiones.</w:t>
      </w:r>
      <w:r w:rsidR="00BA45BB" w:rsidRPr="009A501D">
        <w:rPr>
          <w:rFonts w:ascii="Century Gothic" w:hAnsi="Century Gothic"/>
          <w:sz w:val="19"/>
          <w:szCs w:val="19"/>
        </w:rPr>
        <w:t xml:space="preserve"> Cada tipo de programa tiene distinto margen de tolerancia dependiendo de los usos previstos, por ejemplo</w:t>
      </w:r>
      <w:r w:rsidR="006D71B7">
        <w:rPr>
          <w:rFonts w:ascii="Century Gothic" w:hAnsi="Century Gothic"/>
          <w:sz w:val="19"/>
          <w:szCs w:val="19"/>
        </w:rPr>
        <w:t>,</w:t>
      </w:r>
      <w:r w:rsidR="00BA45BB" w:rsidRPr="009A501D">
        <w:rPr>
          <w:rFonts w:ascii="Century Gothic" w:hAnsi="Century Gothic"/>
          <w:sz w:val="19"/>
          <w:szCs w:val="19"/>
        </w:rPr>
        <w:t xml:space="preserve"> la mayoría de la información geográfica puede utilizarse por largos períodos ya que las modificaciones terrestres varían relativamente poco.</w:t>
      </w:r>
    </w:p>
    <w:p w14:paraId="1C8ECF38" w14:textId="6D09D5D3" w:rsidR="00F334D9" w:rsidRPr="009A501D" w:rsidRDefault="0066047C" w:rsidP="00664A1D">
      <w:pPr>
        <w:spacing w:before="240"/>
        <w:jc w:val="both"/>
        <w:rPr>
          <w:rFonts w:ascii="Century Gothic" w:hAnsi="Century Gothic"/>
          <w:sz w:val="19"/>
          <w:szCs w:val="19"/>
        </w:rPr>
      </w:pPr>
      <w:r w:rsidRPr="009A501D">
        <w:rPr>
          <w:rFonts w:ascii="Century Gothic" w:hAnsi="Century Gothic"/>
          <w:sz w:val="19"/>
          <w:szCs w:val="19"/>
        </w:rPr>
        <w:t>E</w:t>
      </w:r>
      <w:r w:rsidR="00933C0B" w:rsidRPr="009A501D">
        <w:rPr>
          <w:rFonts w:ascii="Century Gothic" w:hAnsi="Century Gothic"/>
          <w:sz w:val="19"/>
          <w:szCs w:val="19"/>
        </w:rPr>
        <w:t>n</w:t>
      </w:r>
      <w:r w:rsidRPr="009A501D">
        <w:rPr>
          <w:rFonts w:ascii="Century Gothic" w:hAnsi="Century Gothic"/>
          <w:sz w:val="19"/>
          <w:szCs w:val="19"/>
        </w:rPr>
        <w:t xml:space="preserve"> </w:t>
      </w:r>
      <w:r w:rsidR="00933C0B" w:rsidRPr="009A501D">
        <w:rPr>
          <w:rFonts w:ascii="Century Gothic" w:hAnsi="Century Gothic"/>
          <w:sz w:val="19"/>
          <w:szCs w:val="19"/>
        </w:rPr>
        <w:t xml:space="preserve">el contexto del </w:t>
      </w:r>
      <w:r w:rsidRPr="009A501D">
        <w:rPr>
          <w:rFonts w:ascii="Century Gothic" w:hAnsi="Century Gothic"/>
          <w:sz w:val="19"/>
          <w:szCs w:val="19"/>
        </w:rPr>
        <w:t>nuevo ecosistema de datos</w:t>
      </w:r>
      <w:r w:rsidR="00E571FD" w:rsidRPr="009A501D">
        <w:rPr>
          <w:rFonts w:ascii="Century Gothic" w:hAnsi="Century Gothic"/>
          <w:sz w:val="19"/>
          <w:szCs w:val="19"/>
        </w:rPr>
        <w:t>,</w:t>
      </w:r>
      <w:r w:rsidRPr="009A501D">
        <w:rPr>
          <w:rFonts w:ascii="Century Gothic" w:hAnsi="Century Gothic"/>
          <w:sz w:val="19"/>
          <w:szCs w:val="19"/>
        </w:rPr>
        <w:t xml:space="preserve"> </w:t>
      </w:r>
      <w:r w:rsidR="000F72D2" w:rsidRPr="009A501D">
        <w:rPr>
          <w:rFonts w:ascii="Century Gothic" w:hAnsi="Century Gothic"/>
          <w:sz w:val="19"/>
          <w:szCs w:val="19"/>
        </w:rPr>
        <w:t xml:space="preserve">en el que </w:t>
      </w:r>
      <w:r w:rsidRPr="009A501D">
        <w:rPr>
          <w:rFonts w:ascii="Century Gothic" w:hAnsi="Century Gothic"/>
          <w:sz w:val="19"/>
          <w:szCs w:val="19"/>
        </w:rPr>
        <w:t>l</w:t>
      </w:r>
      <w:r w:rsidR="00E571FD" w:rsidRPr="009A501D">
        <w:rPr>
          <w:rFonts w:ascii="Century Gothic" w:hAnsi="Century Gothic"/>
          <w:sz w:val="19"/>
          <w:szCs w:val="19"/>
        </w:rPr>
        <w:t xml:space="preserve">as personas </w:t>
      </w:r>
      <w:r w:rsidRPr="009A501D">
        <w:rPr>
          <w:rFonts w:ascii="Century Gothic" w:hAnsi="Century Gothic"/>
          <w:sz w:val="19"/>
          <w:szCs w:val="19"/>
        </w:rPr>
        <w:t>usuari</w:t>
      </w:r>
      <w:r w:rsidR="00E571FD" w:rsidRPr="009A501D">
        <w:rPr>
          <w:rFonts w:ascii="Century Gothic" w:hAnsi="Century Gothic"/>
          <w:sz w:val="19"/>
          <w:szCs w:val="19"/>
        </w:rPr>
        <w:t>a</w:t>
      </w:r>
      <w:r w:rsidRPr="009A501D">
        <w:rPr>
          <w:rFonts w:ascii="Century Gothic" w:hAnsi="Century Gothic"/>
          <w:sz w:val="19"/>
          <w:szCs w:val="19"/>
        </w:rPr>
        <w:t>s demand</w:t>
      </w:r>
      <w:r w:rsidR="00933C0B" w:rsidRPr="009A501D">
        <w:rPr>
          <w:rFonts w:ascii="Century Gothic" w:hAnsi="Century Gothic"/>
          <w:sz w:val="19"/>
          <w:szCs w:val="19"/>
        </w:rPr>
        <w:t>a</w:t>
      </w:r>
      <w:r w:rsidRPr="009A501D">
        <w:rPr>
          <w:rFonts w:ascii="Century Gothic" w:hAnsi="Century Gothic"/>
          <w:sz w:val="19"/>
          <w:szCs w:val="19"/>
        </w:rPr>
        <w:t xml:space="preserve">n información </w:t>
      </w:r>
      <w:r w:rsidR="00212B73" w:rsidRPr="009A501D">
        <w:rPr>
          <w:rFonts w:ascii="Century Gothic" w:hAnsi="Century Gothic"/>
          <w:sz w:val="19"/>
          <w:szCs w:val="19"/>
        </w:rPr>
        <w:t>casi en tiempo real</w:t>
      </w:r>
      <w:r w:rsidRPr="009A501D">
        <w:rPr>
          <w:rFonts w:ascii="Century Gothic" w:hAnsi="Century Gothic"/>
          <w:sz w:val="19"/>
          <w:szCs w:val="19"/>
        </w:rPr>
        <w:t>,</w:t>
      </w:r>
      <w:r w:rsidR="000F72D2" w:rsidRPr="009A501D">
        <w:rPr>
          <w:rFonts w:ascii="Century Gothic" w:hAnsi="Century Gothic"/>
          <w:sz w:val="19"/>
          <w:szCs w:val="19"/>
        </w:rPr>
        <w:t xml:space="preserve"> </w:t>
      </w:r>
      <w:r w:rsidRPr="009A501D">
        <w:rPr>
          <w:rFonts w:ascii="Century Gothic" w:hAnsi="Century Gothic"/>
          <w:sz w:val="19"/>
          <w:szCs w:val="19"/>
        </w:rPr>
        <w:t>l</w:t>
      </w:r>
      <w:r w:rsidR="00933C0B" w:rsidRPr="009A501D">
        <w:rPr>
          <w:rFonts w:ascii="Century Gothic" w:hAnsi="Century Gothic"/>
          <w:sz w:val="19"/>
          <w:szCs w:val="19"/>
        </w:rPr>
        <w:t>os</w:t>
      </w:r>
      <w:r w:rsidRPr="009A501D">
        <w:rPr>
          <w:rFonts w:ascii="Century Gothic" w:hAnsi="Century Gothic"/>
          <w:sz w:val="19"/>
          <w:szCs w:val="19"/>
        </w:rPr>
        <w:t xml:space="preserve"> produc</w:t>
      </w:r>
      <w:r w:rsidR="00933C0B" w:rsidRPr="009A501D">
        <w:rPr>
          <w:rFonts w:ascii="Century Gothic" w:hAnsi="Century Gothic"/>
          <w:sz w:val="19"/>
          <w:szCs w:val="19"/>
        </w:rPr>
        <w:t>tores</w:t>
      </w:r>
      <w:r w:rsidRPr="009A501D">
        <w:rPr>
          <w:rFonts w:ascii="Century Gothic" w:hAnsi="Century Gothic"/>
          <w:sz w:val="19"/>
          <w:szCs w:val="19"/>
        </w:rPr>
        <w:t xml:space="preserve"> de información</w:t>
      </w:r>
      <w:r w:rsidR="000F72D2" w:rsidRPr="009A501D">
        <w:rPr>
          <w:rFonts w:ascii="Century Gothic" w:hAnsi="Century Gothic"/>
          <w:sz w:val="19"/>
          <w:szCs w:val="19"/>
        </w:rPr>
        <w:t xml:space="preserve"> requieren mejorar la oportunidad con la que ponen </w:t>
      </w:r>
      <w:r w:rsidR="00464E12" w:rsidRPr="009A501D">
        <w:rPr>
          <w:rFonts w:ascii="Century Gothic" w:hAnsi="Century Gothic"/>
          <w:sz w:val="19"/>
          <w:szCs w:val="19"/>
        </w:rPr>
        <w:t xml:space="preserve">a disposición de </w:t>
      </w:r>
      <w:r w:rsidR="004E13AA" w:rsidRPr="009A501D">
        <w:rPr>
          <w:rFonts w:ascii="Century Gothic" w:hAnsi="Century Gothic"/>
          <w:sz w:val="19"/>
          <w:szCs w:val="19"/>
        </w:rPr>
        <w:t>é</w:t>
      </w:r>
      <w:r w:rsidR="00464E12" w:rsidRPr="009A501D">
        <w:rPr>
          <w:rFonts w:ascii="Century Gothic" w:hAnsi="Century Gothic"/>
          <w:sz w:val="19"/>
          <w:szCs w:val="19"/>
        </w:rPr>
        <w:t>st</w:t>
      </w:r>
      <w:r w:rsidR="004E13AA" w:rsidRPr="009A501D">
        <w:rPr>
          <w:rFonts w:ascii="Century Gothic" w:hAnsi="Century Gothic"/>
          <w:sz w:val="19"/>
          <w:szCs w:val="19"/>
        </w:rPr>
        <w:t>a</w:t>
      </w:r>
      <w:r w:rsidR="00464E12" w:rsidRPr="009A501D">
        <w:rPr>
          <w:rFonts w:ascii="Century Gothic" w:hAnsi="Century Gothic"/>
          <w:sz w:val="19"/>
          <w:szCs w:val="19"/>
        </w:rPr>
        <w:t xml:space="preserve">s </w:t>
      </w:r>
      <w:r w:rsidR="00F70A02" w:rsidRPr="009A501D">
        <w:rPr>
          <w:rFonts w:ascii="Century Gothic" w:hAnsi="Century Gothic"/>
          <w:sz w:val="19"/>
          <w:szCs w:val="19"/>
        </w:rPr>
        <w:t>la información</w:t>
      </w:r>
      <w:r w:rsidRPr="009A501D">
        <w:rPr>
          <w:rFonts w:ascii="Century Gothic" w:hAnsi="Century Gothic"/>
          <w:sz w:val="19"/>
          <w:szCs w:val="19"/>
        </w:rPr>
        <w:t>.</w:t>
      </w:r>
      <w:r w:rsidR="00236335" w:rsidRPr="009A501D">
        <w:rPr>
          <w:rFonts w:ascii="Century Gothic" w:hAnsi="Century Gothic"/>
          <w:sz w:val="19"/>
          <w:szCs w:val="19"/>
        </w:rPr>
        <w:t xml:space="preserve"> </w:t>
      </w:r>
      <w:bookmarkStart w:id="11" w:name="_Hlk126828649"/>
      <w:r w:rsidR="00F70A02" w:rsidRPr="009A501D">
        <w:rPr>
          <w:rFonts w:ascii="Century Gothic" w:hAnsi="Century Gothic"/>
          <w:sz w:val="19"/>
          <w:szCs w:val="19"/>
        </w:rPr>
        <w:t xml:space="preserve">Reconociendo esta circunstancia, </w:t>
      </w:r>
      <w:r w:rsidR="00E571FD" w:rsidRPr="009A501D">
        <w:rPr>
          <w:rFonts w:ascii="Century Gothic" w:hAnsi="Century Gothic"/>
          <w:sz w:val="19"/>
          <w:szCs w:val="19"/>
        </w:rPr>
        <w:t>e</w:t>
      </w:r>
      <w:r w:rsidR="00F334D9" w:rsidRPr="009A501D">
        <w:rPr>
          <w:rFonts w:ascii="Century Gothic" w:hAnsi="Century Gothic"/>
          <w:sz w:val="19"/>
          <w:szCs w:val="19"/>
        </w:rPr>
        <w:t xml:space="preserve">n 2018 </w:t>
      </w:r>
      <w:r w:rsidR="00F70A02" w:rsidRPr="009A501D">
        <w:rPr>
          <w:rFonts w:ascii="Century Gothic" w:hAnsi="Century Gothic"/>
          <w:sz w:val="19"/>
          <w:szCs w:val="19"/>
        </w:rPr>
        <w:t>el Comité aprobó</w:t>
      </w:r>
      <w:r w:rsidR="00F334D9" w:rsidRPr="009A501D">
        <w:rPr>
          <w:rFonts w:ascii="Century Gothic" w:hAnsi="Century Gothic"/>
          <w:sz w:val="19"/>
          <w:szCs w:val="19"/>
        </w:rPr>
        <w:t xml:space="preserve"> dos indicadores de oportunidad</w:t>
      </w:r>
      <w:r w:rsidR="009C30F0" w:rsidRPr="009A501D">
        <w:rPr>
          <w:rFonts w:ascii="Century Gothic" w:hAnsi="Century Gothic"/>
          <w:sz w:val="19"/>
          <w:szCs w:val="19"/>
        </w:rPr>
        <w:t xml:space="preserve"> </w:t>
      </w:r>
      <w:r w:rsidR="00BD3313" w:rsidRPr="009A501D">
        <w:rPr>
          <w:rFonts w:ascii="Century Gothic" w:hAnsi="Century Gothic"/>
          <w:sz w:val="19"/>
          <w:szCs w:val="19"/>
        </w:rPr>
        <w:t xml:space="preserve">con temporalidad anual </w:t>
      </w:r>
      <w:r w:rsidR="00F334D9" w:rsidRPr="009A501D">
        <w:rPr>
          <w:rFonts w:ascii="Century Gothic" w:hAnsi="Century Gothic"/>
          <w:sz w:val="19"/>
          <w:szCs w:val="19"/>
        </w:rPr>
        <w:t xml:space="preserve">(ver cuadro </w:t>
      </w:r>
      <w:r w:rsidR="002E4AA4" w:rsidRPr="009A501D">
        <w:rPr>
          <w:rFonts w:ascii="Century Gothic" w:hAnsi="Century Gothic"/>
          <w:sz w:val="19"/>
          <w:szCs w:val="19"/>
        </w:rPr>
        <w:t>III</w:t>
      </w:r>
      <w:r w:rsidR="00F334D9" w:rsidRPr="009A501D">
        <w:rPr>
          <w:rFonts w:ascii="Century Gothic" w:hAnsi="Century Gothic"/>
          <w:sz w:val="19"/>
          <w:szCs w:val="19"/>
        </w:rPr>
        <w:t>.2.1).</w:t>
      </w:r>
    </w:p>
    <w:p w14:paraId="087ABC8F" w14:textId="67A07032" w:rsidR="0039763F" w:rsidRPr="009A501D" w:rsidRDefault="0039763F">
      <w:pPr>
        <w:rPr>
          <w:rFonts w:ascii="Century Gothic" w:hAnsi="Century Gothic"/>
          <w:sz w:val="19"/>
          <w:szCs w:val="19"/>
        </w:rPr>
      </w:pPr>
      <w:r w:rsidRPr="009A501D">
        <w:rPr>
          <w:rFonts w:ascii="Century Gothic" w:hAnsi="Century Gothic"/>
          <w:sz w:val="19"/>
          <w:szCs w:val="19"/>
        </w:rPr>
        <w:br w:type="page"/>
      </w:r>
    </w:p>
    <w:p w14:paraId="5FB76603" w14:textId="0D04A1E1" w:rsidR="00F334D9" w:rsidRPr="009A501D" w:rsidRDefault="002E4AA4"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III</w:t>
      </w:r>
      <w:r w:rsidR="00F334D9" w:rsidRPr="009A501D">
        <w:rPr>
          <w:rFonts w:ascii="Century Gothic" w:hAnsi="Century Gothic"/>
          <w:b/>
          <w:sz w:val="19"/>
          <w:szCs w:val="19"/>
        </w:rPr>
        <w:t>.2.1. Indicadores de oportunidad aprobados</w:t>
      </w:r>
      <w:r w:rsidR="007A4A8F" w:rsidRPr="009A501D">
        <w:rPr>
          <w:rStyle w:val="Refdenotaalpie"/>
          <w:rFonts w:ascii="Century Gothic" w:hAnsi="Century Gothic"/>
          <w:b/>
          <w:sz w:val="19"/>
          <w:szCs w:val="19"/>
        </w:rPr>
        <w:footnoteReference w:id="5"/>
      </w:r>
    </w:p>
    <w:tbl>
      <w:tblPr>
        <w:tblStyle w:val="Tablaconcuadrcula"/>
        <w:tblW w:w="109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9214"/>
      </w:tblGrid>
      <w:tr w:rsidR="00F334D9" w:rsidRPr="009A501D" w14:paraId="7F82951D" w14:textId="77777777" w:rsidTr="00233AC9">
        <w:trPr>
          <w:trHeight w:val="567"/>
        </w:trPr>
        <w:tc>
          <w:tcPr>
            <w:tcW w:w="1696" w:type="dxa"/>
            <w:shd w:val="clear" w:color="auto" w:fill="002060"/>
            <w:vAlign w:val="center"/>
          </w:tcPr>
          <w:p w14:paraId="19D15CBB" w14:textId="77777777" w:rsidR="00F334D9" w:rsidRPr="009A501D" w:rsidRDefault="00F334D9" w:rsidP="00664A1D">
            <w:pPr>
              <w:jc w:val="center"/>
              <w:rPr>
                <w:rFonts w:ascii="Century Gothic" w:hAnsi="Century Gothic"/>
                <w:b/>
                <w:color w:val="FFFFFF" w:themeColor="background1"/>
                <w:sz w:val="16"/>
                <w:szCs w:val="16"/>
              </w:rPr>
            </w:pPr>
            <w:r w:rsidRPr="009A501D">
              <w:rPr>
                <w:rFonts w:ascii="Century Gothic" w:hAnsi="Century Gothic"/>
                <w:b/>
                <w:color w:val="FFFFFF" w:themeColor="background1"/>
                <w:sz w:val="16"/>
                <w:szCs w:val="16"/>
              </w:rPr>
              <w:t>Nombre del indicador</w:t>
            </w:r>
          </w:p>
        </w:tc>
        <w:tc>
          <w:tcPr>
            <w:tcW w:w="9214" w:type="dxa"/>
            <w:shd w:val="clear" w:color="auto" w:fill="002060"/>
            <w:vAlign w:val="center"/>
          </w:tcPr>
          <w:p w14:paraId="0FDF2B08" w14:textId="77777777" w:rsidR="00F334D9" w:rsidRPr="009A501D" w:rsidRDefault="00F334D9" w:rsidP="00664A1D">
            <w:pPr>
              <w:jc w:val="center"/>
              <w:rPr>
                <w:rFonts w:ascii="Century Gothic" w:hAnsi="Century Gothic"/>
                <w:b/>
                <w:color w:val="FFFFFF" w:themeColor="background1"/>
                <w:sz w:val="16"/>
                <w:szCs w:val="16"/>
              </w:rPr>
            </w:pPr>
            <w:r w:rsidRPr="009A501D">
              <w:rPr>
                <w:rFonts w:ascii="Century Gothic" w:hAnsi="Century Gothic"/>
                <w:b/>
                <w:color w:val="FFFFFF" w:themeColor="background1"/>
                <w:sz w:val="16"/>
                <w:szCs w:val="16"/>
              </w:rPr>
              <w:t>Definición</w:t>
            </w:r>
          </w:p>
        </w:tc>
      </w:tr>
      <w:tr w:rsidR="00F334D9" w:rsidRPr="009A501D" w14:paraId="3ABE4D32" w14:textId="77777777" w:rsidTr="00233AC9">
        <w:trPr>
          <w:trHeight w:val="567"/>
        </w:trPr>
        <w:tc>
          <w:tcPr>
            <w:tcW w:w="1696" w:type="dxa"/>
            <w:vAlign w:val="center"/>
          </w:tcPr>
          <w:p w14:paraId="4F9F771D" w14:textId="77777777" w:rsidR="00F334D9" w:rsidRPr="009A501D" w:rsidRDefault="00F334D9" w:rsidP="00664A1D">
            <w:pPr>
              <w:rPr>
                <w:rFonts w:ascii="Century Gothic" w:hAnsi="Century Gothic"/>
                <w:sz w:val="16"/>
                <w:szCs w:val="16"/>
              </w:rPr>
            </w:pPr>
            <w:r w:rsidRPr="009A501D">
              <w:rPr>
                <w:rFonts w:ascii="Century Gothic" w:hAnsi="Century Gothic"/>
                <w:sz w:val="16"/>
                <w:szCs w:val="16"/>
              </w:rPr>
              <w:t>Indicador de oportunidad (IDO)</w:t>
            </w:r>
          </w:p>
        </w:tc>
        <w:tc>
          <w:tcPr>
            <w:tcW w:w="9214" w:type="dxa"/>
            <w:vAlign w:val="center"/>
          </w:tcPr>
          <w:p w14:paraId="084E3119" w14:textId="66E3D317" w:rsidR="00F334D9" w:rsidRPr="009A501D" w:rsidRDefault="00F334D9" w:rsidP="00664A1D">
            <w:pPr>
              <w:jc w:val="both"/>
              <w:rPr>
                <w:rFonts w:ascii="Century Gothic" w:hAnsi="Century Gothic"/>
                <w:sz w:val="16"/>
                <w:szCs w:val="16"/>
              </w:rPr>
            </w:pPr>
            <w:r w:rsidRPr="009A501D">
              <w:rPr>
                <w:rFonts w:ascii="Century Gothic" w:hAnsi="Century Gothic"/>
                <w:sz w:val="16"/>
                <w:szCs w:val="16"/>
              </w:rPr>
              <w:t>Es la diferencia</w:t>
            </w:r>
            <w:r w:rsidR="008969E4" w:rsidRPr="009A501D">
              <w:rPr>
                <w:rFonts w:ascii="Century Gothic" w:hAnsi="Century Gothic"/>
                <w:sz w:val="16"/>
                <w:szCs w:val="16"/>
              </w:rPr>
              <w:t xml:space="preserve"> porcentual</w:t>
            </w:r>
            <w:r w:rsidRPr="009A501D">
              <w:rPr>
                <w:rFonts w:ascii="Century Gothic" w:hAnsi="Century Gothic"/>
                <w:sz w:val="16"/>
                <w:szCs w:val="16"/>
              </w:rPr>
              <w:t xml:space="preserve"> entre un parámetro de oportunidad </w:t>
            </w:r>
            <w:r w:rsidR="00B049E4" w:rsidRPr="009A501D">
              <w:rPr>
                <w:rFonts w:ascii="Century Gothic" w:hAnsi="Century Gothic"/>
                <w:sz w:val="16"/>
                <w:szCs w:val="16"/>
              </w:rPr>
              <w:t xml:space="preserve">medido en días </w:t>
            </w:r>
            <w:r w:rsidRPr="009A501D">
              <w:rPr>
                <w:rFonts w:ascii="Century Gothic" w:hAnsi="Century Gothic"/>
                <w:sz w:val="16"/>
                <w:szCs w:val="16"/>
              </w:rPr>
              <w:t xml:space="preserve">que sirve de referencia (mejores prácticas en materia de difusión) y </w:t>
            </w:r>
            <w:r w:rsidR="00B049E4" w:rsidRPr="009A501D">
              <w:rPr>
                <w:rFonts w:ascii="Century Gothic" w:hAnsi="Century Gothic"/>
                <w:sz w:val="16"/>
                <w:szCs w:val="16"/>
              </w:rPr>
              <w:t>el número de días en</w:t>
            </w:r>
            <w:r w:rsidRPr="009A501D">
              <w:rPr>
                <w:rFonts w:ascii="Century Gothic" w:hAnsi="Century Gothic"/>
                <w:sz w:val="16"/>
                <w:szCs w:val="16"/>
              </w:rPr>
              <w:t xml:space="preserve"> que actualmente el Instituto da a conocer la información en cuestión. Este indicador se calcula para cada un</w:t>
            </w:r>
            <w:r w:rsidR="00747EF1" w:rsidRPr="009A501D">
              <w:rPr>
                <w:rFonts w:ascii="Century Gothic" w:hAnsi="Century Gothic"/>
                <w:sz w:val="16"/>
                <w:szCs w:val="16"/>
              </w:rPr>
              <w:t>a</w:t>
            </w:r>
            <w:r w:rsidRPr="009A501D">
              <w:rPr>
                <w:rFonts w:ascii="Century Gothic" w:hAnsi="Century Gothic"/>
                <w:sz w:val="16"/>
                <w:szCs w:val="16"/>
              </w:rPr>
              <w:t xml:space="preserve"> de l</w:t>
            </w:r>
            <w:r w:rsidR="00747EF1" w:rsidRPr="009A501D">
              <w:rPr>
                <w:rFonts w:ascii="Century Gothic" w:hAnsi="Century Gothic"/>
                <w:sz w:val="16"/>
                <w:szCs w:val="16"/>
              </w:rPr>
              <w:t>a</w:t>
            </w:r>
            <w:r w:rsidRPr="009A501D">
              <w:rPr>
                <w:rFonts w:ascii="Century Gothic" w:hAnsi="Century Gothic"/>
                <w:sz w:val="16"/>
                <w:szCs w:val="16"/>
              </w:rPr>
              <w:t>s p</w:t>
            </w:r>
            <w:r w:rsidR="00747EF1" w:rsidRPr="009A501D">
              <w:rPr>
                <w:rFonts w:ascii="Century Gothic" w:hAnsi="Century Gothic"/>
                <w:sz w:val="16"/>
                <w:szCs w:val="16"/>
              </w:rPr>
              <w:t>ublicaciones comprometidas en el calendario de difusión</w:t>
            </w:r>
            <w:r w:rsidRPr="009A501D">
              <w:rPr>
                <w:rFonts w:ascii="Century Gothic" w:hAnsi="Century Gothic"/>
                <w:sz w:val="16"/>
                <w:szCs w:val="16"/>
              </w:rPr>
              <w:t xml:space="preserve">. </w:t>
            </w:r>
          </w:p>
        </w:tc>
      </w:tr>
      <w:tr w:rsidR="00F334D9" w:rsidRPr="009A501D" w14:paraId="0CAA364D" w14:textId="77777777" w:rsidTr="00233AC9">
        <w:trPr>
          <w:trHeight w:val="567"/>
        </w:trPr>
        <w:tc>
          <w:tcPr>
            <w:tcW w:w="1696" w:type="dxa"/>
            <w:shd w:val="clear" w:color="auto" w:fill="F2F2F2" w:themeFill="background1" w:themeFillShade="F2"/>
            <w:vAlign w:val="center"/>
          </w:tcPr>
          <w:p w14:paraId="31A44B16" w14:textId="77777777" w:rsidR="00F334D9" w:rsidRPr="009A501D" w:rsidRDefault="00F334D9" w:rsidP="00664A1D">
            <w:pPr>
              <w:rPr>
                <w:rFonts w:ascii="Century Gothic" w:hAnsi="Century Gothic"/>
                <w:sz w:val="16"/>
                <w:szCs w:val="16"/>
              </w:rPr>
            </w:pPr>
            <w:r w:rsidRPr="009A501D">
              <w:rPr>
                <w:rFonts w:ascii="Century Gothic" w:hAnsi="Century Gothic"/>
                <w:sz w:val="16"/>
                <w:szCs w:val="16"/>
              </w:rPr>
              <w:t>Indicador institucional de oportunidad (IIO)</w:t>
            </w:r>
          </w:p>
        </w:tc>
        <w:tc>
          <w:tcPr>
            <w:tcW w:w="9214" w:type="dxa"/>
            <w:shd w:val="clear" w:color="auto" w:fill="F2F2F2" w:themeFill="background1" w:themeFillShade="F2"/>
            <w:vAlign w:val="center"/>
          </w:tcPr>
          <w:p w14:paraId="06E14F41" w14:textId="48F19D28" w:rsidR="00F334D9" w:rsidRPr="009A501D" w:rsidRDefault="00F334D9" w:rsidP="00664A1D">
            <w:pPr>
              <w:jc w:val="both"/>
              <w:rPr>
                <w:rFonts w:ascii="Century Gothic" w:hAnsi="Century Gothic"/>
                <w:sz w:val="16"/>
                <w:szCs w:val="16"/>
              </w:rPr>
            </w:pPr>
            <w:r w:rsidRPr="009A501D">
              <w:rPr>
                <w:rFonts w:ascii="Century Gothic" w:hAnsi="Century Gothic"/>
                <w:sz w:val="16"/>
                <w:szCs w:val="16"/>
              </w:rPr>
              <w:t>E</w:t>
            </w:r>
            <w:r w:rsidR="009C30F0" w:rsidRPr="009A501D">
              <w:rPr>
                <w:rFonts w:ascii="Century Gothic" w:hAnsi="Century Gothic"/>
                <w:sz w:val="16"/>
                <w:szCs w:val="16"/>
              </w:rPr>
              <w:t xml:space="preserve">s </w:t>
            </w:r>
            <w:r w:rsidRPr="009A501D">
              <w:rPr>
                <w:rFonts w:ascii="Century Gothic" w:hAnsi="Century Gothic"/>
                <w:sz w:val="16"/>
                <w:szCs w:val="16"/>
              </w:rPr>
              <w:t xml:space="preserve">el promedio aritmético de los Indicadores de </w:t>
            </w:r>
            <w:r w:rsidR="00575034" w:rsidRPr="009A501D">
              <w:rPr>
                <w:rFonts w:ascii="Century Gothic" w:hAnsi="Century Gothic"/>
                <w:sz w:val="16"/>
                <w:szCs w:val="16"/>
              </w:rPr>
              <w:t>o</w:t>
            </w:r>
            <w:r w:rsidRPr="009A501D">
              <w:rPr>
                <w:rFonts w:ascii="Century Gothic" w:hAnsi="Century Gothic"/>
                <w:sz w:val="16"/>
                <w:szCs w:val="16"/>
              </w:rPr>
              <w:t>portunidad de los</w:t>
            </w:r>
            <w:r w:rsidR="00FA1D7F" w:rsidRPr="009A501D">
              <w:rPr>
                <w:rFonts w:ascii="Century Gothic" w:hAnsi="Century Gothic"/>
                <w:sz w:val="16"/>
                <w:szCs w:val="16"/>
              </w:rPr>
              <w:t xml:space="preserve"> productos</w:t>
            </w:r>
            <w:r w:rsidRPr="009A501D">
              <w:rPr>
                <w:rFonts w:ascii="Century Gothic" w:hAnsi="Century Gothic"/>
                <w:sz w:val="16"/>
                <w:szCs w:val="16"/>
              </w:rPr>
              <w:t xml:space="preserve"> individuales considerados en la Matriz de Parámetros de Oportunidad y para los cuales se haya identificado un parámetro de oportunidad.</w:t>
            </w:r>
          </w:p>
        </w:tc>
      </w:tr>
    </w:tbl>
    <w:bookmarkEnd w:id="11"/>
    <w:p w14:paraId="74DE2A11" w14:textId="4450399F" w:rsidR="00C339C7" w:rsidRPr="009A501D" w:rsidRDefault="0036195F" w:rsidP="00236335">
      <w:pPr>
        <w:spacing w:before="240"/>
        <w:jc w:val="both"/>
        <w:rPr>
          <w:rFonts w:ascii="Century Gothic" w:hAnsi="Century Gothic"/>
          <w:sz w:val="19"/>
          <w:szCs w:val="19"/>
        </w:rPr>
      </w:pPr>
      <w:r w:rsidRPr="009A501D">
        <w:rPr>
          <w:rFonts w:ascii="Century Gothic" w:hAnsi="Century Gothic"/>
          <w:sz w:val="19"/>
          <w:szCs w:val="19"/>
        </w:rPr>
        <w:t>Toda vez que p</w:t>
      </w:r>
      <w:r w:rsidR="00C339C7" w:rsidRPr="009A501D">
        <w:rPr>
          <w:rFonts w:ascii="Century Gothic" w:hAnsi="Century Gothic"/>
          <w:sz w:val="19"/>
          <w:szCs w:val="19"/>
        </w:rPr>
        <w:t xml:space="preserve">ara calcular </w:t>
      </w:r>
      <w:r w:rsidRPr="009A501D">
        <w:rPr>
          <w:rFonts w:ascii="Century Gothic" w:hAnsi="Century Gothic"/>
          <w:sz w:val="19"/>
          <w:szCs w:val="19"/>
        </w:rPr>
        <w:t>un</w:t>
      </w:r>
      <w:r w:rsidR="00C339C7" w:rsidRPr="009A501D">
        <w:rPr>
          <w:rFonts w:ascii="Century Gothic" w:hAnsi="Century Gothic"/>
          <w:sz w:val="19"/>
          <w:szCs w:val="19"/>
        </w:rPr>
        <w:t xml:space="preserve"> </w:t>
      </w:r>
      <w:r w:rsidR="00C339C7" w:rsidRPr="009A501D">
        <w:rPr>
          <w:rFonts w:ascii="Century Gothic" w:hAnsi="Century Gothic"/>
          <w:i/>
          <w:iCs/>
          <w:sz w:val="19"/>
          <w:szCs w:val="19"/>
        </w:rPr>
        <w:t>indicador de oportunidad</w:t>
      </w:r>
      <w:r w:rsidR="00C339C7" w:rsidRPr="009A501D">
        <w:rPr>
          <w:rFonts w:ascii="Century Gothic" w:hAnsi="Century Gothic"/>
          <w:sz w:val="19"/>
          <w:szCs w:val="19"/>
        </w:rPr>
        <w:t xml:space="preserve"> se debe </w:t>
      </w:r>
      <w:r w:rsidRPr="009A501D">
        <w:rPr>
          <w:rFonts w:ascii="Century Gothic" w:hAnsi="Century Gothic"/>
          <w:sz w:val="19"/>
          <w:szCs w:val="19"/>
        </w:rPr>
        <w:t>contar con un parámetro de</w:t>
      </w:r>
      <w:r w:rsidR="00C339C7" w:rsidRPr="009A501D">
        <w:rPr>
          <w:rFonts w:ascii="Century Gothic" w:hAnsi="Century Gothic"/>
          <w:sz w:val="19"/>
          <w:szCs w:val="19"/>
        </w:rPr>
        <w:t xml:space="preserve"> referencia</w:t>
      </w:r>
      <w:r w:rsidR="00513CD4" w:rsidRPr="009A501D">
        <w:rPr>
          <w:rFonts w:ascii="Century Gothic" w:hAnsi="Century Gothic"/>
          <w:sz w:val="19"/>
          <w:szCs w:val="19"/>
        </w:rPr>
        <w:t>,</w:t>
      </w:r>
      <w:r w:rsidR="00C339C7" w:rsidRPr="009A501D">
        <w:rPr>
          <w:rFonts w:ascii="Century Gothic" w:hAnsi="Century Gothic"/>
          <w:sz w:val="19"/>
          <w:szCs w:val="19"/>
        </w:rPr>
        <w:t xml:space="preserve"> </w:t>
      </w:r>
      <w:r w:rsidR="00513CD4" w:rsidRPr="009A501D">
        <w:rPr>
          <w:rFonts w:ascii="Century Gothic" w:hAnsi="Century Gothic"/>
          <w:sz w:val="19"/>
          <w:szCs w:val="19"/>
        </w:rPr>
        <w:t xml:space="preserve">éste se convierte implícitamente en </w:t>
      </w:r>
      <w:r w:rsidR="00C339C7" w:rsidRPr="009A501D">
        <w:rPr>
          <w:rFonts w:ascii="Century Gothic" w:hAnsi="Century Gothic"/>
          <w:sz w:val="19"/>
          <w:szCs w:val="19"/>
        </w:rPr>
        <w:t xml:space="preserve">una meta contra la cual establece una </w:t>
      </w:r>
      <w:r w:rsidR="000B061C" w:rsidRPr="009A501D">
        <w:rPr>
          <w:rFonts w:ascii="Century Gothic" w:hAnsi="Century Gothic"/>
          <w:sz w:val="19"/>
          <w:szCs w:val="19"/>
        </w:rPr>
        <w:t>posibilidad</w:t>
      </w:r>
      <w:r w:rsidR="00C339C7" w:rsidRPr="009A501D">
        <w:rPr>
          <w:rFonts w:ascii="Century Gothic" w:hAnsi="Century Gothic"/>
          <w:sz w:val="19"/>
          <w:szCs w:val="19"/>
        </w:rPr>
        <w:t xml:space="preserve"> de mejora.</w:t>
      </w:r>
    </w:p>
    <w:p w14:paraId="0A00BF8C" w14:textId="24A8C6A5" w:rsidR="00C339C7" w:rsidRPr="009A501D" w:rsidRDefault="00374BCB" w:rsidP="00236335">
      <w:pPr>
        <w:spacing w:before="240"/>
        <w:jc w:val="both"/>
        <w:rPr>
          <w:rFonts w:ascii="Century Gothic" w:hAnsi="Century Gothic"/>
          <w:sz w:val="19"/>
          <w:szCs w:val="19"/>
        </w:rPr>
      </w:pPr>
      <w:r w:rsidRPr="009A501D">
        <w:rPr>
          <w:rFonts w:ascii="Century Gothic" w:hAnsi="Century Gothic"/>
          <w:sz w:val="19"/>
          <w:szCs w:val="19"/>
        </w:rPr>
        <w:t xml:space="preserve">Si bien </w:t>
      </w:r>
      <w:r w:rsidR="00C339C7" w:rsidRPr="009A501D">
        <w:rPr>
          <w:rFonts w:ascii="Century Gothic" w:hAnsi="Century Gothic"/>
          <w:sz w:val="19"/>
          <w:szCs w:val="19"/>
        </w:rPr>
        <w:t>el parámetro de</w:t>
      </w:r>
      <w:r w:rsidR="00513CD4" w:rsidRPr="009A501D">
        <w:rPr>
          <w:rFonts w:ascii="Century Gothic" w:hAnsi="Century Gothic"/>
          <w:sz w:val="19"/>
          <w:szCs w:val="19"/>
        </w:rPr>
        <w:t xml:space="preserve"> referencia sobre</w:t>
      </w:r>
      <w:r w:rsidR="00C339C7" w:rsidRPr="009A501D">
        <w:rPr>
          <w:rFonts w:ascii="Century Gothic" w:hAnsi="Century Gothic"/>
          <w:sz w:val="19"/>
          <w:szCs w:val="19"/>
        </w:rPr>
        <w:t xml:space="preserve"> oportunidad </w:t>
      </w:r>
      <w:r w:rsidRPr="009A501D">
        <w:rPr>
          <w:rFonts w:ascii="Century Gothic" w:hAnsi="Century Gothic"/>
          <w:sz w:val="19"/>
          <w:szCs w:val="19"/>
        </w:rPr>
        <w:t xml:space="preserve">debiera ser definido por </w:t>
      </w:r>
      <w:r w:rsidR="00C339C7" w:rsidRPr="009A501D">
        <w:rPr>
          <w:rFonts w:ascii="Century Gothic" w:hAnsi="Century Gothic"/>
          <w:sz w:val="19"/>
          <w:szCs w:val="19"/>
        </w:rPr>
        <w:t>l</w:t>
      </w:r>
      <w:r w:rsidR="00956480" w:rsidRPr="009A501D">
        <w:rPr>
          <w:rFonts w:ascii="Century Gothic" w:hAnsi="Century Gothic"/>
          <w:sz w:val="19"/>
          <w:szCs w:val="19"/>
        </w:rPr>
        <w:t>as propias personas</w:t>
      </w:r>
      <w:r w:rsidR="00C339C7" w:rsidRPr="009A501D">
        <w:rPr>
          <w:rFonts w:ascii="Century Gothic" w:hAnsi="Century Gothic"/>
          <w:sz w:val="19"/>
          <w:szCs w:val="19"/>
        </w:rPr>
        <w:t xml:space="preserve"> usuari</w:t>
      </w:r>
      <w:r w:rsidR="00956480" w:rsidRPr="009A501D">
        <w:rPr>
          <w:rFonts w:ascii="Century Gothic" w:hAnsi="Century Gothic"/>
          <w:sz w:val="19"/>
          <w:szCs w:val="19"/>
        </w:rPr>
        <w:t>a</w:t>
      </w:r>
      <w:r w:rsidR="00C339C7" w:rsidRPr="009A501D">
        <w:rPr>
          <w:rFonts w:ascii="Century Gothic" w:hAnsi="Century Gothic"/>
          <w:sz w:val="19"/>
          <w:szCs w:val="19"/>
        </w:rPr>
        <w:t xml:space="preserve">s conforme a los usos estratégicos de la información, actualmente no se </w:t>
      </w:r>
      <w:r w:rsidR="00956480" w:rsidRPr="009A501D">
        <w:rPr>
          <w:rFonts w:ascii="Century Gothic" w:hAnsi="Century Gothic"/>
          <w:sz w:val="19"/>
          <w:szCs w:val="19"/>
        </w:rPr>
        <w:t>cuenta con</w:t>
      </w:r>
      <w:r w:rsidR="00C339C7" w:rsidRPr="009A501D">
        <w:rPr>
          <w:rFonts w:ascii="Century Gothic" w:hAnsi="Century Gothic"/>
          <w:sz w:val="19"/>
          <w:szCs w:val="19"/>
        </w:rPr>
        <w:t xml:space="preserve"> esta referencia</w:t>
      </w:r>
      <w:r w:rsidR="000B061C" w:rsidRPr="009A501D">
        <w:rPr>
          <w:rFonts w:ascii="Century Gothic" w:hAnsi="Century Gothic"/>
          <w:sz w:val="19"/>
          <w:szCs w:val="19"/>
        </w:rPr>
        <w:t xml:space="preserve">. Por ello, </w:t>
      </w:r>
      <w:r w:rsidR="00C339C7" w:rsidRPr="009A501D">
        <w:rPr>
          <w:rFonts w:ascii="Century Gothic" w:hAnsi="Century Gothic"/>
          <w:sz w:val="19"/>
          <w:szCs w:val="19"/>
        </w:rPr>
        <w:t xml:space="preserve">el grupo de trabajo decidió establecer </w:t>
      </w:r>
      <w:r w:rsidR="00956480" w:rsidRPr="009A501D">
        <w:rPr>
          <w:rFonts w:ascii="Century Gothic" w:hAnsi="Century Gothic"/>
          <w:sz w:val="19"/>
          <w:szCs w:val="19"/>
        </w:rPr>
        <w:t xml:space="preserve">un conjunto de </w:t>
      </w:r>
      <w:r w:rsidR="00C339C7" w:rsidRPr="009A501D">
        <w:rPr>
          <w:rFonts w:ascii="Century Gothic" w:hAnsi="Century Gothic"/>
          <w:sz w:val="19"/>
          <w:szCs w:val="19"/>
        </w:rPr>
        <w:t>criterios para la definición de los parámetros de oportunidad.  En la siguiente lista se muestran</w:t>
      </w:r>
      <w:r w:rsidR="00956480" w:rsidRPr="009A501D">
        <w:rPr>
          <w:rFonts w:ascii="Century Gothic" w:hAnsi="Century Gothic"/>
          <w:sz w:val="19"/>
          <w:szCs w:val="19"/>
        </w:rPr>
        <w:t>,</w:t>
      </w:r>
      <w:r w:rsidR="00C339C7" w:rsidRPr="009A501D">
        <w:rPr>
          <w:rFonts w:ascii="Century Gothic" w:hAnsi="Century Gothic"/>
          <w:sz w:val="19"/>
          <w:szCs w:val="19"/>
        </w:rPr>
        <w:t xml:space="preserve"> en orden jerárquico</w:t>
      </w:r>
      <w:r w:rsidR="00956480" w:rsidRPr="009A501D">
        <w:rPr>
          <w:rFonts w:ascii="Century Gothic" w:hAnsi="Century Gothic"/>
          <w:sz w:val="19"/>
          <w:szCs w:val="19"/>
        </w:rPr>
        <w:t>,</w:t>
      </w:r>
      <w:r w:rsidR="00C339C7" w:rsidRPr="009A501D">
        <w:rPr>
          <w:rFonts w:ascii="Century Gothic" w:hAnsi="Century Gothic"/>
          <w:sz w:val="19"/>
          <w:szCs w:val="19"/>
        </w:rPr>
        <w:t xml:space="preserve"> los criterios </w:t>
      </w:r>
      <w:r w:rsidR="00956480" w:rsidRPr="009A501D">
        <w:rPr>
          <w:rFonts w:ascii="Century Gothic" w:hAnsi="Century Gothic"/>
          <w:sz w:val="19"/>
          <w:szCs w:val="19"/>
        </w:rPr>
        <w:t>considerados</w:t>
      </w:r>
      <w:r w:rsidR="00C339C7" w:rsidRPr="009A501D">
        <w:rPr>
          <w:rFonts w:ascii="Century Gothic" w:hAnsi="Century Gothic"/>
          <w:sz w:val="19"/>
          <w:szCs w:val="19"/>
        </w:rPr>
        <w:t>:</w:t>
      </w:r>
    </w:p>
    <w:p w14:paraId="59C10A97" w14:textId="301D7B55" w:rsidR="00C339C7" w:rsidRPr="009A501D" w:rsidRDefault="00C339C7" w:rsidP="00664A1D">
      <w:pPr>
        <w:pStyle w:val="Prrafodelista"/>
        <w:numPr>
          <w:ilvl w:val="0"/>
          <w:numId w:val="18"/>
        </w:numPr>
        <w:spacing w:before="240"/>
        <w:ind w:left="567" w:hanging="284"/>
        <w:jc w:val="both"/>
        <w:rPr>
          <w:rFonts w:ascii="Century Gothic" w:hAnsi="Century Gothic"/>
          <w:sz w:val="19"/>
          <w:szCs w:val="19"/>
        </w:rPr>
      </w:pPr>
      <w:r w:rsidRPr="009A501D">
        <w:rPr>
          <w:rFonts w:ascii="Century Gothic" w:hAnsi="Century Gothic"/>
          <w:sz w:val="19"/>
          <w:szCs w:val="19"/>
        </w:rPr>
        <w:t>Recomendaciones internacionales emitidas por algún organismo con autoridad en materia estadística</w:t>
      </w:r>
      <w:r w:rsidR="00BA45BB" w:rsidRPr="009A501D">
        <w:rPr>
          <w:rFonts w:ascii="Century Gothic" w:hAnsi="Century Gothic"/>
          <w:sz w:val="19"/>
          <w:szCs w:val="19"/>
        </w:rPr>
        <w:t xml:space="preserve"> o geográfica.</w:t>
      </w:r>
    </w:p>
    <w:p w14:paraId="5DC02D8D" w14:textId="794B8B40" w:rsidR="00C339C7" w:rsidRPr="009A501D" w:rsidRDefault="00C339C7" w:rsidP="00664A1D">
      <w:pPr>
        <w:pStyle w:val="Prrafodelista"/>
        <w:numPr>
          <w:ilvl w:val="0"/>
          <w:numId w:val="18"/>
        </w:numPr>
        <w:spacing w:before="240"/>
        <w:ind w:left="567" w:hanging="284"/>
        <w:jc w:val="both"/>
        <w:rPr>
          <w:rFonts w:ascii="Century Gothic" w:hAnsi="Century Gothic"/>
          <w:sz w:val="19"/>
          <w:szCs w:val="19"/>
        </w:rPr>
      </w:pPr>
      <w:r w:rsidRPr="009A501D">
        <w:rPr>
          <w:rFonts w:ascii="Century Gothic" w:hAnsi="Century Gothic"/>
          <w:sz w:val="19"/>
          <w:szCs w:val="19"/>
        </w:rPr>
        <w:t>Leyes nacionales y normas emitidas por la Junta de Gobierno del INEGI.</w:t>
      </w:r>
    </w:p>
    <w:p w14:paraId="30A06D3D" w14:textId="114062A1" w:rsidR="00C339C7" w:rsidRPr="009A501D" w:rsidRDefault="00C339C7" w:rsidP="00664A1D">
      <w:pPr>
        <w:pStyle w:val="Prrafodelista"/>
        <w:numPr>
          <w:ilvl w:val="0"/>
          <w:numId w:val="18"/>
        </w:numPr>
        <w:spacing w:before="240"/>
        <w:ind w:left="567" w:hanging="284"/>
        <w:jc w:val="both"/>
        <w:rPr>
          <w:rFonts w:ascii="Century Gothic" w:hAnsi="Century Gothic"/>
          <w:sz w:val="19"/>
          <w:szCs w:val="19"/>
        </w:rPr>
      </w:pPr>
      <w:r w:rsidRPr="009A501D">
        <w:rPr>
          <w:rFonts w:ascii="Century Gothic" w:hAnsi="Century Gothic"/>
          <w:sz w:val="19"/>
          <w:szCs w:val="19"/>
        </w:rPr>
        <w:t>Mejores prácticas internacionales que se asemejen en temática y método de generación.</w:t>
      </w:r>
    </w:p>
    <w:p w14:paraId="6854A40A" w14:textId="5105A199" w:rsidR="00C339C7" w:rsidRPr="009A501D" w:rsidRDefault="00C339C7" w:rsidP="00664A1D">
      <w:pPr>
        <w:pStyle w:val="Prrafodelista"/>
        <w:numPr>
          <w:ilvl w:val="0"/>
          <w:numId w:val="18"/>
        </w:numPr>
        <w:spacing w:before="240"/>
        <w:ind w:left="567" w:hanging="284"/>
        <w:jc w:val="both"/>
        <w:rPr>
          <w:rFonts w:ascii="Century Gothic" w:hAnsi="Century Gothic"/>
          <w:sz w:val="19"/>
          <w:szCs w:val="19"/>
        </w:rPr>
      </w:pPr>
      <w:r w:rsidRPr="009A501D">
        <w:rPr>
          <w:rFonts w:ascii="Century Gothic" w:hAnsi="Century Gothic"/>
          <w:sz w:val="19"/>
          <w:szCs w:val="19"/>
        </w:rPr>
        <w:t>Metas internas que reflejen una aspiración para brindar mejor oportunidad de cara a los usuarios (sólo se permitirán cuando no existan los casos 1, 2 y 3; o cuando la meta sea inferior a las referencias de los puntos 1, 2 y 3).</w:t>
      </w:r>
    </w:p>
    <w:p w14:paraId="73830F5E" w14:textId="06BB246C" w:rsidR="00C339C7" w:rsidRPr="009A501D" w:rsidRDefault="00C339C7" w:rsidP="00664A1D">
      <w:pPr>
        <w:spacing w:before="240"/>
        <w:jc w:val="both"/>
        <w:rPr>
          <w:rFonts w:ascii="Century Gothic" w:hAnsi="Century Gothic"/>
          <w:sz w:val="19"/>
          <w:szCs w:val="19"/>
        </w:rPr>
      </w:pPr>
      <w:r w:rsidRPr="009A501D">
        <w:rPr>
          <w:rFonts w:ascii="Century Gothic" w:hAnsi="Century Gothic"/>
          <w:sz w:val="19"/>
          <w:szCs w:val="19"/>
        </w:rPr>
        <w:t xml:space="preserve">El otro elemento necesario para calcular el indicador es el número de días </w:t>
      </w:r>
      <w:r w:rsidR="00747EF1" w:rsidRPr="009A501D">
        <w:rPr>
          <w:rFonts w:ascii="Century Gothic" w:hAnsi="Century Gothic"/>
          <w:sz w:val="19"/>
          <w:szCs w:val="19"/>
        </w:rPr>
        <w:t xml:space="preserve">con </w:t>
      </w:r>
      <w:r w:rsidRPr="009A501D">
        <w:rPr>
          <w:rFonts w:ascii="Century Gothic" w:hAnsi="Century Gothic"/>
          <w:sz w:val="19"/>
          <w:szCs w:val="19"/>
        </w:rPr>
        <w:t>que actualmente se da a conocer la información en cuestión. Este dato involucra tanto el periodo de referencia de la información establecido en los instrumentos de captación</w:t>
      </w:r>
      <w:r w:rsidR="00956480" w:rsidRPr="009A501D">
        <w:rPr>
          <w:rFonts w:ascii="Century Gothic" w:hAnsi="Century Gothic"/>
          <w:sz w:val="19"/>
          <w:szCs w:val="19"/>
        </w:rPr>
        <w:t>,</w:t>
      </w:r>
      <w:r w:rsidRPr="009A501D">
        <w:rPr>
          <w:rFonts w:ascii="Century Gothic" w:hAnsi="Century Gothic"/>
          <w:sz w:val="19"/>
          <w:szCs w:val="19"/>
        </w:rPr>
        <w:t xml:space="preserve"> como el tiempo de procesamiento, análisis y finalmente difusión de la información. Es decir, la oportunidad real está directamente vinculada al proceso de producción.</w:t>
      </w:r>
      <w:r w:rsidR="00956480" w:rsidRPr="009A501D">
        <w:rPr>
          <w:rStyle w:val="Refdenotaalpie"/>
          <w:rFonts w:ascii="Century Gothic" w:hAnsi="Century Gothic"/>
          <w:sz w:val="19"/>
          <w:szCs w:val="19"/>
        </w:rPr>
        <w:footnoteReference w:id="6"/>
      </w:r>
      <w:r w:rsidRPr="009A501D">
        <w:rPr>
          <w:rFonts w:ascii="Century Gothic" w:hAnsi="Century Gothic"/>
          <w:sz w:val="19"/>
          <w:szCs w:val="19"/>
        </w:rPr>
        <w:t xml:space="preserve"> </w:t>
      </w:r>
    </w:p>
    <w:p w14:paraId="6B968A30" w14:textId="1C83E70A" w:rsidR="00C339C7" w:rsidRPr="009A501D" w:rsidRDefault="00C339C7" w:rsidP="00664A1D">
      <w:pPr>
        <w:spacing w:before="240"/>
        <w:jc w:val="both"/>
        <w:rPr>
          <w:rFonts w:ascii="Century Gothic" w:hAnsi="Century Gothic"/>
          <w:sz w:val="19"/>
          <w:szCs w:val="19"/>
        </w:rPr>
      </w:pPr>
      <w:r w:rsidRPr="009A501D">
        <w:rPr>
          <w:rFonts w:ascii="Century Gothic" w:hAnsi="Century Gothic"/>
          <w:sz w:val="19"/>
          <w:szCs w:val="19"/>
        </w:rPr>
        <w:t xml:space="preserve">Así, el </w:t>
      </w:r>
      <w:r w:rsidRPr="009A501D">
        <w:rPr>
          <w:rFonts w:ascii="Century Gothic" w:hAnsi="Century Gothic"/>
          <w:i/>
          <w:iCs/>
          <w:sz w:val="19"/>
          <w:szCs w:val="19"/>
        </w:rPr>
        <w:t>indicador de oportunidad</w:t>
      </w:r>
      <w:r w:rsidRPr="009A501D">
        <w:rPr>
          <w:rFonts w:ascii="Century Gothic" w:hAnsi="Century Gothic"/>
          <w:sz w:val="19"/>
          <w:szCs w:val="19"/>
        </w:rPr>
        <w:t xml:space="preserve"> refleja la diferencia porcentual entre la oportunidad real y el parámetro de referencia. Esta diferencia establece un comparativo con las mejores prácticas nacionales e internacionales y estimula la mejora continua</w:t>
      </w:r>
      <w:r w:rsidR="00956480" w:rsidRPr="009A501D">
        <w:rPr>
          <w:rFonts w:ascii="Century Gothic" w:hAnsi="Century Gothic"/>
          <w:sz w:val="19"/>
          <w:szCs w:val="19"/>
        </w:rPr>
        <w:t>.</w:t>
      </w:r>
      <w:r w:rsidRPr="009A501D">
        <w:rPr>
          <w:rFonts w:ascii="Century Gothic" w:hAnsi="Century Gothic"/>
          <w:sz w:val="19"/>
          <w:szCs w:val="19"/>
        </w:rPr>
        <w:t xml:space="preserve"> </w:t>
      </w:r>
      <w:r w:rsidR="00956480" w:rsidRPr="009A501D">
        <w:rPr>
          <w:rFonts w:ascii="Century Gothic" w:hAnsi="Century Gothic"/>
          <w:sz w:val="19"/>
          <w:szCs w:val="19"/>
        </w:rPr>
        <w:t>P</w:t>
      </w:r>
      <w:r w:rsidRPr="009A501D">
        <w:rPr>
          <w:rFonts w:ascii="Century Gothic" w:hAnsi="Century Gothic"/>
          <w:sz w:val="19"/>
          <w:szCs w:val="19"/>
        </w:rPr>
        <w:t>or ello</w:t>
      </w:r>
      <w:r w:rsidR="00956480" w:rsidRPr="009A501D">
        <w:rPr>
          <w:rFonts w:ascii="Century Gothic" w:hAnsi="Century Gothic"/>
          <w:sz w:val="19"/>
          <w:szCs w:val="19"/>
        </w:rPr>
        <w:t>,</w:t>
      </w:r>
      <w:r w:rsidRPr="009A501D">
        <w:rPr>
          <w:rFonts w:ascii="Century Gothic" w:hAnsi="Century Gothic"/>
          <w:sz w:val="19"/>
          <w:szCs w:val="19"/>
        </w:rPr>
        <w:t xml:space="preserve"> es importante establecer parámetros de oportunidad retadores</w:t>
      </w:r>
      <w:r w:rsidR="00956480" w:rsidRPr="009A501D">
        <w:rPr>
          <w:rFonts w:ascii="Century Gothic" w:hAnsi="Century Gothic"/>
          <w:sz w:val="19"/>
          <w:szCs w:val="19"/>
        </w:rPr>
        <w:t xml:space="preserve">, que permitan al Instituto continuar mejorando paulatinamente los niveles de oportunidad </w:t>
      </w:r>
      <w:r w:rsidR="001E7557" w:rsidRPr="009A501D">
        <w:rPr>
          <w:rFonts w:ascii="Century Gothic" w:hAnsi="Century Gothic"/>
          <w:sz w:val="19"/>
          <w:szCs w:val="19"/>
        </w:rPr>
        <w:t>que se tienen actualmente.</w:t>
      </w:r>
      <w:r w:rsidRPr="009A501D">
        <w:rPr>
          <w:rFonts w:ascii="Century Gothic" w:hAnsi="Century Gothic"/>
          <w:sz w:val="19"/>
          <w:szCs w:val="19"/>
        </w:rPr>
        <w:t xml:space="preserve"> </w:t>
      </w:r>
      <w:r w:rsidR="001E7557" w:rsidRPr="009A501D">
        <w:rPr>
          <w:rFonts w:ascii="Century Gothic" w:hAnsi="Century Gothic"/>
          <w:sz w:val="19"/>
          <w:szCs w:val="19"/>
        </w:rPr>
        <w:t>Lo anterior, contribuirá a</w:t>
      </w:r>
      <w:r w:rsidRPr="009A501D">
        <w:rPr>
          <w:rFonts w:ascii="Century Gothic" w:hAnsi="Century Gothic"/>
          <w:sz w:val="19"/>
          <w:szCs w:val="19"/>
        </w:rPr>
        <w:t xml:space="preserve"> atender de mejor forma las necesidades </w:t>
      </w:r>
      <w:r w:rsidR="001E7557" w:rsidRPr="009A501D">
        <w:rPr>
          <w:rFonts w:ascii="Century Gothic" w:hAnsi="Century Gothic"/>
          <w:sz w:val="19"/>
          <w:szCs w:val="19"/>
        </w:rPr>
        <w:t xml:space="preserve">de información de la sociedad y el Estado, </w:t>
      </w:r>
      <w:r w:rsidR="001B3DD2" w:rsidRPr="009A501D">
        <w:rPr>
          <w:rFonts w:ascii="Century Gothic" w:hAnsi="Century Gothic"/>
          <w:sz w:val="19"/>
          <w:szCs w:val="19"/>
        </w:rPr>
        <w:t xml:space="preserve">y </w:t>
      </w:r>
      <w:r w:rsidRPr="009A501D">
        <w:rPr>
          <w:rFonts w:ascii="Century Gothic" w:hAnsi="Century Gothic"/>
          <w:sz w:val="19"/>
          <w:szCs w:val="19"/>
        </w:rPr>
        <w:t>se mantendrá la relevancia de la información que produce el Instituto.</w:t>
      </w:r>
    </w:p>
    <w:p w14:paraId="11577B3A" w14:textId="3B6808B3" w:rsidR="00F0323F" w:rsidRPr="009A501D" w:rsidRDefault="001E7557" w:rsidP="00664A1D">
      <w:pPr>
        <w:spacing w:before="240"/>
        <w:jc w:val="both"/>
        <w:rPr>
          <w:rFonts w:ascii="Century Gothic" w:hAnsi="Century Gothic"/>
          <w:sz w:val="19"/>
          <w:szCs w:val="19"/>
        </w:rPr>
      </w:pPr>
      <w:r w:rsidRPr="009A501D">
        <w:rPr>
          <w:rFonts w:ascii="Century Gothic" w:hAnsi="Century Gothic"/>
          <w:sz w:val="19"/>
          <w:szCs w:val="19"/>
        </w:rPr>
        <w:t>E</w:t>
      </w:r>
      <w:r w:rsidR="00F0323F" w:rsidRPr="009A501D">
        <w:rPr>
          <w:rFonts w:ascii="Century Gothic" w:hAnsi="Century Gothic"/>
          <w:sz w:val="19"/>
          <w:szCs w:val="19"/>
        </w:rPr>
        <w:t xml:space="preserve">l cuadro III.2.2 presenta </w:t>
      </w:r>
      <w:r w:rsidRPr="009A501D">
        <w:rPr>
          <w:rFonts w:ascii="Century Gothic" w:hAnsi="Century Gothic"/>
          <w:sz w:val="19"/>
          <w:szCs w:val="19"/>
        </w:rPr>
        <w:t>el</w:t>
      </w:r>
      <w:r w:rsidR="00F0323F" w:rsidRPr="009A501D">
        <w:rPr>
          <w:rFonts w:ascii="Century Gothic" w:hAnsi="Century Gothic"/>
          <w:sz w:val="19"/>
          <w:szCs w:val="19"/>
        </w:rPr>
        <w:t xml:space="preserve"> resumen </w:t>
      </w:r>
      <w:r w:rsidRPr="009A501D">
        <w:rPr>
          <w:rFonts w:ascii="Century Gothic" w:hAnsi="Century Gothic"/>
          <w:sz w:val="19"/>
          <w:szCs w:val="19"/>
        </w:rPr>
        <w:t xml:space="preserve">de </w:t>
      </w:r>
      <w:r w:rsidR="00F0323F" w:rsidRPr="009A501D">
        <w:rPr>
          <w:rFonts w:ascii="Century Gothic" w:hAnsi="Century Gothic"/>
          <w:sz w:val="19"/>
          <w:szCs w:val="19"/>
        </w:rPr>
        <w:t xml:space="preserve">los resultados del indicador </w:t>
      </w:r>
      <w:r w:rsidRPr="009A501D">
        <w:rPr>
          <w:rFonts w:ascii="Century Gothic" w:hAnsi="Century Gothic"/>
          <w:i/>
          <w:iCs/>
          <w:sz w:val="19"/>
          <w:szCs w:val="19"/>
        </w:rPr>
        <w:t>Porcentaje de publicaciones que cumplen los parámetros de oportunidad establecidos</w:t>
      </w:r>
      <w:r w:rsidRPr="009A501D">
        <w:rPr>
          <w:rFonts w:ascii="Century Gothic" w:hAnsi="Century Gothic"/>
          <w:sz w:val="19"/>
          <w:szCs w:val="19"/>
        </w:rPr>
        <w:t>,</w:t>
      </w:r>
      <w:r w:rsidRPr="009A501D">
        <w:rPr>
          <w:rFonts w:ascii="Century Gothic" w:hAnsi="Century Gothic"/>
          <w:i/>
          <w:iCs/>
          <w:sz w:val="19"/>
          <w:szCs w:val="19"/>
        </w:rPr>
        <w:t xml:space="preserve"> </w:t>
      </w:r>
      <w:r w:rsidR="00F0323F" w:rsidRPr="009A501D">
        <w:rPr>
          <w:rFonts w:ascii="Century Gothic" w:hAnsi="Century Gothic"/>
          <w:sz w:val="19"/>
          <w:szCs w:val="19"/>
        </w:rPr>
        <w:t>para el periodo 2019-2022</w:t>
      </w:r>
      <w:r w:rsidRPr="009A501D">
        <w:rPr>
          <w:rFonts w:ascii="Century Gothic" w:hAnsi="Century Gothic"/>
          <w:sz w:val="19"/>
          <w:szCs w:val="19"/>
        </w:rPr>
        <w:t>.</w:t>
      </w:r>
      <w:r w:rsidR="00F0323F" w:rsidRPr="009A501D">
        <w:rPr>
          <w:rFonts w:ascii="Century Gothic" w:hAnsi="Century Gothic"/>
          <w:sz w:val="19"/>
          <w:szCs w:val="19"/>
        </w:rPr>
        <w:t xml:space="preserve"> </w:t>
      </w:r>
      <w:r w:rsidRPr="009A501D">
        <w:rPr>
          <w:rFonts w:ascii="Century Gothic" w:hAnsi="Century Gothic"/>
          <w:sz w:val="19"/>
          <w:szCs w:val="19"/>
        </w:rPr>
        <w:t>S</w:t>
      </w:r>
      <w:r w:rsidR="00F0323F" w:rsidRPr="009A501D">
        <w:rPr>
          <w:rFonts w:ascii="Century Gothic" w:hAnsi="Century Gothic"/>
          <w:sz w:val="19"/>
          <w:szCs w:val="19"/>
        </w:rPr>
        <w:t>e observa que</w:t>
      </w:r>
      <w:r w:rsidRPr="009A501D">
        <w:rPr>
          <w:rFonts w:ascii="Century Gothic" w:hAnsi="Century Gothic"/>
          <w:sz w:val="19"/>
          <w:szCs w:val="19"/>
        </w:rPr>
        <w:t>, en promedio,</w:t>
      </w:r>
      <w:r w:rsidR="00F0323F" w:rsidRPr="009A501D">
        <w:rPr>
          <w:rFonts w:ascii="Century Gothic" w:hAnsi="Century Gothic"/>
          <w:sz w:val="19"/>
          <w:szCs w:val="19"/>
        </w:rPr>
        <w:t xml:space="preserve"> </w:t>
      </w:r>
      <w:r w:rsidR="00BC479C" w:rsidRPr="009A501D">
        <w:rPr>
          <w:rFonts w:ascii="Century Gothic" w:hAnsi="Century Gothic"/>
          <w:sz w:val="19"/>
          <w:szCs w:val="19"/>
        </w:rPr>
        <w:t xml:space="preserve">la oportunidad de las publicaciones </w:t>
      </w:r>
      <w:r w:rsidR="00423666" w:rsidRPr="009A501D">
        <w:rPr>
          <w:rFonts w:ascii="Century Gothic" w:hAnsi="Century Gothic"/>
          <w:sz w:val="19"/>
          <w:szCs w:val="19"/>
        </w:rPr>
        <w:t>comenzó a recuperarse desde</w:t>
      </w:r>
      <w:r w:rsidR="00F0323F" w:rsidRPr="009A501D">
        <w:rPr>
          <w:rFonts w:ascii="Century Gothic" w:hAnsi="Century Gothic"/>
          <w:sz w:val="19"/>
          <w:szCs w:val="19"/>
        </w:rPr>
        <w:t xml:space="preserve"> 2021</w:t>
      </w:r>
      <w:r w:rsidR="005D5C4F" w:rsidRPr="009A501D">
        <w:rPr>
          <w:rFonts w:ascii="Century Gothic" w:hAnsi="Century Gothic"/>
          <w:sz w:val="19"/>
          <w:szCs w:val="19"/>
        </w:rPr>
        <w:t>, superando para 2022 los niveles observados previos a la pandemia por Covid-19 (71% para 2019</w:t>
      </w:r>
      <w:r w:rsidR="00184D90" w:rsidRPr="009A501D">
        <w:rPr>
          <w:rFonts w:ascii="Century Gothic" w:hAnsi="Century Gothic"/>
          <w:sz w:val="19"/>
          <w:szCs w:val="19"/>
        </w:rPr>
        <w:t>, 77% para 2022).</w:t>
      </w:r>
      <w:r w:rsidR="00F0323F" w:rsidRPr="009A501D">
        <w:rPr>
          <w:rFonts w:ascii="Century Gothic" w:hAnsi="Century Gothic"/>
          <w:sz w:val="19"/>
          <w:szCs w:val="19"/>
        </w:rPr>
        <w:t xml:space="preserve">  </w:t>
      </w:r>
      <w:r w:rsidR="00184D90" w:rsidRPr="009A501D">
        <w:rPr>
          <w:rFonts w:ascii="Century Gothic" w:hAnsi="Century Gothic"/>
          <w:sz w:val="19"/>
          <w:szCs w:val="19"/>
        </w:rPr>
        <w:t xml:space="preserve">Cuando se analiza por método de generación, se observa que </w:t>
      </w:r>
      <w:r w:rsidR="007A2C9D" w:rsidRPr="009A501D">
        <w:rPr>
          <w:rFonts w:ascii="Century Gothic" w:hAnsi="Century Gothic"/>
          <w:sz w:val="19"/>
          <w:szCs w:val="19"/>
        </w:rPr>
        <w:t>los resultados tiene</w:t>
      </w:r>
      <w:r w:rsidR="00233AC9" w:rsidRPr="009A501D">
        <w:rPr>
          <w:rFonts w:ascii="Century Gothic" w:hAnsi="Century Gothic"/>
          <w:sz w:val="19"/>
          <w:szCs w:val="19"/>
        </w:rPr>
        <w:t>n</w:t>
      </w:r>
      <w:r w:rsidR="007A2C9D" w:rsidRPr="009A501D">
        <w:rPr>
          <w:rFonts w:ascii="Century Gothic" w:hAnsi="Century Gothic"/>
          <w:sz w:val="19"/>
          <w:szCs w:val="19"/>
        </w:rPr>
        <w:t xml:space="preserve"> variabilidad. En tanto que</w:t>
      </w:r>
      <w:r w:rsidR="00B34DD8" w:rsidRPr="009A501D">
        <w:rPr>
          <w:rFonts w:ascii="Century Gothic" w:hAnsi="Century Gothic"/>
          <w:sz w:val="19"/>
          <w:szCs w:val="19"/>
        </w:rPr>
        <w:t xml:space="preserve"> métodos como actualización cartográfica, censos, o </w:t>
      </w:r>
      <w:r w:rsidR="00E2763A" w:rsidRPr="009A501D">
        <w:rPr>
          <w:rFonts w:ascii="Century Gothic" w:hAnsi="Century Gothic"/>
          <w:sz w:val="19"/>
          <w:szCs w:val="19"/>
        </w:rPr>
        <w:t>estructuración e integración de rede</w:t>
      </w:r>
      <w:r w:rsidR="00902054" w:rsidRPr="009A501D">
        <w:rPr>
          <w:rFonts w:ascii="Century Gothic" w:hAnsi="Century Gothic"/>
          <w:sz w:val="19"/>
          <w:szCs w:val="19"/>
        </w:rPr>
        <w:t>s</w:t>
      </w:r>
      <w:r w:rsidR="00E2763A" w:rsidRPr="009A501D">
        <w:rPr>
          <w:rFonts w:ascii="Century Gothic" w:hAnsi="Century Gothic"/>
          <w:sz w:val="19"/>
          <w:szCs w:val="19"/>
        </w:rPr>
        <w:t xml:space="preserve"> geomét</w:t>
      </w:r>
      <w:r w:rsidR="008F667D" w:rsidRPr="009A501D">
        <w:rPr>
          <w:rFonts w:ascii="Century Gothic" w:hAnsi="Century Gothic"/>
          <w:sz w:val="19"/>
          <w:szCs w:val="19"/>
        </w:rPr>
        <w:t>r</w:t>
      </w:r>
      <w:r w:rsidR="00E2763A" w:rsidRPr="009A501D">
        <w:rPr>
          <w:rFonts w:ascii="Century Gothic" w:hAnsi="Century Gothic"/>
          <w:sz w:val="19"/>
          <w:szCs w:val="19"/>
        </w:rPr>
        <w:t xml:space="preserve">icas se ubican en 100% para 2022, aún se identifican áreas de mejora para las </w:t>
      </w:r>
      <w:r w:rsidR="00F0323F" w:rsidRPr="009A501D">
        <w:rPr>
          <w:rFonts w:ascii="Century Gothic" w:hAnsi="Century Gothic"/>
          <w:sz w:val="19"/>
          <w:szCs w:val="19"/>
        </w:rPr>
        <w:t>encuestas probabilísticas y los proceso</w:t>
      </w:r>
      <w:r w:rsidR="00747EF1" w:rsidRPr="009A501D">
        <w:rPr>
          <w:rFonts w:ascii="Century Gothic" w:hAnsi="Century Gothic"/>
          <w:sz w:val="19"/>
          <w:szCs w:val="19"/>
        </w:rPr>
        <w:t>s</w:t>
      </w:r>
      <w:r w:rsidR="00F0323F" w:rsidRPr="009A501D">
        <w:rPr>
          <w:rFonts w:ascii="Century Gothic" w:hAnsi="Century Gothic"/>
          <w:sz w:val="19"/>
          <w:szCs w:val="19"/>
        </w:rPr>
        <w:t xml:space="preserve"> de generación de información topográfica</w:t>
      </w:r>
      <w:r w:rsidR="00E2763A" w:rsidRPr="009A501D">
        <w:rPr>
          <w:rFonts w:ascii="Century Gothic" w:hAnsi="Century Gothic"/>
          <w:sz w:val="19"/>
          <w:szCs w:val="19"/>
        </w:rPr>
        <w:t>.</w:t>
      </w:r>
    </w:p>
    <w:p w14:paraId="20DDC48A" w14:textId="65B57EE6" w:rsidR="002F3A0F" w:rsidRPr="009A501D" w:rsidRDefault="002F3A0F">
      <w:pPr>
        <w:rPr>
          <w:rFonts w:ascii="Century Gothic" w:hAnsi="Century Gothic"/>
          <w:sz w:val="19"/>
          <w:szCs w:val="19"/>
        </w:rPr>
      </w:pPr>
      <w:r w:rsidRPr="009A501D">
        <w:rPr>
          <w:rFonts w:ascii="Century Gothic" w:hAnsi="Century Gothic"/>
          <w:sz w:val="19"/>
          <w:szCs w:val="19"/>
        </w:rPr>
        <w:br w:type="page"/>
      </w:r>
    </w:p>
    <w:p w14:paraId="19DE5546" w14:textId="68957C0B" w:rsidR="00F0323F" w:rsidRPr="009A501D" w:rsidRDefault="00F0323F"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 xml:space="preserve">III.2.2. Porcentaje de </w:t>
      </w:r>
      <w:r w:rsidR="00747EF1" w:rsidRPr="009A501D">
        <w:rPr>
          <w:rFonts w:ascii="Century Gothic" w:hAnsi="Century Gothic"/>
          <w:b/>
          <w:sz w:val="19"/>
          <w:szCs w:val="19"/>
        </w:rPr>
        <w:t>publicaciones</w:t>
      </w:r>
      <w:r w:rsidRPr="009A501D">
        <w:rPr>
          <w:rFonts w:ascii="Century Gothic" w:hAnsi="Century Gothic"/>
          <w:b/>
          <w:sz w:val="19"/>
          <w:szCs w:val="19"/>
        </w:rPr>
        <w:t xml:space="preserve"> que cumplen los parámetros de oportunidad establecidos</w:t>
      </w:r>
      <w:r w:rsidR="00747EF1" w:rsidRPr="009A501D">
        <w:rPr>
          <w:rFonts w:ascii="Century Gothic" w:hAnsi="Century Gothic"/>
          <w:b/>
          <w:sz w:val="19"/>
          <w:szCs w:val="19"/>
        </w:rPr>
        <w:t>, por método de generación</w:t>
      </w:r>
    </w:p>
    <w:tbl>
      <w:tblPr>
        <w:tblW w:w="9356" w:type="dxa"/>
        <w:jc w:val="center"/>
        <w:tblLayout w:type="fixed"/>
        <w:tblCellMar>
          <w:left w:w="70" w:type="dxa"/>
          <w:right w:w="70" w:type="dxa"/>
        </w:tblCellMar>
        <w:tblLook w:val="04A0" w:firstRow="1" w:lastRow="0" w:firstColumn="1" w:lastColumn="0" w:noHBand="0" w:noVBand="1"/>
      </w:tblPr>
      <w:tblGrid>
        <w:gridCol w:w="6096"/>
        <w:gridCol w:w="708"/>
        <w:gridCol w:w="1134"/>
        <w:gridCol w:w="709"/>
        <w:gridCol w:w="709"/>
      </w:tblGrid>
      <w:tr w:rsidR="00FF5EF0" w:rsidRPr="009A501D" w14:paraId="49BC17F9" w14:textId="2B64DB89"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2116A483" w14:textId="07DBD2E4" w:rsidR="00FF5EF0" w:rsidRPr="009A501D" w:rsidRDefault="00FF5EF0" w:rsidP="00664A1D">
            <w:pPr>
              <w:spacing w:after="0" w:line="240" w:lineRule="auto"/>
              <w:jc w:val="center"/>
              <w:rPr>
                <w:rFonts w:ascii="Century Gothic" w:eastAsia="Times New Roman" w:hAnsi="Century Gothic" w:cs="Calibri"/>
                <w:b/>
                <w:bCs/>
                <w:color w:val="FFFFFF" w:themeColor="background1"/>
                <w:sz w:val="16"/>
                <w:szCs w:val="16"/>
                <w:lang w:eastAsia="es-MX"/>
              </w:rPr>
            </w:pPr>
            <w:r w:rsidRPr="009A501D">
              <w:rPr>
                <w:rFonts w:ascii="Century Gothic" w:eastAsia="Times New Roman" w:hAnsi="Century Gothic" w:cs="Calibri"/>
                <w:b/>
                <w:bCs/>
                <w:color w:val="FFFFFF" w:themeColor="background1"/>
                <w:sz w:val="16"/>
                <w:szCs w:val="16"/>
                <w:lang w:eastAsia="es-MX"/>
              </w:rPr>
              <w:t>Método de Generación</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50FEFA92" w14:textId="77777777" w:rsidR="00FF5EF0" w:rsidRPr="009A501D" w:rsidRDefault="00FF5EF0" w:rsidP="00664A1D">
            <w:pPr>
              <w:spacing w:after="0" w:line="240" w:lineRule="auto"/>
              <w:jc w:val="center"/>
              <w:rPr>
                <w:rFonts w:ascii="Century Gothic" w:eastAsia="Times New Roman" w:hAnsi="Century Gothic" w:cs="Calibri"/>
                <w:b/>
                <w:bCs/>
                <w:color w:val="FFFFFF" w:themeColor="background1"/>
                <w:sz w:val="16"/>
                <w:szCs w:val="16"/>
                <w:lang w:eastAsia="es-MX"/>
              </w:rPr>
            </w:pPr>
            <w:r w:rsidRPr="009A501D">
              <w:rPr>
                <w:rFonts w:ascii="Century Gothic" w:eastAsia="Times New Roman" w:hAnsi="Century Gothic" w:cs="Calibri"/>
                <w:b/>
                <w:bCs/>
                <w:color w:val="FFFFFF" w:themeColor="background1"/>
                <w:sz w:val="16"/>
                <w:szCs w:val="16"/>
                <w:lang w:eastAsia="es-MX"/>
              </w:rPr>
              <w:t>2019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60DF915F" w14:textId="77777777" w:rsidR="00FF5EF0" w:rsidRPr="009A501D" w:rsidRDefault="00FF5EF0" w:rsidP="00664A1D">
            <w:pPr>
              <w:spacing w:after="0" w:line="240" w:lineRule="auto"/>
              <w:jc w:val="center"/>
              <w:rPr>
                <w:rFonts w:ascii="Century Gothic" w:eastAsia="Times New Roman" w:hAnsi="Century Gothic" w:cs="Calibri"/>
                <w:b/>
                <w:bCs/>
                <w:color w:val="FFFFFF" w:themeColor="background1"/>
                <w:sz w:val="16"/>
                <w:szCs w:val="16"/>
                <w:lang w:eastAsia="es-MX"/>
              </w:rPr>
            </w:pPr>
            <w:r w:rsidRPr="009A501D">
              <w:rPr>
                <w:rFonts w:ascii="Century Gothic" w:eastAsia="Times New Roman" w:hAnsi="Century Gothic" w:cs="Calibri"/>
                <w:b/>
                <w:bCs/>
                <w:color w:val="FFFFFF" w:themeColor="background1"/>
                <w:sz w:val="16"/>
                <w:szCs w:val="16"/>
                <w:lang w:eastAsia="es-MX"/>
              </w:rPr>
              <w:t>2020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7BD8DDA6" w14:textId="77777777" w:rsidR="00FF5EF0" w:rsidRPr="009A501D" w:rsidRDefault="00FF5EF0" w:rsidP="00664A1D">
            <w:pPr>
              <w:spacing w:after="0" w:line="240" w:lineRule="auto"/>
              <w:jc w:val="center"/>
              <w:rPr>
                <w:rFonts w:ascii="Century Gothic" w:eastAsia="Times New Roman" w:hAnsi="Century Gothic" w:cs="Calibri"/>
                <w:b/>
                <w:bCs/>
                <w:color w:val="FFFFFF" w:themeColor="background1"/>
                <w:sz w:val="16"/>
                <w:szCs w:val="16"/>
                <w:lang w:eastAsia="es-MX"/>
              </w:rPr>
            </w:pPr>
            <w:r w:rsidRPr="009A501D">
              <w:rPr>
                <w:rFonts w:ascii="Century Gothic" w:eastAsia="Times New Roman" w:hAnsi="Century Gothic" w:cs="Calibri"/>
                <w:b/>
                <w:bCs/>
                <w:color w:val="FFFFFF" w:themeColor="background1"/>
                <w:sz w:val="16"/>
                <w:szCs w:val="16"/>
                <w:lang w:eastAsia="es-MX"/>
              </w:rPr>
              <w:t>2021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tcPr>
          <w:p w14:paraId="5746CF90" w14:textId="1655D8D2" w:rsidR="00FF5EF0" w:rsidRPr="009A501D" w:rsidRDefault="00FF5EF0" w:rsidP="00664A1D">
            <w:pPr>
              <w:spacing w:after="0" w:line="240" w:lineRule="auto"/>
              <w:jc w:val="center"/>
              <w:rPr>
                <w:rFonts w:ascii="Century Gothic" w:eastAsia="Times New Roman" w:hAnsi="Century Gothic" w:cs="Calibri"/>
                <w:b/>
                <w:bCs/>
                <w:color w:val="FFFFFF" w:themeColor="background1"/>
                <w:sz w:val="16"/>
                <w:szCs w:val="16"/>
                <w:lang w:eastAsia="es-MX"/>
              </w:rPr>
            </w:pPr>
            <w:r w:rsidRPr="009A501D">
              <w:rPr>
                <w:rFonts w:ascii="Century Gothic" w:eastAsia="Times New Roman" w:hAnsi="Century Gothic" w:cs="Calibri"/>
                <w:b/>
                <w:bCs/>
                <w:color w:val="FFFFFF" w:themeColor="background1"/>
                <w:sz w:val="16"/>
                <w:szCs w:val="16"/>
                <w:lang w:eastAsia="es-MX"/>
              </w:rPr>
              <w:t>2022</w:t>
            </w:r>
          </w:p>
        </w:tc>
      </w:tr>
      <w:tr w:rsidR="00FF5EF0" w:rsidRPr="009A501D" w14:paraId="30EB1472" w14:textId="5295BB60"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FF0903C"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Actualización cartográfica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FF2B594" w14:textId="77777777" w:rsidR="00FF5EF0" w:rsidRPr="009A501D" w:rsidRDefault="00FF5EF0" w:rsidP="00664A1D">
            <w:pPr>
              <w:spacing w:after="0" w:line="240" w:lineRule="auto"/>
              <w:jc w:val="center"/>
              <w:rPr>
                <w:rFonts w:ascii="Century Gothic" w:eastAsia="Times New Roman" w:hAnsi="Century Gothic" w:cs="Times New Roman"/>
                <w:sz w:val="16"/>
                <w:szCs w:val="16"/>
                <w:lang w:eastAsia="es-MX"/>
              </w:rPr>
            </w:pPr>
            <w:r w:rsidRPr="009A501D">
              <w:rPr>
                <w:rFonts w:ascii="Century Gothic" w:eastAsia="Times New Roman" w:hAnsi="Century Gothic" w:cs="Times New Roman"/>
                <w:sz w:val="16"/>
                <w:szCs w:val="16"/>
                <w:lang w:eastAsia="es-MX"/>
              </w:rPr>
              <w:t>NA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D2CF3B1"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08D89C4"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100%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423993" w14:textId="2573AF06"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100%</w:t>
            </w:r>
          </w:p>
        </w:tc>
      </w:tr>
      <w:tr w:rsidR="00FF5EF0" w:rsidRPr="009A501D" w14:paraId="62223580" w14:textId="68A7A53A"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57C3700"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6F7672"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100%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91FAE02"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78%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F635E37"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70%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7A8056" w14:textId="620E51F8"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100%</w:t>
            </w:r>
          </w:p>
        </w:tc>
      </w:tr>
      <w:tr w:rsidR="00FF5EF0" w:rsidRPr="009A501D" w14:paraId="2B8060AF" w14:textId="309A03B0"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56B6151"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por muestreo mixto</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F23BA31"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8AAE32E"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EDA65CE"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8C435E" w14:textId="5A6B7A4C"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67%</w:t>
            </w:r>
          </w:p>
        </w:tc>
      </w:tr>
      <w:tr w:rsidR="00FF5EF0" w:rsidRPr="009A501D" w14:paraId="55AD27E2" w14:textId="6301421E"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709F309"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probabilística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C0FDBB9"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76D1B86"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FC5E349"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5251FD" w14:textId="683FA254"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42%</w:t>
            </w:r>
          </w:p>
        </w:tc>
      </w:tr>
      <w:tr w:rsidR="00FF5EF0" w:rsidRPr="009A501D" w14:paraId="1F6245FF" w14:textId="6B202F9F"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EDFE410"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 derivada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B18DD88"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73%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3F78537"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76%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9BE94E0"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88%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CFE95C" w14:textId="6C435FDB"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81%</w:t>
            </w:r>
          </w:p>
        </w:tc>
      </w:tr>
      <w:tr w:rsidR="00FF5EF0" w:rsidRPr="009A501D" w14:paraId="4F63C67A" w14:textId="5F385F56"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823FB6A"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Estructuración e integración de redes geométricas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35C734" w14:textId="77777777" w:rsidR="00FF5EF0" w:rsidRPr="009A501D" w:rsidRDefault="00FF5EF0" w:rsidP="00664A1D">
            <w:pPr>
              <w:spacing w:after="0" w:line="240" w:lineRule="auto"/>
              <w:jc w:val="center"/>
              <w:rPr>
                <w:rFonts w:ascii="Century Gothic" w:eastAsia="Times New Roman" w:hAnsi="Century Gothic" w:cs="Times New Roman"/>
                <w:sz w:val="16"/>
                <w:szCs w:val="16"/>
                <w:lang w:eastAsia="es-MX"/>
              </w:rPr>
            </w:pPr>
            <w:r w:rsidRPr="009A501D">
              <w:rPr>
                <w:rFonts w:ascii="Century Gothic" w:eastAsia="Times New Roman" w:hAnsi="Century Gothic" w:cs="Times New Roman"/>
                <w:sz w:val="16"/>
                <w:szCs w:val="16"/>
                <w:lang w:eastAsia="es-MX"/>
              </w:rPr>
              <w:t>NA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280BFA"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100%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46059DA"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AE5C2F" w14:textId="6FC1519C"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eastAsia="Times New Roman" w:hAnsi="Century Gothic" w:cs="Calibri"/>
                <w:color w:val="000000"/>
                <w:sz w:val="16"/>
                <w:szCs w:val="16"/>
                <w:lang w:eastAsia="es-MX"/>
              </w:rPr>
              <w:t>100%</w:t>
            </w:r>
          </w:p>
        </w:tc>
      </w:tr>
      <w:tr w:rsidR="00FF5EF0" w:rsidRPr="009A501D" w14:paraId="043FBAE4" w14:textId="0C1326CF"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1C21EB2"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Proceso de generación de información topográfica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A14C0DB"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9375BBC"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BC734C1"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C47B5C" w14:textId="6664D404"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50%</w:t>
            </w:r>
          </w:p>
        </w:tc>
      </w:tr>
      <w:tr w:rsidR="00FF5EF0" w:rsidRPr="009A501D" w14:paraId="343683FB" w14:textId="6DBD600C"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F16A16" w14:textId="77777777" w:rsidR="00FF5EF0" w:rsidRPr="009A501D" w:rsidRDefault="00FF5EF0"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Procesos estadísticos que integran y/o aprovechan fuentes administrativas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5ACFB32"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76%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82D5C4C"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F3A8CC0" w14:textId="77777777" w:rsidR="00FF5EF0" w:rsidRPr="009A501D" w:rsidRDefault="00FF5EF0"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69%</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1A8E38" w14:textId="45269184" w:rsidR="00FF5EF0" w:rsidRPr="009A501D" w:rsidRDefault="00FF5EF0" w:rsidP="00664A1D">
            <w:pPr>
              <w:spacing w:after="0" w:line="240" w:lineRule="auto"/>
              <w:jc w:val="center"/>
              <w:rPr>
                <w:rFonts w:ascii="Century Gothic" w:eastAsia="Times New Roman" w:hAnsi="Century Gothic" w:cs="Calibri"/>
                <w:color w:val="FFFFFF" w:themeColor="background1"/>
                <w:sz w:val="16"/>
                <w:szCs w:val="16"/>
                <w:lang w:eastAsia="es-MX"/>
              </w:rPr>
            </w:pPr>
            <w:r w:rsidRPr="009A501D">
              <w:rPr>
                <w:rFonts w:ascii="Century Gothic" w:hAnsi="Century Gothic" w:cs="Calibri"/>
                <w:color w:val="000000"/>
                <w:sz w:val="16"/>
                <w:szCs w:val="16"/>
              </w:rPr>
              <w:t>83%</w:t>
            </w:r>
          </w:p>
        </w:tc>
      </w:tr>
      <w:tr w:rsidR="00FF5EF0" w:rsidRPr="009A501D" w14:paraId="22C38817" w14:textId="36CEB683" w:rsidTr="00664A1D">
        <w:trPr>
          <w:trHeight w:val="290"/>
          <w:jc w:val="center"/>
        </w:trPr>
        <w:tc>
          <w:tcPr>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2A72131F" w14:textId="4D81C0BA" w:rsidR="00FF5EF0" w:rsidRPr="009A501D" w:rsidRDefault="00FF5EF0" w:rsidP="00664A1D">
            <w:pPr>
              <w:spacing w:after="0" w:line="240" w:lineRule="auto"/>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Total</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3CEA1E26" w14:textId="77777777" w:rsidR="00FF5EF0" w:rsidRPr="009A501D" w:rsidRDefault="00FF5EF0" w:rsidP="00664A1D">
            <w:pPr>
              <w:spacing w:after="0" w:line="240" w:lineRule="auto"/>
              <w:jc w:val="center"/>
              <w:rPr>
                <w:rFonts w:ascii="Century Gothic" w:eastAsia="Times New Roman" w:hAnsi="Century Gothic" w:cs="Calibri"/>
                <w:b/>
                <w:color w:val="FFFFFF" w:themeColor="background1"/>
                <w:sz w:val="16"/>
                <w:szCs w:val="16"/>
                <w:lang w:eastAsia="es-MX"/>
              </w:rPr>
            </w:pPr>
            <w:r w:rsidRPr="009A501D">
              <w:rPr>
                <w:rFonts w:ascii="Century Gothic" w:hAnsi="Century Gothic" w:cs="Calibri"/>
                <w:b/>
                <w:color w:val="FFFFFF" w:themeColor="background1"/>
                <w:sz w:val="16"/>
                <w:szCs w:val="16"/>
              </w:rPr>
              <w:t>71%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7C937F94" w14:textId="77777777" w:rsidR="00FF5EF0" w:rsidRPr="009A501D" w:rsidRDefault="00FF5EF0" w:rsidP="00664A1D">
            <w:pPr>
              <w:spacing w:after="0" w:line="240" w:lineRule="auto"/>
              <w:jc w:val="center"/>
              <w:rPr>
                <w:rFonts w:ascii="Century Gothic" w:eastAsia="Times New Roman" w:hAnsi="Century Gothic" w:cs="Calibri"/>
                <w:b/>
                <w:color w:val="FFFFFF" w:themeColor="background1"/>
                <w:sz w:val="16"/>
                <w:szCs w:val="16"/>
                <w:lang w:eastAsia="es-MX"/>
              </w:rPr>
            </w:pPr>
            <w:r w:rsidRPr="009A501D">
              <w:rPr>
                <w:rFonts w:ascii="Century Gothic" w:hAnsi="Century Gothic" w:cs="Calibri"/>
                <w:b/>
                <w:color w:val="FFFFFF" w:themeColor="background1"/>
                <w:sz w:val="16"/>
                <w:szCs w:val="16"/>
              </w:rPr>
              <w:t>62%</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192408F" w14:textId="77777777" w:rsidR="00FF5EF0" w:rsidRPr="009A501D" w:rsidRDefault="00FF5EF0" w:rsidP="00664A1D">
            <w:pPr>
              <w:spacing w:after="0" w:line="240" w:lineRule="auto"/>
              <w:jc w:val="center"/>
              <w:rPr>
                <w:rFonts w:ascii="Century Gothic" w:eastAsia="Times New Roman" w:hAnsi="Century Gothic" w:cs="Calibri"/>
                <w:b/>
                <w:color w:val="FFFFFF" w:themeColor="background1"/>
                <w:sz w:val="16"/>
                <w:szCs w:val="16"/>
                <w:lang w:eastAsia="es-MX"/>
              </w:rPr>
            </w:pPr>
            <w:r w:rsidRPr="009A501D">
              <w:rPr>
                <w:rFonts w:ascii="Century Gothic" w:hAnsi="Century Gothic" w:cs="Calibri"/>
                <w:b/>
                <w:color w:val="FFFFFF" w:themeColor="background1"/>
                <w:sz w:val="16"/>
                <w:szCs w:val="16"/>
              </w:rPr>
              <w:t>68%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tcPr>
          <w:p w14:paraId="333C93F6" w14:textId="2BEAC997" w:rsidR="00FF5EF0" w:rsidRPr="009A501D" w:rsidRDefault="00FF5EF0" w:rsidP="00664A1D">
            <w:pPr>
              <w:spacing w:after="0" w:line="240" w:lineRule="auto"/>
              <w:jc w:val="center"/>
              <w:rPr>
                <w:rFonts w:ascii="Century Gothic" w:eastAsia="Times New Roman" w:hAnsi="Century Gothic" w:cs="Calibri"/>
                <w:b/>
                <w:color w:val="FFFFFF" w:themeColor="background1"/>
                <w:sz w:val="16"/>
                <w:szCs w:val="16"/>
                <w:lang w:eastAsia="es-MX"/>
              </w:rPr>
            </w:pPr>
            <w:r w:rsidRPr="009A501D">
              <w:rPr>
                <w:rFonts w:ascii="Century Gothic" w:hAnsi="Century Gothic" w:cs="Calibri"/>
                <w:b/>
                <w:color w:val="FFFFFF" w:themeColor="background1"/>
                <w:sz w:val="16"/>
                <w:szCs w:val="16"/>
              </w:rPr>
              <w:t>7</w:t>
            </w:r>
            <w:r w:rsidR="00185B0C" w:rsidRPr="009A501D">
              <w:rPr>
                <w:rFonts w:ascii="Century Gothic" w:hAnsi="Century Gothic" w:cs="Calibri"/>
                <w:b/>
                <w:color w:val="FFFFFF" w:themeColor="background1"/>
                <w:sz w:val="16"/>
                <w:szCs w:val="16"/>
              </w:rPr>
              <w:t>6</w:t>
            </w:r>
            <w:r w:rsidRPr="009A501D">
              <w:rPr>
                <w:rFonts w:ascii="Century Gothic" w:hAnsi="Century Gothic" w:cs="Calibri"/>
                <w:b/>
                <w:color w:val="FFFFFF" w:themeColor="background1"/>
                <w:sz w:val="16"/>
                <w:szCs w:val="16"/>
              </w:rPr>
              <w:t>%</w:t>
            </w:r>
          </w:p>
        </w:tc>
      </w:tr>
    </w:tbl>
    <w:p w14:paraId="5D87DB29" w14:textId="10A080B8" w:rsidR="0039763F" w:rsidRPr="009A501D" w:rsidRDefault="0039763F" w:rsidP="0039763F">
      <w:pPr>
        <w:ind w:firstLine="709"/>
        <w:jc w:val="both"/>
        <w:rPr>
          <w:rFonts w:ascii="Century Gothic" w:hAnsi="Century Gothic"/>
          <w:sz w:val="14"/>
          <w:szCs w:val="14"/>
        </w:rPr>
      </w:pPr>
      <w:r w:rsidRPr="009A501D">
        <w:rPr>
          <w:rFonts w:ascii="Century Gothic" w:hAnsi="Century Gothic"/>
          <w:sz w:val="14"/>
          <w:szCs w:val="14"/>
        </w:rPr>
        <w:t>NA: no aplica.</w:t>
      </w:r>
    </w:p>
    <w:p w14:paraId="7769F409" w14:textId="50D08101" w:rsidR="00F334D9" w:rsidRPr="009A501D" w:rsidRDefault="00D0621E" w:rsidP="00664A1D">
      <w:pPr>
        <w:spacing w:before="240"/>
        <w:jc w:val="both"/>
        <w:rPr>
          <w:rFonts w:ascii="Century Gothic" w:hAnsi="Century Gothic"/>
          <w:sz w:val="19"/>
          <w:szCs w:val="19"/>
        </w:rPr>
      </w:pPr>
      <w:r w:rsidRPr="009A501D">
        <w:rPr>
          <w:rFonts w:ascii="Century Gothic" w:hAnsi="Century Gothic"/>
          <w:sz w:val="19"/>
          <w:szCs w:val="19"/>
        </w:rPr>
        <w:t>Al respecto, e</w:t>
      </w:r>
      <w:r w:rsidR="00F334D9" w:rsidRPr="009A501D">
        <w:rPr>
          <w:rFonts w:ascii="Century Gothic" w:hAnsi="Century Gothic"/>
          <w:sz w:val="19"/>
          <w:szCs w:val="19"/>
        </w:rPr>
        <w:t xml:space="preserve">n la gráfica </w:t>
      </w:r>
      <w:r w:rsidR="002E4AA4" w:rsidRPr="009A501D">
        <w:rPr>
          <w:rFonts w:ascii="Century Gothic" w:hAnsi="Century Gothic"/>
          <w:sz w:val="19"/>
          <w:szCs w:val="19"/>
        </w:rPr>
        <w:t>III</w:t>
      </w:r>
      <w:r w:rsidR="00F334D9" w:rsidRPr="009A501D">
        <w:rPr>
          <w:rFonts w:ascii="Century Gothic" w:hAnsi="Century Gothic"/>
          <w:sz w:val="19"/>
          <w:szCs w:val="19"/>
        </w:rPr>
        <w:t xml:space="preserve">.2.3 se </w:t>
      </w:r>
      <w:r w:rsidRPr="009A501D">
        <w:rPr>
          <w:rFonts w:ascii="Century Gothic" w:hAnsi="Century Gothic"/>
          <w:sz w:val="19"/>
          <w:szCs w:val="19"/>
        </w:rPr>
        <w:t xml:space="preserve">observan </w:t>
      </w:r>
      <w:r w:rsidR="00F334D9" w:rsidRPr="009A501D">
        <w:rPr>
          <w:rFonts w:ascii="Century Gothic" w:hAnsi="Century Gothic"/>
          <w:sz w:val="19"/>
          <w:szCs w:val="19"/>
        </w:rPr>
        <w:t xml:space="preserve">los resultados del </w:t>
      </w:r>
      <w:r w:rsidR="00F334D9" w:rsidRPr="009A501D">
        <w:rPr>
          <w:rFonts w:ascii="Century Gothic" w:hAnsi="Century Gothic"/>
          <w:i/>
          <w:iCs/>
          <w:sz w:val="19"/>
          <w:szCs w:val="19"/>
        </w:rPr>
        <w:t>Indicador Institucional de Oportunidad</w:t>
      </w:r>
      <w:r w:rsidR="000B061C" w:rsidRPr="009A501D">
        <w:rPr>
          <w:rFonts w:ascii="Century Gothic" w:hAnsi="Century Gothic"/>
          <w:sz w:val="19"/>
          <w:szCs w:val="19"/>
        </w:rPr>
        <w:t xml:space="preserve"> (IIO)</w:t>
      </w:r>
      <w:r w:rsidR="00F334D9" w:rsidRPr="009A501D">
        <w:rPr>
          <w:rFonts w:ascii="Century Gothic" w:hAnsi="Century Gothic"/>
          <w:sz w:val="19"/>
          <w:szCs w:val="19"/>
        </w:rPr>
        <w:t>, las desviaciones estándar (S1 y S2), así como l</w:t>
      </w:r>
      <w:r w:rsidR="00747EF1" w:rsidRPr="009A501D">
        <w:rPr>
          <w:rFonts w:ascii="Century Gothic" w:hAnsi="Century Gothic"/>
          <w:sz w:val="19"/>
          <w:szCs w:val="19"/>
        </w:rPr>
        <w:t>a</w:t>
      </w:r>
      <w:r w:rsidR="00F334D9" w:rsidRPr="009A501D">
        <w:rPr>
          <w:rFonts w:ascii="Century Gothic" w:hAnsi="Century Gothic"/>
          <w:sz w:val="19"/>
          <w:szCs w:val="19"/>
        </w:rPr>
        <w:t xml:space="preserve">s </w:t>
      </w:r>
      <w:r w:rsidR="00246796" w:rsidRPr="009A501D">
        <w:rPr>
          <w:rFonts w:ascii="Century Gothic" w:hAnsi="Century Gothic"/>
          <w:sz w:val="19"/>
          <w:szCs w:val="19"/>
        </w:rPr>
        <w:t>p</w:t>
      </w:r>
      <w:r w:rsidR="00747EF1" w:rsidRPr="009A501D">
        <w:rPr>
          <w:rFonts w:ascii="Century Gothic" w:hAnsi="Century Gothic"/>
          <w:sz w:val="19"/>
          <w:szCs w:val="19"/>
        </w:rPr>
        <w:t>ublicaciones</w:t>
      </w:r>
      <w:r w:rsidR="00F334D9" w:rsidRPr="009A501D">
        <w:rPr>
          <w:rFonts w:ascii="Century Gothic" w:hAnsi="Century Gothic"/>
          <w:sz w:val="19"/>
          <w:szCs w:val="19"/>
        </w:rPr>
        <w:t xml:space="preserve"> cuyo </w:t>
      </w:r>
      <w:r w:rsidR="00F334D9" w:rsidRPr="009A501D">
        <w:rPr>
          <w:rFonts w:ascii="Century Gothic" w:hAnsi="Century Gothic"/>
          <w:i/>
          <w:iCs/>
          <w:sz w:val="19"/>
          <w:szCs w:val="19"/>
        </w:rPr>
        <w:t>indicador de oportunidad</w:t>
      </w:r>
      <w:r w:rsidR="00F334D9" w:rsidRPr="009A501D">
        <w:rPr>
          <w:rFonts w:ascii="Century Gothic" w:hAnsi="Century Gothic"/>
          <w:sz w:val="19"/>
          <w:szCs w:val="19"/>
        </w:rPr>
        <w:t xml:space="preserve"> estuvo por debajo de S2 y por arriba de S1.</w:t>
      </w:r>
      <w:r w:rsidRPr="009A501D">
        <w:rPr>
          <w:rFonts w:ascii="Century Gothic" w:hAnsi="Century Gothic"/>
          <w:sz w:val="19"/>
          <w:szCs w:val="19"/>
        </w:rPr>
        <w:t xml:space="preserve"> </w:t>
      </w:r>
      <w:r w:rsidR="00090E30" w:rsidRPr="009A501D">
        <w:rPr>
          <w:rFonts w:ascii="Century Gothic" w:hAnsi="Century Gothic"/>
          <w:sz w:val="19"/>
          <w:szCs w:val="19"/>
        </w:rPr>
        <w:t>El IIO es el promedio de los indicadores de oportunidad de todos los programas de información, el valor de este indicador es cercano a cero, lo que indica que, en promedio, los programas del INEGI cumplen el parámetro de oportunidad establecido</w:t>
      </w:r>
      <w:r w:rsidR="007A206B" w:rsidRPr="009A501D">
        <w:rPr>
          <w:rFonts w:ascii="Century Gothic" w:hAnsi="Century Gothic"/>
          <w:sz w:val="19"/>
          <w:szCs w:val="19"/>
        </w:rPr>
        <w:t>.</w:t>
      </w:r>
      <w:r w:rsidR="00090E30" w:rsidRPr="009A501D">
        <w:rPr>
          <w:rFonts w:ascii="Century Gothic" w:hAnsi="Century Gothic"/>
          <w:sz w:val="19"/>
          <w:szCs w:val="19"/>
        </w:rPr>
        <w:t xml:space="preserve">  Los programas que mejor oportunidad tienen son aquellos cuyo valor es superior al S1. Por el contrario, los programas que están por debajo del S2 son los que más alejados están de su parámetro de oportunidad en términos porcentuales. </w:t>
      </w:r>
      <w:r w:rsidR="007A206B" w:rsidRPr="009A501D">
        <w:rPr>
          <w:rFonts w:ascii="Century Gothic" w:hAnsi="Century Gothic"/>
          <w:sz w:val="19"/>
          <w:szCs w:val="19"/>
        </w:rPr>
        <w:t xml:space="preserve"> Es por ello, que </w:t>
      </w:r>
      <w:r w:rsidR="00296C95" w:rsidRPr="009A501D">
        <w:rPr>
          <w:rFonts w:ascii="Century Gothic" w:hAnsi="Century Gothic"/>
          <w:sz w:val="19"/>
          <w:szCs w:val="19"/>
        </w:rPr>
        <w:t>c</w:t>
      </w:r>
      <w:r w:rsidR="00F334D9" w:rsidRPr="009A501D">
        <w:rPr>
          <w:rFonts w:ascii="Century Gothic" w:hAnsi="Century Gothic"/>
          <w:sz w:val="19"/>
          <w:szCs w:val="19"/>
        </w:rPr>
        <w:t xml:space="preserve">onviene </w:t>
      </w:r>
      <w:r w:rsidR="007A206B" w:rsidRPr="009A501D">
        <w:rPr>
          <w:rFonts w:ascii="Century Gothic" w:hAnsi="Century Gothic"/>
          <w:sz w:val="19"/>
          <w:szCs w:val="19"/>
        </w:rPr>
        <w:t xml:space="preserve">llevar a cabo </w:t>
      </w:r>
      <w:r w:rsidR="00F334D9" w:rsidRPr="009A501D">
        <w:rPr>
          <w:rFonts w:ascii="Century Gothic" w:hAnsi="Century Gothic"/>
          <w:sz w:val="19"/>
          <w:szCs w:val="19"/>
        </w:rPr>
        <w:t>análisis más profundo</w:t>
      </w:r>
      <w:r w:rsidR="007A206B" w:rsidRPr="009A501D">
        <w:rPr>
          <w:rFonts w:ascii="Century Gothic" w:hAnsi="Century Gothic"/>
          <w:sz w:val="19"/>
          <w:szCs w:val="19"/>
        </w:rPr>
        <w:t xml:space="preserve">s que permitan avanzar en el establecimiento de </w:t>
      </w:r>
      <w:r w:rsidR="00F334D9" w:rsidRPr="009A501D">
        <w:rPr>
          <w:rFonts w:ascii="Century Gothic" w:hAnsi="Century Gothic"/>
          <w:sz w:val="19"/>
          <w:szCs w:val="19"/>
        </w:rPr>
        <w:t>estrategias</w:t>
      </w:r>
      <w:r w:rsidR="007A206B" w:rsidRPr="009A501D">
        <w:rPr>
          <w:rFonts w:ascii="Century Gothic" w:hAnsi="Century Gothic"/>
          <w:sz w:val="19"/>
          <w:szCs w:val="19"/>
        </w:rPr>
        <w:t xml:space="preserve"> diferenciadas</w:t>
      </w:r>
      <w:r w:rsidR="00F334D9" w:rsidRPr="009A501D">
        <w:rPr>
          <w:rFonts w:ascii="Century Gothic" w:hAnsi="Century Gothic"/>
          <w:sz w:val="19"/>
          <w:szCs w:val="19"/>
        </w:rPr>
        <w:t xml:space="preserve"> para mejorar los tiempos </w:t>
      </w:r>
      <w:r w:rsidR="007A206B" w:rsidRPr="009A501D">
        <w:rPr>
          <w:rFonts w:ascii="Century Gothic" w:hAnsi="Century Gothic"/>
          <w:sz w:val="19"/>
          <w:szCs w:val="19"/>
        </w:rPr>
        <w:t xml:space="preserve">en aquellos casos en los </w:t>
      </w:r>
      <w:r w:rsidR="00723568" w:rsidRPr="009A501D">
        <w:rPr>
          <w:rFonts w:ascii="Century Gothic" w:hAnsi="Century Gothic"/>
          <w:sz w:val="19"/>
          <w:szCs w:val="19"/>
        </w:rPr>
        <w:t xml:space="preserve">que la oportunidad no es la deseada. </w:t>
      </w:r>
    </w:p>
    <w:p w14:paraId="36C3F35B" w14:textId="65152CCD" w:rsidR="00DA78E1" w:rsidRPr="009A501D" w:rsidRDefault="00233376" w:rsidP="00664A1D">
      <w:pPr>
        <w:spacing w:before="240"/>
        <w:jc w:val="center"/>
        <w:rPr>
          <w:rFonts w:ascii="Century Gothic" w:hAnsi="Century Gothic"/>
          <w:sz w:val="19"/>
          <w:szCs w:val="19"/>
        </w:rPr>
      </w:pPr>
      <w:r w:rsidRPr="009A501D">
        <w:rPr>
          <w:rFonts w:ascii="Century Gothic" w:hAnsi="Century Gothic"/>
          <w:b/>
          <w:sz w:val="19"/>
          <w:szCs w:val="19"/>
        </w:rPr>
        <w:t>III.2.3. Resultados del cálculo del indicador de oportunidad y el indicador institucional de oportunidad para 2022</w:t>
      </w:r>
    </w:p>
    <w:p w14:paraId="250C44F0" w14:textId="7B8544E2" w:rsidR="00233376" w:rsidRPr="009A501D" w:rsidRDefault="00185B0C" w:rsidP="00664A1D">
      <w:pPr>
        <w:spacing w:before="240"/>
        <w:jc w:val="center"/>
        <w:rPr>
          <w:rFonts w:ascii="Century Gothic" w:hAnsi="Century Gothic"/>
          <w:sz w:val="19"/>
          <w:szCs w:val="19"/>
        </w:rPr>
      </w:pPr>
      <w:r w:rsidRPr="009A501D">
        <w:rPr>
          <w:noProof/>
        </w:rPr>
        <w:drawing>
          <wp:inline distT="0" distB="0" distL="0" distR="0" wp14:anchorId="27564545" wp14:editId="35528BF2">
            <wp:extent cx="6858000" cy="3384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3384550"/>
                    </a:xfrm>
                    <a:prstGeom prst="rect">
                      <a:avLst/>
                    </a:prstGeom>
                    <a:noFill/>
                    <a:ln>
                      <a:noFill/>
                    </a:ln>
                  </pic:spPr>
                </pic:pic>
              </a:graphicData>
            </a:graphic>
          </wp:inline>
        </w:drawing>
      </w:r>
    </w:p>
    <w:p w14:paraId="1858153D" w14:textId="1267AD70" w:rsidR="00233376" w:rsidRPr="009A501D" w:rsidRDefault="00723568" w:rsidP="004F13D7">
      <w:pPr>
        <w:spacing w:before="240"/>
        <w:jc w:val="both"/>
        <w:rPr>
          <w:rFonts w:ascii="Century Gothic" w:hAnsi="Century Gothic"/>
          <w:sz w:val="19"/>
          <w:szCs w:val="19"/>
        </w:rPr>
      </w:pPr>
      <w:r w:rsidRPr="009A501D">
        <w:rPr>
          <w:rFonts w:ascii="Century Gothic" w:hAnsi="Century Gothic"/>
          <w:sz w:val="19"/>
          <w:szCs w:val="19"/>
        </w:rPr>
        <w:t>Finalmente, a</w:t>
      </w:r>
      <w:r w:rsidR="00233376" w:rsidRPr="009A501D">
        <w:rPr>
          <w:rFonts w:ascii="Century Gothic" w:hAnsi="Century Gothic"/>
          <w:sz w:val="19"/>
          <w:szCs w:val="19"/>
        </w:rPr>
        <w:t xml:space="preserve">demás de los esfuerzos </w:t>
      </w:r>
      <w:r w:rsidR="00937DC5" w:rsidRPr="009A501D">
        <w:rPr>
          <w:rFonts w:ascii="Century Gothic" w:hAnsi="Century Gothic"/>
          <w:sz w:val="19"/>
          <w:szCs w:val="19"/>
        </w:rPr>
        <w:t>que</w:t>
      </w:r>
      <w:r w:rsidR="00233376" w:rsidRPr="009A501D">
        <w:rPr>
          <w:rFonts w:ascii="Century Gothic" w:hAnsi="Century Gothic"/>
          <w:sz w:val="19"/>
          <w:szCs w:val="19"/>
        </w:rPr>
        <w:t xml:space="preserve"> </w:t>
      </w:r>
      <w:r w:rsidR="00FE05C1" w:rsidRPr="009A501D">
        <w:rPr>
          <w:rFonts w:ascii="Century Gothic" w:hAnsi="Century Gothic"/>
          <w:sz w:val="19"/>
          <w:szCs w:val="19"/>
        </w:rPr>
        <w:t>l</w:t>
      </w:r>
      <w:r w:rsidR="00233376" w:rsidRPr="009A501D">
        <w:rPr>
          <w:rFonts w:ascii="Century Gothic" w:hAnsi="Century Gothic"/>
          <w:sz w:val="19"/>
          <w:szCs w:val="19"/>
        </w:rPr>
        <w:t>os responsables de cada proceso de producción</w:t>
      </w:r>
      <w:r w:rsidR="00937DC5" w:rsidRPr="009A501D">
        <w:rPr>
          <w:rFonts w:ascii="Century Gothic" w:hAnsi="Century Gothic"/>
          <w:sz w:val="19"/>
          <w:szCs w:val="19"/>
        </w:rPr>
        <w:t xml:space="preserve"> realizan para mejorar sus niveles de oportunidad</w:t>
      </w:r>
      <w:r w:rsidR="00233376" w:rsidRPr="009A501D">
        <w:rPr>
          <w:rFonts w:ascii="Century Gothic" w:hAnsi="Century Gothic"/>
          <w:sz w:val="19"/>
          <w:szCs w:val="19"/>
        </w:rPr>
        <w:t xml:space="preserve">, en el INEGI se desarrollan proyectos de investigación que buscan </w:t>
      </w:r>
      <w:r w:rsidR="00662FCE" w:rsidRPr="009A501D">
        <w:rPr>
          <w:rFonts w:ascii="Century Gothic" w:hAnsi="Century Gothic"/>
          <w:sz w:val="19"/>
          <w:szCs w:val="19"/>
        </w:rPr>
        <w:t xml:space="preserve">encontrar </w:t>
      </w:r>
      <w:r w:rsidR="00233376" w:rsidRPr="009A501D">
        <w:rPr>
          <w:rFonts w:ascii="Century Gothic" w:hAnsi="Century Gothic"/>
          <w:sz w:val="19"/>
          <w:szCs w:val="19"/>
        </w:rPr>
        <w:t xml:space="preserve">nuevas </w:t>
      </w:r>
      <w:r w:rsidR="00233376" w:rsidRPr="009A501D">
        <w:rPr>
          <w:rFonts w:ascii="Century Gothic" w:hAnsi="Century Gothic"/>
          <w:sz w:val="19"/>
          <w:szCs w:val="19"/>
        </w:rPr>
        <w:lastRenderedPageBreak/>
        <w:t>metodologías para mejorar la oportunidad de la información que se brinda a l</w:t>
      </w:r>
      <w:r w:rsidR="00D0621E" w:rsidRPr="009A501D">
        <w:rPr>
          <w:rFonts w:ascii="Century Gothic" w:hAnsi="Century Gothic"/>
          <w:sz w:val="19"/>
          <w:szCs w:val="19"/>
        </w:rPr>
        <w:t xml:space="preserve">as </w:t>
      </w:r>
      <w:r w:rsidR="00661D1B" w:rsidRPr="009A501D">
        <w:rPr>
          <w:rFonts w:ascii="Century Gothic" w:hAnsi="Century Gothic"/>
          <w:sz w:val="19"/>
          <w:szCs w:val="19"/>
        </w:rPr>
        <w:t>personas</w:t>
      </w:r>
      <w:r w:rsidR="004F13D7" w:rsidRPr="009A501D">
        <w:rPr>
          <w:rFonts w:ascii="Century Gothic" w:hAnsi="Century Gothic"/>
          <w:sz w:val="19"/>
          <w:szCs w:val="19"/>
        </w:rPr>
        <w:t xml:space="preserve"> </w:t>
      </w:r>
      <w:r w:rsidR="00233376" w:rsidRPr="009A501D">
        <w:rPr>
          <w:rFonts w:ascii="Century Gothic" w:hAnsi="Century Gothic"/>
          <w:sz w:val="19"/>
          <w:szCs w:val="19"/>
        </w:rPr>
        <w:t>usuari</w:t>
      </w:r>
      <w:r w:rsidR="00661D1B" w:rsidRPr="009A501D">
        <w:rPr>
          <w:rFonts w:ascii="Century Gothic" w:hAnsi="Century Gothic"/>
          <w:sz w:val="19"/>
          <w:szCs w:val="19"/>
        </w:rPr>
        <w:t>a</w:t>
      </w:r>
      <w:r w:rsidR="00233376" w:rsidRPr="009A501D">
        <w:rPr>
          <w:rFonts w:ascii="Century Gothic" w:hAnsi="Century Gothic"/>
          <w:sz w:val="19"/>
          <w:szCs w:val="19"/>
        </w:rPr>
        <w:t xml:space="preserve">s.   </w:t>
      </w:r>
      <w:r w:rsidR="004F13D7" w:rsidRPr="009A501D">
        <w:rPr>
          <w:rFonts w:ascii="Century Gothic" w:hAnsi="Century Gothic"/>
          <w:sz w:val="19"/>
          <w:szCs w:val="19"/>
        </w:rPr>
        <w:t>Para fines ilustrativos, a</w:t>
      </w:r>
      <w:r w:rsidR="00233376" w:rsidRPr="009A501D">
        <w:rPr>
          <w:rFonts w:ascii="Century Gothic" w:hAnsi="Century Gothic"/>
          <w:sz w:val="19"/>
          <w:szCs w:val="19"/>
        </w:rPr>
        <w:t xml:space="preserve"> continuación</w:t>
      </w:r>
      <w:r w:rsidR="00747EF1" w:rsidRPr="009A501D">
        <w:rPr>
          <w:rFonts w:ascii="Century Gothic" w:hAnsi="Century Gothic"/>
          <w:sz w:val="19"/>
          <w:szCs w:val="19"/>
        </w:rPr>
        <w:t>,</w:t>
      </w:r>
      <w:r w:rsidR="00233376" w:rsidRPr="009A501D">
        <w:rPr>
          <w:rFonts w:ascii="Century Gothic" w:hAnsi="Century Gothic"/>
          <w:sz w:val="19"/>
          <w:szCs w:val="19"/>
        </w:rPr>
        <w:t xml:space="preserve"> se describen dos de</w:t>
      </w:r>
      <w:r w:rsidR="003B4C84" w:rsidRPr="009A501D">
        <w:rPr>
          <w:rFonts w:ascii="Century Gothic" w:hAnsi="Century Gothic"/>
          <w:sz w:val="19"/>
          <w:szCs w:val="19"/>
        </w:rPr>
        <w:t xml:space="preserve"> los </w:t>
      </w:r>
      <w:r w:rsidR="00233376" w:rsidRPr="009A501D">
        <w:rPr>
          <w:rFonts w:ascii="Century Gothic" w:hAnsi="Century Gothic"/>
          <w:sz w:val="19"/>
          <w:szCs w:val="19"/>
        </w:rPr>
        <w:t>proyectos</w:t>
      </w:r>
      <w:r w:rsidR="001F4C2E" w:rsidRPr="009A501D">
        <w:rPr>
          <w:rFonts w:ascii="Century Gothic" w:hAnsi="Century Gothic"/>
          <w:sz w:val="19"/>
          <w:szCs w:val="19"/>
        </w:rPr>
        <w:t xml:space="preserve"> que se llevaron a cabo </w:t>
      </w:r>
      <w:r w:rsidR="003B4C84" w:rsidRPr="009A501D">
        <w:rPr>
          <w:rFonts w:ascii="Century Gothic" w:hAnsi="Century Gothic"/>
          <w:sz w:val="19"/>
          <w:szCs w:val="19"/>
        </w:rPr>
        <w:t>durante</w:t>
      </w:r>
      <w:r w:rsidR="001F4C2E" w:rsidRPr="009A501D">
        <w:rPr>
          <w:rFonts w:ascii="Century Gothic" w:hAnsi="Century Gothic"/>
          <w:sz w:val="19"/>
          <w:szCs w:val="19"/>
        </w:rPr>
        <w:t xml:space="preserve"> 2022</w:t>
      </w:r>
      <w:r w:rsidR="00233376" w:rsidRPr="009A501D">
        <w:rPr>
          <w:rFonts w:ascii="Century Gothic" w:hAnsi="Century Gothic"/>
          <w:sz w:val="19"/>
          <w:szCs w:val="19"/>
        </w:rPr>
        <w:t>.</w:t>
      </w:r>
    </w:p>
    <w:p w14:paraId="2B9DC99A" w14:textId="77777777" w:rsidR="001F4C2E" w:rsidRPr="009A501D" w:rsidRDefault="001F4C2E" w:rsidP="00664A1D">
      <w:pPr>
        <w:pStyle w:val="Prrafodelista"/>
        <w:numPr>
          <w:ilvl w:val="0"/>
          <w:numId w:val="20"/>
        </w:numPr>
        <w:spacing w:before="240"/>
        <w:rPr>
          <w:rFonts w:ascii="Century Gothic" w:hAnsi="Century Gothic"/>
          <w:b/>
          <w:bCs/>
          <w:sz w:val="19"/>
          <w:szCs w:val="19"/>
        </w:rPr>
      </w:pPr>
      <w:r w:rsidRPr="009A501D">
        <w:rPr>
          <w:rFonts w:ascii="Century Gothic" w:hAnsi="Century Gothic"/>
          <w:b/>
          <w:bCs/>
          <w:sz w:val="19"/>
          <w:szCs w:val="19"/>
        </w:rPr>
        <w:t xml:space="preserve">Indicador Oportuno del Consumo Privado (IOCP) </w:t>
      </w:r>
    </w:p>
    <w:p w14:paraId="5F4BD1BD" w14:textId="210E9C6B" w:rsidR="001F4C2E" w:rsidRPr="009A501D" w:rsidRDefault="001F4C2E" w:rsidP="00664A1D">
      <w:pPr>
        <w:spacing w:before="240"/>
        <w:jc w:val="both"/>
        <w:rPr>
          <w:rFonts w:ascii="Century Gothic" w:hAnsi="Century Gothic"/>
          <w:sz w:val="19"/>
          <w:szCs w:val="19"/>
        </w:rPr>
      </w:pPr>
      <w:r w:rsidRPr="009A501D">
        <w:rPr>
          <w:rFonts w:ascii="Century Gothic" w:hAnsi="Century Gothic"/>
          <w:sz w:val="19"/>
          <w:szCs w:val="19"/>
        </w:rPr>
        <w:t xml:space="preserve">Actualmente, el Indicador Mensual del Consumo Privado en el Mercado Interior (IMCPMI), resultante del proceso de las Cuentas de </w:t>
      </w:r>
      <w:r w:rsidR="00AA6485" w:rsidRPr="009A501D">
        <w:rPr>
          <w:rFonts w:ascii="Century Gothic" w:hAnsi="Century Gothic"/>
          <w:sz w:val="19"/>
          <w:szCs w:val="19"/>
        </w:rPr>
        <w:t>B</w:t>
      </w:r>
      <w:r w:rsidRPr="009A501D">
        <w:rPr>
          <w:rFonts w:ascii="Century Gothic" w:hAnsi="Century Gothic"/>
          <w:sz w:val="19"/>
          <w:szCs w:val="19"/>
        </w:rPr>
        <w:t xml:space="preserve">ienes y </w:t>
      </w:r>
      <w:r w:rsidR="00AA6485" w:rsidRPr="009A501D">
        <w:rPr>
          <w:rFonts w:ascii="Century Gothic" w:hAnsi="Century Gothic"/>
          <w:sz w:val="19"/>
          <w:szCs w:val="19"/>
        </w:rPr>
        <w:t>S</w:t>
      </w:r>
      <w:r w:rsidRPr="009A501D">
        <w:rPr>
          <w:rFonts w:ascii="Century Gothic" w:hAnsi="Century Gothic"/>
          <w:sz w:val="19"/>
          <w:szCs w:val="19"/>
        </w:rPr>
        <w:t xml:space="preserve">ervicios y productos relacionados, publica </w:t>
      </w:r>
      <w:r w:rsidR="00973B15" w:rsidRPr="009A501D">
        <w:rPr>
          <w:rFonts w:ascii="Century Gothic" w:hAnsi="Century Gothic"/>
          <w:sz w:val="19"/>
          <w:szCs w:val="19"/>
        </w:rPr>
        <w:t xml:space="preserve">información tres meses </w:t>
      </w:r>
      <w:r w:rsidR="00D401EF" w:rsidRPr="009A501D">
        <w:rPr>
          <w:rFonts w:ascii="Century Gothic" w:hAnsi="Century Gothic"/>
          <w:sz w:val="19"/>
          <w:szCs w:val="19"/>
        </w:rPr>
        <w:t>después del período de referencia</w:t>
      </w:r>
      <w:r w:rsidR="00973B15" w:rsidRPr="009A501D">
        <w:rPr>
          <w:rFonts w:ascii="Century Gothic" w:hAnsi="Century Gothic"/>
          <w:sz w:val="19"/>
          <w:szCs w:val="19"/>
        </w:rPr>
        <w:t xml:space="preserve">. </w:t>
      </w:r>
      <w:r w:rsidRPr="009A501D">
        <w:rPr>
          <w:rFonts w:ascii="Century Gothic" w:hAnsi="Century Gothic"/>
          <w:sz w:val="19"/>
          <w:szCs w:val="19"/>
        </w:rPr>
        <w:t xml:space="preserve">Por tanto, un indicador que gane oportunidad es de gran importancia para la toma de decisiones en materia de política económica, dado que el consumo privado es la variable más relevante entre los componentes de la demanda agregada. </w:t>
      </w:r>
      <w:r w:rsidR="00662FCE" w:rsidRPr="009A501D">
        <w:rPr>
          <w:rFonts w:ascii="Century Gothic" w:hAnsi="Century Gothic"/>
          <w:sz w:val="19"/>
          <w:szCs w:val="19"/>
        </w:rPr>
        <w:t>L</w:t>
      </w:r>
      <w:r w:rsidRPr="009A501D">
        <w:rPr>
          <w:rFonts w:ascii="Century Gothic" w:hAnsi="Century Gothic"/>
          <w:sz w:val="19"/>
          <w:szCs w:val="19"/>
        </w:rPr>
        <w:t xml:space="preserve">a Dirección de Cuentas de Corto Plazo y Regionales y la Dirección General Adjunta de Investigación </w:t>
      </w:r>
      <w:r w:rsidR="00AA6485" w:rsidRPr="009A501D">
        <w:rPr>
          <w:rFonts w:ascii="Century Gothic" w:hAnsi="Century Gothic"/>
          <w:sz w:val="19"/>
          <w:szCs w:val="19"/>
        </w:rPr>
        <w:t>colaboraron en un proyecto para proponer</w:t>
      </w:r>
      <w:r w:rsidRPr="009A501D">
        <w:rPr>
          <w:rFonts w:ascii="Century Gothic" w:hAnsi="Century Gothic"/>
          <w:sz w:val="19"/>
          <w:szCs w:val="19"/>
        </w:rPr>
        <w:t xml:space="preserve"> un indicador que permita estimar el consumo de los hogares mexicanos de manera </w:t>
      </w:r>
      <w:r w:rsidR="00AA6485" w:rsidRPr="009A501D">
        <w:rPr>
          <w:rFonts w:ascii="Century Gothic" w:hAnsi="Century Gothic"/>
          <w:sz w:val="19"/>
          <w:szCs w:val="19"/>
        </w:rPr>
        <w:t>más</w:t>
      </w:r>
      <w:r w:rsidRPr="009A501D">
        <w:rPr>
          <w:rFonts w:ascii="Century Gothic" w:hAnsi="Century Gothic"/>
          <w:sz w:val="19"/>
          <w:szCs w:val="19"/>
        </w:rPr>
        <w:t xml:space="preserve"> oportuna.</w:t>
      </w:r>
    </w:p>
    <w:p w14:paraId="7ABA33B9" w14:textId="2DF19FA4" w:rsidR="001F4C2E" w:rsidRPr="009A501D" w:rsidRDefault="001F4C2E" w:rsidP="00664A1D">
      <w:pPr>
        <w:spacing w:before="240"/>
        <w:jc w:val="both"/>
        <w:rPr>
          <w:rFonts w:ascii="Century Gothic" w:hAnsi="Century Gothic"/>
          <w:sz w:val="19"/>
          <w:szCs w:val="19"/>
        </w:rPr>
      </w:pPr>
      <w:r w:rsidRPr="009A501D">
        <w:rPr>
          <w:rFonts w:ascii="Century Gothic" w:hAnsi="Century Gothic"/>
          <w:sz w:val="19"/>
          <w:szCs w:val="19"/>
        </w:rPr>
        <w:t xml:space="preserve">Dicho esfuerzo concluyó en la estimación del Indicador Oportuno del Consumo Privado (IOCP) mediante un conjunto de modelos econométricos y de aprendizaje </w:t>
      </w:r>
      <w:r w:rsidR="00E970B5" w:rsidRPr="009A501D">
        <w:rPr>
          <w:rFonts w:ascii="Century Gothic" w:hAnsi="Century Gothic"/>
          <w:sz w:val="19"/>
          <w:szCs w:val="19"/>
        </w:rPr>
        <w:t xml:space="preserve">de </w:t>
      </w:r>
      <w:r w:rsidRPr="009A501D">
        <w:rPr>
          <w:rFonts w:ascii="Century Gothic" w:hAnsi="Century Gothic"/>
          <w:sz w:val="19"/>
          <w:szCs w:val="19"/>
        </w:rPr>
        <w:t>máquina (</w:t>
      </w:r>
      <w:r w:rsidRPr="009A501D">
        <w:rPr>
          <w:rFonts w:ascii="Century Gothic" w:hAnsi="Century Gothic"/>
          <w:i/>
          <w:iCs/>
          <w:sz w:val="19"/>
          <w:szCs w:val="19"/>
        </w:rPr>
        <w:t xml:space="preserve">machine </w:t>
      </w:r>
      <w:proofErr w:type="spellStart"/>
      <w:r w:rsidRPr="009A501D">
        <w:rPr>
          <w:rFonts w:ascii="Century Gothic" w:hAnsi="Century Gothic"/>
          <w:i/>
          <w:iCs/>
          <w:sz w:val="19"/>
          <w:szCs w:val="19"/>
        </w:rPr>
        <w:t>learning</w:t>
      </w:r>
      <w:proofErr w:type="spellEnd"/>
      <w:r w:rsidRPr="009A501D">
        <w:rPr>
          <w:rFonts w:ascii="Century Gothic" w:hAnsi="Century Gothic"/>
          <w:sz w:val="19"/>
          <w:szCs w:val="19"/>
        </w:rPr>
        <w:t>)</w:t>
      </w:r>
      <w:r w:rsidR="00662FCE" w:rsidRPr="009A501D">
        <w:rPr>
          <w:rFonts w:ascii="Century Gothic" w:hAnsi="Century Gothic"/>
          <w:sz w:val="19"/>
          <w:szCs w:val="19"/>
        </w:rPr>
        <w:t xml:space="preserve"> que permite </w:t>
      </w:r>
      <w:r w:rsidR="00A4465F" w:rsidRPr="009A501D">
        <w:rPr>
          <w:rFonts w:ascii="Century Gothic" w:hAnsi="Century Gothic"/>
          <w:sz w:val="19"/>
          <w:szCs w:val="19"/>
        </w:rPr>
        <w:t>publica</w:t>
      </w:r>
      <w:r w:rsidR="00662FCE" w:rsidRPr="009A501D">
        <w:rPr>
          <w:rFonts w:ascii="Century Gothic" w:hAnsi="Century Gothic"/>
          <w:sz w:val="19"/>
          <w:szCs w:val="19"/>
        </w:rPr>
        <w:t>r</w:t>
      </w:r>
      <w:r w:rsidR="00A4465F" w:rsidRPr="009A501D">
        <w:rPr>
          <w:rFonts w:ascii="Century Gothic" w:hAnsi="Century Gothic"/>
          <w:sz w:val="19"/>
          <w:szCs w:val="19"/>
        </w:rPr>
        <w:t xml:space="preserve"> información</w:t>
      </w:r>
      <w:r w:rsidR="00662FCE" w:rsidRPr="009A501D">
        <w:rPr>
          <w:rFonts w:ascii="Century Gothic" w:hAnsi="Century Gothic"/>
          <w:sz w:val="19"/>
          <w:szCs w:val="19"/>
        </w:rPr>
        <w:t xml:space="preserve"> </w:t>
      </w:r>
      <w:r w:rsidR="002B70D5" w:rsidRPr="009A501D">
        <w:rPr>
          <w:rFonts w:ascii="Century Gothic" w:hAnsi="Century Gothic"/>
          <w:sz w:val="19"/>
          <w:szCs w:val="19"/>
        </w:rPr>
        <w:t xml:space="preserve">sólo </w:t>
      </w:r>
      <w:r w:rsidR="00A4465F" w:rsidRPr="009A501D">
        <w:rPr>
          <w:rFonts w:ascii="Century Gothic" w:hAnsi="Century Gothic"/>
          <w:sz w:val="19"/>
          <w:szCs w:val="19"/>
        </w:rPr>
        <w:t>un mes de</w:t>
      </w:r>
      <w:r w:rsidR="00D401EF" w:rsidRPr="009A501D">
        <w:rPr>
          <w:rFonts w:ascii="Century Gothic" w:hAnsi="Century Gothic"/>
          <w:sz w:val="19"/>
          <w:szCs w:val="19"/>
        </w:rPr>
        <w:t>spués del período de referenci</w:t>
      </w:r>
      <w:r w:rsidR="00F11916" w:rsidRPr="009A501D">
        <w:rPr>
          <w:rFonts w:ascii="Century Gothic" w:hAnsi="Century Gothic"/>
          <w:sz w:val="19"/>
          <w:szCs w:val="19"/>
        </w:rPr>
        <w:t>a</w:t>
      </w:r>
      <w:r w:rsidR="00662FCE" w:rsidRPr="009A501D">
        <w:rPr>
          <w:rFonts w:ascii="Century Gothic" w:hAnsi="Century Gothic"/>
          <w:sz w:val="19"/>
          <w:szCs w:val="19"/>
        </w:rPr>
        <w:t>.</w:t>
      </w:r>
    </w:p>
    <w:p w14:paraId="618AD81B" w14:textId="376AF76A" w:rsidR="001F4C2E" w:rsidRPr="009A501D" w:rsidRDefault="001F4C2E" w:rsidP="00664A1D">
      <w:pPr>
        <w:pStyle w:val="Prrafodelista"/>
        <w:numPr>
          <w:ilvl w:val="0"/>
          <w:numId w:val="20"/>
        </w:numPr>
        <w:spacing w:before="240"/>
        <w:jc w:val="both"/>
        <w:rPr>
          <w:rFonts w:ascii="Century Gothic" w:hAnsi="Century Gothic"/>
          <w:b/>
          <w:bCs/>
          <w:sz w:val="19"/>
          <w:szCs w:val="19"/>
        </w:rPr>
      </w:pPr>
      <w:r w:rsidRPr="009A501D">
        <w:rPr>
          <w:rFonts w:ascii="Century Gothic" w:hAnsi="Century Gothic"/>
          <w:b/>
          <w:bCs/>
          <w:sz w:val="19"/>
          <w:szCs w:val="19"/>
        </w:rPr>
        <w:t xml:space="preserve"> Indicador </w:t>
      </w:r>
      <w:r w:rsidR="00786020" w:rsidRPr="009A501D">
        <w:rPr>
          <w:rFonts w:ascii="Century Gothic" w:hAnsi="Century Gothic"/>
          <w:b/>
          <w:bCs/>
          <w:sz w:val="19"/>
          <w:szCs w:val="19"/>
        </w:rPr>
        <w:t>O</w:t>
      </w:r>
      <w:r w:rsidRPr="009A501D">
        <w:rPr>
          <w:rFonts w:ascii="Century Gothic" w:hAnsi="Century Gothic"/>
          <w:b/>
          <w:bCs/>
          <w:sz w:val="19"/>
          <w:szCs w:val="19"/>
        </w:rPr>
        <w:t>portuno de la Actividad Económica (IOAE)</w:t>
      </w:r>
    </w:p>
    <w:p w14:paraId="26916212" w14:textId="0F433231" w:rsidR="001F4C2E" w:rsidRPr="009A501D" w:rsidRDefault="001F4C2E" w:rsidP="00664A1D">
      <w:pPr>
        <w:spacing w:before="240"/>
        <w:jc w:val="both"/>
        <w:rPr>
          <w:rFonts w:ascii="Century Gothic" w:hAnsi="Century Gothic"/>
          <w:sz w:val="19"/>
          <w:szCs w:val="19"/>
        </w:rPr>
      </w:pPr>
      <w:r w:rsidRPr="009A501D">
        <w:rPr>
          <w:rFonts w:ascii="Century Gothic" w:hAnsi="Century Gothic"/>
          <w:sz w:val="19"/>
          <w:szCs w:val="19"/>
        </w:rPr>
        <w:t xml:space="preserve">En 2019, la Dirección General Adjunta de Investigación incorporó dentro de su Plan Anual de Investigación el desarrollo de un modelo de </w:t>
      </w:r>
      <w:proofErr w:type="spellStart"/>
      <w:r w:rsidRPr="009A501D">
        <w:rPr>
          <w:rFonts w:ascii="Century Gothic" w:hAnsi="Century Gothic"/>
          <w:i/>
          <w:iCs/>
          <w:sz w:val="19"/>
          <w:szCs w:val="19"/>
        </w:rPr>
        <w:t>nowcasting</w:t>
      </w:r>
      <w:proofErr w:type="spellEnd"/>
      <w:r w:rsidRPr="009A501D">
        <w:rPr>
          <w:rFonts w:ascii="Century Gothic" w:hAnsi="Century Gothic"/>
          <w:sz w:val="19"/>
          <w:szCs w:val="19"/>
        </w:rPr>
        <w:t xml:space="preserve"> para la actividad económica de México</w:t>
      </w:r>
      <w:r w:rsidR="000B061C" w:rsidRPr="009A501D">
        <w:rPr>
          <w:rFonts w:ascii="Century Gothic" w:hAnsi="Century Gothic"/>
          <w:sz w:val="19"/>
          <w:szCs w:val="19"/>
        </w:rPr>
        <w:t xml:space="preserve">. Utilizaron </w:t>
      </w:r>
      <w:r w:rsidRPr="009A501D">
        <w:rPr>
          <w:rFonts w:ascii="Century Gothic" w:hAnsi="Century Gothic"/>
          <w:sz w:val="19"/>
          <w:szCs w:val="19"/>
        </w:rPr>
        <w:t>un amplio número de series de tiempo económicas y financieras que permitier</w:t>
      </w:r>
      <w:r w:rsidR="00FB0BB2" w:rsidRPr="009A501D">
        <w:rPr>
          <w:rFonts w:ascii="Century Gothic" w:hAnsi="Century Gothic"/>
          <w:sz w:val="19"/>
          <w:szCs w:val="19"/>
        </w:rPr>
        <w:t>o</w:t>
      </w:r>
      <w:r w:rsidRPr="009A501D">
        <w:rPr>
          <w:rFonts w:ascii="Century Gothic" w:hAnsi="Century Gothic"/>
          <w:sz w:val="19"/>
          <w:szCs w:val="19"/>
        </w:rPr>
        <w:t>n estimar, de manera oportuna, el trimestre inmediato del Producto Interno Bruto</w:t>
      </w:r>
      <w:r w:rsidR="00786020" w:rsidRPr="009A501D">
        <w:rPr>
          <w:rFonts w:ascii="Century Gothic" w:hAnsi="Century Gothic"/>
          <w:sz w:val="19"/>
          <w:szCs w:val="19"/>
        </w:rPr>
        <w:t xml:space="preserve"> </w:t>
      </w:r>
      <w:r w:rsidRPr="009A501D">
        <w:rPr>
          <w:rFonts w:ascii="Century Gothic" w:hAnsi="Century Gothic"/>
          <w:sz w:val="19"/>
          <w:szCs w:val="19"/>
        </w:rPr>
        <w:t>(PIB).</w:t>
      </w:r>
    </w:p>
    <w:p w14:paraId="326C1359" w14:textId="1FE936ED" w:rsidR="001F4C2E" w:rsidRPr="009A501D" w:rsidRDefault="001F4C2E" w:rsidP="00664A1D">
      <w:pPr>
        <w:spacing w:before="240"/>
        <w:jc w:val="both"/>
        <w:rPr>
          <w:rFonts w:ascii="Century Gothic" w:hAnsi="Century Gothic"/>
          <w:sz w:val="19"/>
          <w:szCs w:val="19"/>
        </w:rPr>
      </w:pPr>
      <w:r w:rsidRPr="009A501D">
        <w:rPr>
          <w:rFonts w:ascii="Century Gothic" w:hAnsi="Century Gothic"/>
          <w:sz w:val="19"/>
          <w:szCs w:val="19"/>
        </w:rPr>
        <w:t>La idea fundamental fue explotar la información de series de tiempo mensuales</w:t>
      </w:r>
      <w:r w:rsidR="000B061C" w:rsidRPr="009A501D">
        <w:rPr>
          <w:rFonts w:ascii="Century Gothic" w:hAnsi="Century Gothic"/>
          <w:sz w:val="19"/>
          <w:szCs w:val="19"/>
        </w:rPr>
        <w:t>,</w:t>
      </w:r>
      <w:r w:rsidRPr="009A501D">
        <w:rPr>
          <w:rFonts w:ascii="Century Gothic" w:hAnsi="Century Gothic"/>
          <w:sz w:val="19"/>
          <w:szCs w:val="19"/>
        </w:rPr>
        <w:t xml:space="preserve"> principalmente las que proporciona el Banco de Información Económica. Para lo anterior, se propuso la utilización de regresión </w:t>
      </w:r>
      <w:r w:rsidRPr="009A501D">
        <w:rPr>
          <w:rFonts w:ascii="Century Gothic" w:hAnsi="Century Gothic"/>
          <w:i/>
          <w:iCs/>
          <w:sz w:val="19"/>
          <w:szCs w:val="19"/>
        </w:rPr>
        <w:t>LASSO</w:t>
      </w:r>
      <w:r w:rsidRPr="009A501D">
        <w:rPr>
          <w:rFonts w:ascii="Century Gothic" w:hAnsi="Century Gothic"/>
          <w:sz w:val="19"/>
          <w:szCs w:val="19"/>
        </w:rPr>
        <w:t xml:space="preserve"> como método de selección de variables, determinando aquellas que resultaran frecuentemente significativas en un periodo de datos de entrenamiento. Una vez seleccionadas las variables, se estimó un Modelo de Factores Dinámicos (MFD), con el objetivo de utilizar los factores significativos que minimizaran el error de predicción en un periodo de datos de entrenamiento y selecciona</w:t>
      </w:r>
      <w:r w:rsidR="00E94AFA" w:rsidRPr="009A501D">
        <w:rPr>
          <w:rFonts w:ascii="Century Gothic" w:hAnsi="Century Gothic"/>
          <w:sz w:val="19"/>
          <w:szCs w:val="19"/>
        </w:rPr>
        <w:t>r</w:t>
      </w:r>
      <w:r w:rsidRPr="009A501D">
        <w:rPr>
          <w:rFonts w:ascii="Century Gothic" w:hAnsi="Century Gothic"/>
          <w:sz w:val="19"/>
          <w:szCs w:val="19"/>
        </w:rPr>
        <w:t xml:space="preserve"> la especificación con menor error de estimación para realizar el </w:t>
      </w:r>
      <w:proofErr w:type="spellStart"/>
      <w:r w:rsidRPr="009A501D">
        <w:rPr>
          <w:rFonts w:ascii="Century Gothic" w:hAnsi="Century Gothic"/>
          <w:i/>
          <w:iCs/>
          <w:sz w:val="19"/>
          <w:szCs w:val="19"/>
        </w:rPr>
        <w:t>nowcast</w:t>
      </w:r>
      <w:proofErr w:type="spellEnd"/>
      <w:r w:rsidRPr="009A501D">
        <w:rPr>
          <w:rFonts w:ascii="Century Gothic" w:hAnsi="Century Gothic"/>
          <w:sz w:val="19"/>
          <w:szCs w:val="19"/>
        </w:rPr>
        <w:t xml:space="preserve"> final.</w:t>
      </w:r>
    </w:p>
    <w:p w14:paraId="772F09C1" w14:textId="216E2BAE" w:rsidR="001F4C2E" w:rsidRPr="009A501D" w:rsidRDefault="001F4C2E" w:rsidP="00664A1D">
      <w:pPr>
        <w:spacing w:before="240"/>
        <w:jc w:val="both"/>
        <w:rPr>
          <w:rFonts w:ascii="Century Gothic" w:hAnsi="Century Gothic"/>
          <w:sz w:val="19"/>
          <w:szCs w:val="19"/>
        </w:rPr>
      </w:pPr>
      <w:r w:rsidRPr="009A501D">
        <w:rPr>
          <w:rFonts w:ascii="Century Gothic" w:hAnsi="Century Gothic"/>
          <w:sz w:val="19"/>
          <w:szCs w:val="19"/>
        </w:rPr>
        <w:t xml:space="preserve">A partir del 2020 se enfocaron los esfuerzos en estimar los </w:t>
      </w:r>
      <w:proofErr w:type="spellStart"/>
      <w:r w:rsidRPr="009A501D">
        <w:rPr>
          <w:rFonts w:ascii="Century Gothic" w:hAnsi="Century Gothic"/>
          <w:i/>
          <w:iCs/>
          <w:sz w:val="19"/>
          <w:szCs w:val="19"/>
        </w:rPr>
        <w:t>nowcasts</w:t>
      </w:r>
      <w:proofErr w:type="spellEnd"/>
      <w:r w:rsidRPr="009A501D">
        <w:rPr>
          <w:rFonts w:ascii="Century Gothic" w:hAnsi="Century Gothic"/>
          <w:sz w:val="19"/>
          <w:szCs w:val="19"/>
        </w:rPr>
        <w:t xml:space="preserve"> del Indicador Global de la Actividad Económica (IGAE) dado que esta serie es más oportuna que el PIB</w:t>
      </w:r>
      <w:r w:rsidR="00FB0BB2" w:rsidRPr="009A501D">
        <w:rPr>
          <w:rFonts w:ascii="Century Gothic" w:hAnsi="Century Gothic"/>
          <w:sz w:val="19"/>
          <w:szCs w:val="19"/>
        </w:rPr>
        <w:t xml:space="preserve">. </w:t>
      </w:r>
      <w:r w:rsidR="00DF7F80" w:rsidRPr="009A501D">
        <w:rPr>
          <w:rFonts w:ascii="Century Gothic" w:hAnsi="Century Gothic"/>
          <w:sz w:val="19"/>
          <w:szCs w:val="19"/>
        </w:rPr>
        <w:t xml:space="preserve">Resultado de ese trabajo, hoy se cuenta con </w:t>
      </w:r>
      <w:r w:rsidR="00980342" w:rsidRPr="009A501D">
        <w:rPr>
          <w:rFonts w:ascii="Century Gothic" w:hAnsi="Century Gothic"/>
          <w:sz w:val="19"/>
          <w:szCs w:val="19"/>
        </w:rPr>
        <w:t xml:space="preserve">el </w:t>
      </w:r>
      <w:r w:rsidRPr="009A501D">
        <w:rPr>
          <w:rFonts w:ascii="Century Gothic" w:hAnsi="Century Gothic"/>
          <w:sz w:val="19"/>
          <w:szCs w:val="19"/>
        </w:rPr>
        <w:t>Indicador Oportuno de la Actividad</w:t>
      </w:r>
      <w:r w:rsidR="00786020" w:rsidRPr="009A501D">
        <w:rPr>
          <w:rFonts w:ascii="Century Gothic" w:hAnsi="Century Gothic"/>
          <w:sz w:val="19"/>
          <w:szCs w:val="19"/>
        </w:rPr>
        <w:t xml:space="preserve"> </w:t>
      </w:r>
      <w:r w:rsidRPr="009A501D">
        <w:rPr>
          <w:rFonts w:ascii="Century Gothic" w:hAnsi="Century Gothic"/>
          <w:sz w:val="19"/>
          <w:szCs w:val="19"/>
        </w:rPr>
        <w:t xml:space="preserve">Económica (IOAE). </w:t>
      </w:r>
    </w:p>
    <w:p w14:paraId="1C5B15CF" w14:textId="5536E293" w:rsidR="00E427DA" w:rsidRPr="009A501D" w:rsidRDefault="00980342" w:rsidP="008F0556">
      <w:pPr>
        <w:spacing w:before="240"/>
        <w:jc w:val="both"/>
        <w:rPr>
          <w:rFonts w:ascii="Century Gothic" w:hAnsi="Century Gothic"/>
          <w:sz w:val="19"/>
          <w:szCs w:val="19"/>
        </w:rPr>
      </w:pPr>
      <w:r w:rsidRPr="009A501D">
        <w:rPr>
          <w:rFonts w:ascii="Century Gothic" w:hAnsi="Century Gothic"/>
          <w:sz w:val="19"/>
          <w:szCs w:val="19"/>
        </w:rPr>
        <w:t>Es importante destacar que, e</w:t>
      </w:r>
      <w:r w:rsidR="001F4C2E" w:rsidRPr="009A501D">
        <w:rPr>
          <w:rFonts w:ascii="Century Gothic" w:hAnsi="Century Gothic"/>
          <w:sz w:val="19"/>
          <w:szCs w:val="19"/>
        </w:rPr>
        <w:t xml:space="preserve">n ningún caso el IOAE </w:t>
      </w:r>
      <w:r w:rsidRPr="009A501D">
        <w:rPr>
          <w:rFonts w:ascii="Century Gothic" w:hAnsi="Century Gothic"/>
          <w:sz w:val="19"/>
          <w:szCs w:val="19"/>
        </w:rPr>
        <w:t xml:space="preserve">debe ser considerado como </w:t>
      </w:r>
      <w:r w:rsidR="00EC2059" w:rsidRPr="009A501D">
        <w:rPr>
          <w:rFonts w:ascii="Century Gothic" w:hAnsi="Century Gothic"/>
          <w:sz w:val="19"/>
          <w:szCs w:val="19"/>
        </w:rPr>
        <w:t>una predicción</w:t>
      </w:r>
      <w:r w:rsidR="001F4C2E" w:rsidRPr="009A501D">
        <w:rPr>
          <w:rFonts w:ascii="Century Gothic" w:hAnsi="Century Gothic"/>
          <w:sz w:val="19"/>
          <w:szCs w:val="19"/>
        </w:rPr>
        <w:t xml:space="preserve"> o pronóstico</w:t>
      </w:r>
      <w:r w:rsidR="005B6518" w:rsidRPr="009A501D">
        <w:rPr>
          <w:rFonts w:ascii="Century Gothic" w:hAnsi="Century Gothic"/>
          <w:sz w:val="19"/>
          <w:szCs w:val="19"/>
        </w:rPr>
        <w:t>, sino como</w:t>
      </w:r>
      <w:r w:rsidR="001F4C2E" w:rsidRPr="009A501D">
        <w:rPr>
          <w:rFonts w:ascii="Century Gothic" w:hAnsi="Century Gothic"/>
          <w:sz w:val="19"/>
          <w:szCs w:val="19"/>
        </w:rPr>
        <w:t xml:space="preserve"> estimaciones que se realizan con la información oportuna y de la alta frecuencia que requiere el modelo. Las estimaciones realizadas anteceden a las cifras oficiales, por ende, dichas estimaciones se actualizan conforme la información también lo hace.</w:t>
      </w:r>
    </w:p>
    <w:p w14:paraId="524331A7" w14:textId="6ACDB2C0" w:rsidR="00F334D9" w:rsidRPr="009A501D" w:rsidRDefault="006F28BF" w:rsidP="00664A1D">
      <w:pPr>
        <w:pStyle w:val="Ttulo2"/>
        <w:rPr>
          <w:rFonts w:ascii="Century Gothic" w:eastAsiaTheme="minorHAnsi" w:hAnsi="Century Gothic" w:cstheme="minorBidi"/>
          <w:bCs/>
          <w:color w:val="0079BF"/>
          <w:sz w:val="24"/>
          <w:szCs w:val="24"/>
        </w:rPr>
      </w:pPr>
      <w:bookmarkStart w:id="12" w:name="_Toc131161799"/>
      <w:r w:rsidRPr="009A501D">
        <w:rPr>
          <w:rFonts w:ascii="Century Gothic" w:eastAsiaTheme="minorHAnsi" w:hAnsi="Century Gothic" w:cstheme="minorBidi"/>
          <w:bCs/>
          <w:color w:val="0079BF"/>
          <w:sz w:val="24"/>
          <w:szCs w:val="24"/>
        </w:rPr>
        <w:t xml:space="preserve">III.3. </w:t>
      </w:r>
      <w:r w:rsidR="0004252C" w:rsidRPr="009A501D">
        <w:rPr>
          <w:rFonts w:ascii="Century Gothic" w:eastAsiaTheme="minorHAnsi" w:hAnsi="Century Gothic" w:cstheme="minorBidi"/>
          <w:bCs/>
          <w:color w:val="0079BF"/>
          <w:sz w:val="24"/>
          <w:szCs w:val="24"/>
        </w:rPr>
        <w:t>Indicador de accesibilidad</w:t>
      </w:r>
      <w:bookmarkEnd w:id="12"/>
    </w:p>
    <w:p w14:paraId="4EEF1846" w14:textId="1E97CC9B" w:rsidR="00E84485" w:rsidRPr="009A501D" w:rsidRDefault="00E84485" w:rsidP="00664A1D">
      <w:pPr>
        <w:spacing w:before="240"/>
        <w:jc w:val="both"/>
        <w:rPr>
          <w:rFonts w:ascii="Century Gothic" w:hAnsi="Century Gothic"/>
          <w:sz w:val="19"/>
          <w:szCs w:val="19"/>
        </w:rPr>
      </w:pPr>
      <w:r w:rsidRPr="009A501D">
        <w:rPr>
          <w:rFonts w:ascii="Century Gothic" w:hAnsi="Century Gothic"/>
          <w:sz w:val="19"/>
          <w:szCs w:val="19"/>
        </w:rPr>
        <w:t xml:space="preserve">De conformidad con la Política de Calidad Institucional, una de las directrices del principio de accesibilidad es facilitar el uso e interpretación de la información a través de la publicación de los metadatos correspondientes. Actualmente, existen tres normas técnicas que establecen directrices para </w:t>
      </w:r>
      <w:r w:rsidR="007E0CED" w:rsidRPr="009A501D">
        <w:rPr>
          <w:rFonts w:ascii="Century Gothic" w:hAnsi="Century Gothic"/>
          <w:sz w:val="19"/>
          <w:szCs w:val="19"/>
        </w:rPr>
        <w:t xml:space="preserve">su </w:t>
      </w:r>
      <w:r w:rsidRPr="009A501D">
        <w:rPr>
          <w:rFonts w:ascii="Century Gothic" w:hAnsi="Century Gothic"/>
          <w:sz w:val="19"/>
          <w:szCs w:val="19"/>
        </w:rPr>
        <w:t>publicación por parte de las Unidades del Estado del SNIEG, todas ellas basadas en estándares internacionales.</w:t>
      </w:r>
      <w:r w:rsidR="0062085C" w:rsidRPr="009A501D">
        <w:rPr>
          <w:rFonts w:ascii="Century Gothic" w:hAnsi="Century Gothic"/>
          <w:sz w:val="19"/>
          <w:szCs w:val="19"/>
        </w:rPr>
        <w:t xml:space="preserve"> En el cuadro III.3.1 pueden observarse las características generales de los tres estándares adoptados en el INEGI.</w:t>
      </w:r>
    </w:p>
    <w:p w14:paraId="409119F8" w14:textId="2DB62053" w:rsidR="0039763F" w:rsidRPr="009A501D" w:rsidRDefault="0039763F">
      <w:pPr>
        <w:rPr>
          <w:rFonts w:ascii="Century Gothic" w:hAnsi="Century Gothic"/>
          <w:sz w:val="19"/>
          <w:szCs w:val="19"/>
        </w:rPr>
      </w:pPr>
      <w:r w:rsidRPr="009A501D">
        <w:rPr>
          <w:rFonts w:ascii="Century Gothic" w:hAnsi="Century Gothic"/>
          <w:sz w:val="19"/>
          <w:szCs w:val="19"/>
        </w:rPr>
        <w:br w:type="page"/>
      </w:r>
    </w:p>
    <w:p w14:paraId="52CA9AC2" w14:textId="59CFFA6C" w:rsidR="00E84485" w:rsidRPr="009A501D" w:rsidRDefault="00E84485"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lastRenderedPageBreak/>
        <w:t xml:space="preserve">III.3.1. </w:t>
      </w:r>
      <w:r w:rsidR="0062085C" w:rsidRPr="009A501D">
        <w:rPr>
          <w:rFonts w:ascii="Century Gothic" w:hAnsi="Century Gothic" w:cstheme="majorHAnsi"/>
          <w:b/>
          <w:sz w:val="19"/>
          <w:szCs w:val="19"/>
        </w:rPr>
        <w:t>Características generales de los e</w:t>
      </w:r>
      <w:r w:rsidRPr="009A501D">
        <w:rPr>
          <w:rFonts w:ascii="Century Gothic" w:hAnsi="Century Gothic" w:cstheme="majorHAnsi"/>
          <w:b/>
          <w:sz w:val="19"/>
          <w:szCs w:val="19"/>
        </w:rPr>
        <w:t>stándares adoptados en el INEGI para la documentación de metadatos</w:t>
      </w:r>
    </w:p>
    <w:tbl>
      <w:tblPr>
        <w:tblW w:w="102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405"/>
        <w:gridCol w:w="1843"/>
        <w:gridCol w:w="1701"/>
        <w:gridCol w:w="1843"/>
        <w:gridCol w:w="2409"/>
      </w:tblGrid>
      <w:tr w:rsidR="00E84485" w:rsidRPr="009A501D" w14:paraId="7383F874" w14:textId="77777777" w:rsidTr="00664A1D">
        <w:trPr>
          <w:trHeight w:val="20"/>
          <w:jc w:val="center"/>
        </w:trPr>
        <w:tc>
          <w:tcPr>
            <w:tcW w:w="2405" w:type="dxa"/>
            <w:shd w:val="clear" w:color="auto" w:fill="002060"/>
            <w:tcMar>
              <w:top w:w="15" w:type="dxa"/>
              <w:left w:w="54" w:type="dxa"/>
              <w:bottom w:w="0" w:type="dxa"/>
              <w:right w:w="54" w:type="dxa"/>
            </w:tcMar>
            <w:vAlign w:val="center"/>
            <w:hideMark/>
          </w:tcPr>
          <w:p w14:paraId="419FF52B" w14:textId="77777777" w:rsidR="00E84485" w:rsidRPr="009A501D" w:rsidRDefault="00E84485" w:rsidP="00664A1D">
            <w:pPr>
              <w:spacing w:after="0" w:line="240" w:lineRule="auto"/>
              <w:jc w:val="center"/>
              <w:rPr>
                <w:rFonts w:ascii="Century Gothic" w:eastAsia="Times New Roman" w:hAnsi="Century Gothic" w:cs="Arial"/>
                <w:sz w:val="16"/>
                <w:szCs w:val="16"/>
                <w:lang w:eastAsia="es-MX"/>
              </w:rPr>
            </w:pPr>
            <w:r w:rsidRPr="009A501D">
              <w:rPr>
                <w:rFonts w:ascii="Century Gothic" w:eastAsia="Helvetica" w:hAnsi="Century Gothic" w:cs="Helvetica"/>
                <w:b/>
                <w:bCs/>
                <w:color w:val="F2F2F2" w:themeColor="background1" w:themeShade="F2"/>
                <w:position w:val="1"/>
                <w:sz w:val="16"/>
                <w:szCs w:val="16"/>
                <w:lang w:eastAsia="es-MX"/>
              </w:rPr>
              <w:t>Norma o especificación</w:t>
            </w:r>
          </w:p>
        </w:tc>
        <w:tc>
          <w:tcPr>
            <w:tcW w:w="1843" w:type="dxa"/>
            <w:shd w:val="clear" w:color="auto" w:fill="002060"/>
            <w:tcMar>
              <w:top w:w="15" w:type="dxa"/>
              <w:left w:w="54" w:type="dxa"/>
              <w:bottom w:w="0" w:type="dxa"/>
              <w:right w:w="54" w:type="dxa"/>
            </w:tcMar>
            <w:vAlign w:val="center"/>
            <w:hideMark/>
          </w:tcPr>
          <w:p w14:paraId="308D53A8" w14:textId="77777777" w:rsidR="00E84485" w:rsidRPr="009A501D" w:rsidRDefault="00E84485" w:rsidP="00664A1D">
            <w:pPr>
              <w:spacing w:after="0" w:line="240" w:lineRule="auto"/>
              <w:jc w:val="center"/>
              <w:rPr>
                <w:rFonts w:ascii="Century Gothic" w:eastAsia="Times New Roman" w:hAnsi="Century Gothic" w:cs="Arial"/>
                <w:sz w:val="16"/>
                <w:szCs w:val="16"/>
                <w:lang w:eastAsia="es-MX"/>
              </w:rPr>
            </w:pPr>
            <w:r w:rsidRPr="009A501D">
              <w:rPr>
                <w:rFonts w:ascii="Century Gothic" w:eastAsia="Helvetica" w:hAnsi="Century Gothic" w:cs="Helvetica"/>
                <w:b/>
                <w:bCs/>
                <w:color w:val="F2F2F2" w:themeColor="background1" w:themeShade="F2"/>
                <w:position w:val="1"/>
                <w:sz w:val="16"/>
                <w:szCs w:val="16"/>
                <w:lang w:eastAsia="es-MX"/>
              </w:rPr>
              <w:t>Estándar internacional</w:t>
            </w:r>
          </w:p>
        </w:tc>
        <w:tc>
          <w:tcPr>
            <w:tcW w:w="1701" w:type="dxa"/>
            <w:shd w:val="clear" w:color="auto" w:fill="002060"/>
            <w:vAlign w:val="center"/>
          </w:tcPr>
          <w:p w14:paraId="38CF1020" w14:textId="77777777" w:rsidR="00E84485" w:rsidRPr="009A501D" w:rsidRDefault="00E84485" w:rsidP="00664A1D">
            <w:pPr>
              <w:spacing w:after="0" w:line="240" w:lineRule="auto"/>
              <w:jc w:val="center"/>
              <w:rPr>
                <w:rFonts w:ascii="Century Gothic" w:eastAsia="Helvetica" w:hAnsi="Century Gothic" w:cs="Helvetica"/>
                <w:b/>
                <w:bCs/>
                <w:color w:val="F2F2F2" w:themeColor="background1" w:themeShade="F2"/>
                <w:position w:val="1"/>
                <w:sz w:val="16"/>
                <w:szCs w:val="16"/>
                <w:lang w:eastAsia="es-MX"/>
              </w:rPr>
            </w:pPr>
            <w:r w:rsidRPr="009A501D">
              <w:rPr>
                <w:rFonts w:ascii="Century Gothic" w:eastAsia="Helvetica" w:hAnsi="Century Gothic" w:cs="Helvetica"/>
                <w:b/>
                <w:bCs/>
                <w:color w:val="F2F2F2" w:themeColor="background1" w:themeShade="F2"/>
                <w:position w:val="1"/>
                <w:sz w:val="16"/>
                <w:szCs w:val="16"/>
                <w:lang w:eastAsia="es-MX"/>
              </w:rPr>
              <w:t>Tipo de metadatos</w:t>
            </w:r>
          </w:p>
        </w:tc>
        <w:tc>
          <w:tcPr>
            <w:tcW w:w="1843" w:type="dxa"/>
            <w:shd w:val="clear" w:color="auto" w:fill="002060"/>
            <w:tcMar>
              <w:top w:w="15" w:type="dxa"/>
              <w:left w:w="54" w:type="dxa"/>
              <w:bottom w:w="0" w:type="dxa"/>
              <w:right w:w="54" w:type="dxa"/>
            </w:tcMar>
            <w:vAlign w:val="center"/>
            <w:hideMark/>
          </w:tcPr>
          <w:p w14:paraId="7AAA6906" w14:textId="3CA7324A" w:rsidR="00E84485" w:rsidRPr="009A501D" w:rsidRDefault="00E84485" w:rsidP="00664A1D">
            <w:pPr>
              <w:spacing w:after="0" w:line="240" w:lineRule="auto"/>
              <w:jc w:val="center"/>
              <w:rPr>
                <w:rFonts w:ascii="Century Gothic" w:eastAsia="Times New Roman" w:hAnsi="Century Gothic" w:cs="Arial"/>
                <w:sz w:val="16"/>
                <w:szCs w:val="16"/>
                <w:lang w:eastAsia="es-MX"/>
              </w:rPr>
            </w:pPr>
            <w:r w:rsidRPr="009A501D">
              <w:rPr>
                <w:rFonts w:ascii="Century Gothic" w:eastAsia="Helvetica" w:hAnsi="Century Gothic" w:cs="Helvetica"/>
                <w:b/>
                <w:bCs/>
                <w:color w:val="F2F2F2" w:themeColor="background1" w:themeShade="F2"/>
                <w:position w:val="1"/>
                <w:sz w:val="16"/>
                <w:szCs w:val="16"/>
                <w:lang w:eastAsia="es-MX"/>
              </w:rPr>
              <w:t>Nivel de documentación</w:t>
            </w:r>
          </w:p>
        </w:tc>
        <w:tc>
          <w:tcPr>
            <w:tcW w:w="2409" w:type="dxa"/>
            <w:shd w:val="clear" w:color="auto" w:fill="002060"/>
            <w:vAlign w:val="center"/>
          </w:tcPr>
          <w:p w14:paraId="768BFD5E" w14:textId="4ACF5555" w:rsidR="00E84485" w:rsidRPr="009A501D" w:rsidRDefault="0062085C" w:rsidP="00664A1D">
            <w:pPr>
              <w:spacing w:after="0" w:line="240" w:lineRule="auto"/>
              <w:jc w:val="center"/>
              <w:rPr>
                <w:rFonts w:ascii="Century Gothic" w:eastAsia="Helvetica" w:hAnsi="Century Gothic" w:cs="Helvetica"/>
                <w:b/>
                <w:bCs/>
                <w:color w:val="F2F2F2" w:themeColor="background1" w:themeShade="F2"/>
                <w:position w:val="1"/>
                <w:sz w:val="16"/>
                <w:szCs w:val="16"/>
                <w:lang w:eastAsia="es-MX"/>
              </w:rPr>
            </w:pPr>
            <w:r w:rsidRPr="009A501D">
              <w:rPr>
                <w:rFonts w:ascii="Century Gothic" w:eastAsia="Helvetica" w:hAnsi="Century Gothic" w:cs="Helvetica"/>
                <w:b/>
                <w:bCs/>
                <w:color w:val="F2F2F2" w:themeColor="background1" w:themeShade="F2"/>
                <w:position w:val="1"/>
                <w:sz w:val="16"/>
                <w:szCs w:val="16"/>
                <w:lang w:eastAsia="es-MX"/>
              </w:rPr>
              <w:t>Tipo de contenido</w:t>
            </w:r>
          </w:p>
        </w:tc>
      </w:tr>
      <w:tr w:rsidR="00E84485" w:rsidRPr="009A501D" w14:paraId="0B7CCCB8" w14:textId="77777777" w:rsidTr="0072266C">
        <w:trPr>
          <w:trHeight w:val="20"/>
          <w:jc w:val="center"/>
        </w:trPr>
        <w:tc>
          <w:tcPr>
            <w:tcW w:w="2405" w:type="dxa"/>
            <w:shd w:val="clear" w:color="auto" w:fill="FFFFFF" w:themeFill="background1"/>
            <w:tcMar>
              <w:top w:w="15" w:type="dxa"/>
              <w:left w:w="54" w:type="dxa"/>
              <w:bottom w:w="0" w:type="dxa"/>
              <w:right w:w="54" w:type="dxa"/>
            </w:tcMar>
            <w:vAlign w:val="center"/>
            <w:hideMark/>
          </w:tcPr>
          <w:p w14:paraId="28DF7D58" w14:textId="24179A44" w:rsidR="00E84485" w:rsidRPr="009A501D" w:rsidRDefault="00E84485" w:rsidP="00664A1D">
            <w:pPr>
              <w:spacing w:after="0" w:line="240" w:lineRule="auto"/>
              <w:rPr>
                <w:rFonts w:ascii="Century Gothic" w:eastAsia="Times New Roman" w:hAnsi="Century Gothic" w:cs="Arial"/>
                <w:i/>
                <w:iCs/>
                <w:sz w:val="16"/>
                <w:szCs w:val="16"/>
                <w:lang w:eastAsia="es-MX"/>
              </w:rPr>
            </w:pPr>
            <w:r w:rsidRPr="009A501D">
              <w:rPr>
                <w:rFonts w:ascii="Century Gothic" w:eastAsia="Helvetica" w:hAnsi="Century Gothic" w:cs="Helvetica"/>
                <w:bCs/>
                <w:i/>
                <w:iCs/>
                <w:color w:val="000000" w:themeColor="text1"/>
                <w:position w:val="1"/>
                <w:sz w:val="16"/>
                <w:szCs w:val="16"/>
                <w:lang w:eastAsia="es-MX"/>
              </w:rPr>
              <w:t xml:space="preserve">Norma </w:t>
            </w:r>
            <w:r w:rsidR="007F0FBE" w:rsidRPr="009A501D">
              <w:rPr>
                <w:rFonts w:ascii="Century Gothic" w:eastAsia="Helvetica" w:hAnsi="Century Gothic" w:cs="Helvetica"/>
                <w:bCs/>
                <w:i/>
                <w:iCs/>
                <w:color w:val="000000" w:themeColor="text1"/>
                <w:position w:val="1"/>
                <w:sz w:val="16"/>
                <w:szCs w:val="16"/>
                <w:lang w:eastAsia="es-MX"/>
              </w:rPr>
              <w:t>T</w:t>
            </w:r>
            <w:r w:rsidRPr="009A501D">
              <w:rPr>
                <w:rFonts w:ascii="Century Gothic" w:eastAsia="Helvetica" w:hAnsi="Century Gothic" w:cs="Helvetica"/>
                <w:bCs/>
                <w:i/>
                <w:iCs/>
                <w:color w:val="000000" w:themeColor="text1"/>
                <w:position w:val="1"/>
                <w:sz w:val="16"/>
                <w:szCs w:val="16"/>
                <w:lang w:eastAsia="es-MX"/>
              </w:rPr>
              <w:t xml:space="preserve">écnica para la </w:t>
            </w:r>
            <w:r w:rsidR="007F0FBE" w:rsidRPr="009A501D">
              <w:rPr>
                <w:rFonts w:ascii="Century Gothic" w:eastAsia="Helvetica" w:hAnsi="Century Gothic" w:cs="Helvetica"/>
                <w:bCs/>
                <w:i/>
                <w:iCs/>
                <w:color w:val="000000" w:themeColor="text1"/>
                <w:position w:val="1"/>
                <w:sz w:val="16"/>
                <w:szCs w:val="16"/>
                <w:lang w:eastAsia="es-MX"/>
              </w:rPr>
              <w:t>E</w:t>
            </w:r>
            <w:r w:rsidRPr="009A501D">
              <w:rPr>
                <w:rFonts w:ascii="Century Gothic" w:eastAsia="Helvetica" w:hAnsi="Century Gothic" w:cs="Helvetica"/>
                <w:bCs/>
                <w:i/>
                <w:iCs/>
                <w:color w:val="000000" w:themeColor="text1"/>
                <w:position w:val="1"/>
                <w:sz w:val="16"/>
                <w:szCs w:val="16"/>
                <w:lang w:eastAsia="es-MX"/>
              </w:rPr>
              <w:t xml:space="preserve">laboración de </w:t>
            </w:r>
            <w:r w:rsidR="007F0FBE" w:rsidRPr="009A501D">
              <w:rPr>
                <w:rFonts w:ascii="Century Gothic" w:eastAsia="Helvetica" w:hAnsi="Century Gothic" w:cs="Helvetica"/>
                <w:bCs/>
                <w:i/>
                <w:iCs/>
                <w:color w:val="000000" w:themeColor="text1"/>
                <w:position w:val="1"/>
                <w:sz w:val="16"/>
                <w:szCs w:val="16"/>
                <w:lang w:eastAsia="es-MX"/>
              </w:rPr>
              <w:t>M</w:t>
            </w:r>
            <w:r w:rsidRPr="009A501D">
              <w:rPr>
                <w:rFonts w:ascii="Century Gothic" w:eastAsia="Helvetica" w:hAnsi="Century Gothic" w:cs="Helvetica"/>
                <w:bCs/>
                <w:i/>
                <w:iCs/>
                <w:color w:val="000000" w:themeColor="text1"/>
                <w:position w:val="1"/>
                <w:sz w:val="16"/>
                <w:szCs w:val="16"/>
                <w:lang w:eastAsia="es-MX"/>
              </w:rPr>
              <w:t xml:space="preserve">etadatos para </w:t>
            </w:r>
            <w:r w:rsidR="007F0FBE" w:rsidRPr="009A501D">
              <w:rPr>
                <w:rFonts w:ascii="Century Gothic" w:eastAsia="Helvetica" w:hAnsi="Century Gothic" w:cs="Helvetica"/>
                <w:bCs/>
                <w:i/>
                <w:iCs/>
                <w:color w:val="000000" w:themeColor="text1"/>
                <w:position w:val="1"/>
                <w:sz w:val="16"/>
                <w:szCs w:val="16"/>
                <w:lang w:eastAsia="es-MX"/>
              </w:rPr>
              <w:t>P</w:t>
            </w:r>
            <w:r w:rsidRPr="009A501D">
              <w:rPr>
                <w:rFonts w:ascii="Century Gothic" w:eastAsia="Helvetica" w:hAnsi="Century Gothic" w:cs="Helvetica"/>
                <w:bCs/>
                <w:i/>
                <w:iCs/>
                <w:color w:val="000000" w:themeColor="text1"/>
                <w:position w:val="1"/>
                <w:sz w:val="16"/>
                <w:szCs w:val="16"/>
                <w:lang w:eastAsia="es-MX"/>
              </w:rPr>
              <w:t xml:space="preserve">royectos de </w:t>
            </w:r>
            <w:r w:rsidR="007F0FBE" w:rsidRPr="009A501D">
              <w:rPr>
                <w:rFonts w:ascii="Century Gothic" w:eastAsia="Helvetica" w:hAnsi="Century Gothic" w:cs="Helvetica"/>
                <w:bCs/>
                <w:i/>
                <w:iCs/>
                <w:color w:val="000000" w:themeColor="text1"/>
                <w:position w:val="1"/>
                <w:sz w:val="16"/>
                <w:szCs w:val="16"/>
                <w:lang w:eastAsia="es-MX"/>
              </w:rPr>
              <w:t>G</w:t>
            </w:r>
            <w:r w:rsidRPr="009A501D">
              <w:rPr>
                <w:rFonts w:ascii="Century Gothic" w:eastAsia="Helvetica" w:hAnsi="Century Gothic" w:cs="Helvetica"/>
                <w:bCs/>
                <w:i/>
                <w:iCs/>
                <w:color w:val="000000" w:themeColor="text1"/>
                <w:position w:val="1"/>
                <w:sz w:val="16"/>
                <w:szCs w:val="16"/>
                <w:lang w:eastAsia="es-MX"/>
              </w:rPr>
              <w:t xml:space="preserve">eneración de </w:t>
            </w:r>
            <w:r w:rsidR="007F0FBE" w:rsidRPr="009A501D">
              <w:rPr>
                <w:rFonts w:ascii="Century Gothic" w:eastAsia="Helvetica" w:hAnsi="Century Gothic" w:cs="Helvetica"/>
                <w:bCs/>
                <w:i/>
                <w:iCs/>
                <w:color w:val="000000" w:themeColor="text1"/>
                <w:position w:val="1"/>
                <w:sz w:val="16"/>
                <w:szCs w:val="16"/>
                <w:lang w:eastAsia="es-MX"/>
              </w:rPr>
              <w:t>I</w:t>
            </w:r>
            <w:r w:rsidRPr="009A501D">
              <w:rPr>
                <w:rFonts w:ascii="Century Gothic" w:eastAsia="Helvetica" w:hAnsi="Century Gothic" w:cs="Helvetica"/>
                <w:bCs/>
                <w:i/>
                <w:iCs/>
                <w:color w:val="000000" w:themeColor="text1"/>
                <w:position w:val="1"/>
                <w:sz w:val="16"/>
                <w:szCs w:val="16"/>
                <w:lang w:eastAsia="es-MX"/>
              </w:rPr>
              <w:t xml:space="preserve">nformación </w:t>
            </w:r>
            <w:r w:rsidR="007F0FBE" w:rsidRPr="009A501D">
              <w:rPr>
                <w:rFonts w:ascii="Century Gothic" w:eastAsia="Helvetica" w:hAnsi="Century Gothic" w:cs="Helvetica"/>
                <w:bCs/>
                <w:i/>
                <w:iCs/>
                <w:color w:val="000000" w:themeColor="text1"/>
                <w:position w:val="1"/>
                <w:sz w:val="16"/>
                <w:szCs w:val="16"/>
                <w:lang w:eastAsia="es-MX"/>
              </w:rPr>
              <w:t>E</w:t>
            </w:r>
            <w:r w:rsidRPr="009A501D">
              <w:rPr>
                <w:rFonts w:ascii="Century Gothic" w:eastAsia="Helvetica" w:hAnsi="Century Gothic" w:cs="Helvetica"/>
                <w:bCs/>
                <w:i/>
                <w:iCs/>
                <w:color w:val="000000" w:themeColor="text1"/>
                <w:position w:val="1"/>
                <w:sz w:val="16"/>
                <w:szCs w:val="16"/>
                <w:lang w:eastAsia="es-MX"/>
              </w:rPr>
              <w:t xml:space="preserve">stadística </w:t>
            </w:r>
            <w:r w:rsidR="007F0FBE" w:rsidRPr="009A501D">
              <w:rPr>
                <w:rFonts w:ascii="Century Gothic" w:eastAsia="Helvetica" w:hAnsi="Century Gothic" w:cs="Helvetica"/>
                <w:bCs/>
                <w:i/>
                <w:iCs/>
                <w:color w:val="000000" w:themeColor="text1"/>
                <w:position w:val="1"/>
                <w:sz w:val="16"/>
                <w:szCs w:val="16"/>
                <w:lang w:eastAsia="es-MX"/>
              </w:rPr>
              <w:t>B</w:t>
            </w:r>
            <w:r w:rsidRPr="009A501D">
              <w:rPr>
                <w:rFonts w:ascii="Century Gothic" w:eastAsia="Helvetica" w:hAnsi="Century Gothic" w:cs="Helvetica"/>
                <w:bCs/>
                <w:i/>
                <w:iCs/>
                <w:color w:val="000000" w:themeColor="text1"/>
                <w:position w:val="1"/>
                <w:sz w:val="16"/>
                <w:szCs w:val="16"/>
                <w:lang w:eastAsia="es-MX"/>
              </w:rPr>
              <w:t xml:space="preserve">ásica y de los </w:t>
            </w:r>
            <w:r w:rsidR="007F0FBE" w:rsidRPr="009A501D">
              <w:rPr>
                <w:rFonts w:ascii="Century Gothic" w:eastAsia="Helvetica" w:hAnsi="Century Gothic" w:cs="Helvetica"/>
                <w:bCs/>
                <w:i/>
                <w:iCs/>
                <w:color w:val="000000" w:themeColor="text1"/>
                <w:position w:val="1"/>
                <w:sz w:val="16"/>
                <w:szCs w:val="16"/>
                <w:lang w:eastAsia="es-MX"/>
              </w:rPr>
              <w:t>C</w:t>
            </w:r>
            <w:r w:rsidRPr="009A501D">
              <w:rPr>
                <w:rFonts w:ascii="Century Gothic" w:eastAsia="Helvetica" w:hAnsi="Century Gothic" w:cs="Helvetica"/>
                <w:bCs/>
                <w:i/>
                <w:iCs/>
                <w:color w:val="000000" w:themeColor="text1"/>
                <w:position w:val="1"/>
                <w:sz w:val="16"/>
                <w:szCs w:val="16"/>
                <w:lang w:eastAsia="es-MX"/>
              </w:rPr>
              <w:t xml:space="preserve">omponentes </w:t>
            </w:r>
            <w:r w:rsidR="007F0FBE" w:rsidRPr="009A501D">
              <w:rPr>
                <w:rFonts w:ascii="Century Gothic" w:eastAsia="Helvetica" w:hAnsi="Century Gothic" w:cs="Helvetica"/>
                <w:bCs/>
                <w:i/>
                <w:iCs/>
                <w:color w:val="000000" w:themeColor="text1"/>
                <w:position w:val="1"/>
                <w:sz w:val="16"/>
                <w:szCs w:val="16"/>
                <w:lang w:eastAsia="es-MX"/>
              </w:rPr>
              <w:t>E</w:t>
            </w:r>
            <w:r w:rsidRPr="009A501D">
              <w:rPr>
                <w:rFonts w:ascii="Century Gothic" w:eastAsia="Helvetica" w:hAnsi="Century Gothic" w:cs="Helvetica"/>
                <w:bCs/>
                <w:i/>
                <w:iCs/>
                <w:color w:val="000000" w:themeColor="text1"/>
                <w:position w:val="1"/>
                <w:sz w:val="16"/>
                <w:szCs w:val="16"/>
                <w:lang w:eastAsia="es-MX"/>
              </w:rPr>
              <w:t xml:space="preserve">stadísticos </w:t>
            </w:r>
            <w:r w:rsidR="007F0FBE" w:rsidRPr="009A501D">
              <w:rPr>
                <w:rFonts w:ascii="Century Gothic" w:eastAsia="Helvetica" w:hAnsi="Century Gothic" w:cs="Helvetica"/>
                <w:bCs/>
                <w:i/>
                <w:iCs/>
                <w:color w:val="000000" w:themeColor="text1"/>
                <w:position w:val="1"/>
                <w:sz w:val="16"/>
                <w:szCs w:val="16"/>
                <w:lang w:eastAsia="es-MX"/>
              </w:rPr>
              <w:t>D</w:t>
            </w:r>
            <w:r w:rsidRPr="009A501D">
              <w:rPr>
                <w:rFonts w:ascii="Century Gothic" w:eastAsia="Helvetica" w:hAnsi="Century Gothic" w:cs="Helvetica"/>
                <w:bCs/>
                <w:i/>
                <w:iCs/>
                <w:color w:val="000000" w:themeColor="text1"/>
                <w:position w:val="1"/>
                <w:sz w:val="16"/>
                <w:szCs w:val="16"/>
                <w:lang w:eastAsia="es-MX"/>
              </w:rPr>
              <w:t>erivados de</w:t>
            </w:r>
            <w:r w:rsidR="007F0FBE" w:rsidRPr="009A501D">
              <w:rPr>
                <w:rFonts w:ascii="Century Gothic" w:eastAsia="Helvetica" w:hAnsi="Century Gothic" w:cs="Helvetica"/>
                <w:bCs/>
                <w:i/>
                <w:iCs/>
                <w:color w:val="000000" w:themeColor="text1"/>
                <w:position w:val="1"/>
                <w:sz w:val="16"/>
                <w:szCs w:val="16"/>
                <w:lang w:eastAsia="es-MX"/>
              </w:rPr>
              <w:t xml:space="preserve"> P</w:t>
            </w:r>
            <w:r w:rsidRPr="009A501D">
              <w:rPr>
                <w:rFonts w:ascii="Century Gothic" w:eastAsia="Helvetica" w:hAnsi="Century Gothic" w:cs="Helvetica"/>
                <w:bCs/>
                <w:i/>
                <w:iCs/>
                <w:color w:val="000000" w:themeColor="text1"/>
                <w:position w:val="1"/>
                <w:sz w:val="16"/>
                <w:szCs w:val="16"/>
                <w:lang w:eastAsia="es-MX"/>
              </w:rPr>
              <w:t xml:space="preserve">royectos </w:t>
            </w:r>
            <w:r w:rsidR="007F0FBE" w:rsidRPr="009A501D">
              <w:rPr>
                <w:rFonts w:ascii="Century Gothic" w:eastAsia="Helvetica" w:hAnsi="Century Gothic" w:cs="Helvetica"/>
                <w:bCs/>
                <w:i/>
                <w:iCs/>
                <w:color w:val="000000" w:themeColor="text1"/>
                <w:position w:val="1"/>
                <w:sz w:val="16"/>
                <w:szCs w:val="16"/>
                <w:lang w:eastAsia="es-MX"/>
              </w:rPr>
              <w:t>G</w:t>
            </w:r>
            <w:r w:rsidRPr="009A501D">
              <w:rPr>
                <w:rFonts w:ascii="Century Gothic" w:eastAsia="Helvetica" w:hAnsi="Century Gothic" w:cs="Helvetica"/>
                <w:bCs/>
                <w:i/>
                <w:iCs/>
                <w:color w:val="000000" w:themeColor="text1"/>
                <w:position w:val="1"/>
                <w:sz w:val="16"/>
                <w:szCs w:val="16"/>
                <w:lang w:eastAsia="es-MX"/>
              </w:rPr>
              <w:t>eográficos.</w:t>
            </w:r>
          </w:p>
        </w:tc>
        <w:tc>
          <w:tcPr>
            <w:tcW w:w="1843" w:type="dxa"/>
            <w:shd w:val="clear" w:color="auto" w:fill="FFFFFF" w:themeFill="background1"/>
            <w:tcMar>
              <w:top w:w="15" w:type="dxa"/>
              <w:left w:w="54" w:type="dxa"/>
              <w:bottom w:w="0" w:type="dxa"/>
              <w:right w:w="54" w:type="dxa"/>
            </w:tcMar>
            <w:vAlign w:val="center"/>
            <w:hideMark/>
          </w:tcPr>
          <w:p w14:paraId="20D84E8B" w14:textId="77777777" w:rsidR="00E84485" w:rsidRPr="009A501D" w:rsidRDefault="00E84485" w:rsidP="00664A1D">
            <w:pPr>
              <w:spacing w:after="0" w:line="240" w:lineRule="auto"/>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Iniciativa de Documentación de Datos (</w:t>
            </w:r>
            <w:r w:rsidRPr="009A501D">
              <w:rPr>
                <w:rFonts w:ascii="Century Gothic" w:eastAsia="Helvetica" w:hAnsi="Century Gothic" w:cs="Helvetica"/>
                <w:b/>
                <w:color w:val="000000" w:themeColor="text1"/>
                <w:position w:val="1"/>
                <w:sz w:val="16"/>
                <w:szCs w:val="16"/>
                <w:lang w:eastAsia="es-MX"/>
              </w:rPr>
              <w:t>DDI</w:t>
            </w:r>
            <w:r w:rsidRPr="009A501D">
              <w:rPr>
                <w:rFonts w:ascii="Century Gothic" w:eastAsia="Helvetica" w:hAnsi="Century Gothic" w:cs="Helvetica"/>
                <w:bCs/>
                <w:color w:val="000000" w:themeColor="text1"/>
                <w:position w:val="1"/>
                <w:sz w:val="16"/>
                <w:szCs w:val="16"/>
                <w:lang w:eastAsia="es-MX"/>
              </w:rPr>
              <w:t>).</w:t>
            </w:r>
          </w:p>
          <w:p w14:paraId="2549FF77" w14:textId="287C2715" w:rsidR="00E84485" w:rsidRPr="009A501D" w:rsidRDefault="00E84485" w:rsidP="00664A1D">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(OCDE, Banco Mundial, etc</w:t>
            </w:r>
            <w:r w:rsidR="00C83E7B" w:rsidRPr="009A501D">
              <w:rPr>
                <w:rFonts w:ascii="Century Gothic" w:eastAsia="Helvetica" w:hAnsi="Century Gothic" w:cs="Helvetica"/>
                <w:bCs/>
                <w:color w:val="000000" w:themeColor="text1"/>
                <w:position w:val="1"/>
                <w:sz w:val="16"/>
                <w:szCs w:val="16"/>
                <w:lang w:eastAsia="es-MX"/>
              </w:rPr>
              <w:t>.</w:t>
            </w:r>
            <w:r w:rsidRPr="009A501D">
              <w:rPr>
                <w:rFonts w:ascii="Century Gothic" w:eastAsia="Helvetica" w:hAnsi="Century Gothic" w:cs="Helvetica"/>
                <w:bCs/>
                <w:color w:val="000000" w:themeColor="text1"/>
                <w:position w:val="1"/>
                <w:sz w:val="16"/>
                <w:szCs w:val="16"/>
                <w:lang w:eastAsia="es-MX"/>
              </w:rPr>
              <w:t>)</w:t>
            </w:r>
          </w:p>
        </w:tc>
        <w:tc>
          <w:tcPr>
            <w:tcW w:w="1701" w:type="dxa"/>
            <w:shd w:val="clear" w:color="auto" w:fill="FFFFFF" w:themeFill="background1"/>
            <w:vAlign w:val="center"/>
          </w:tcPr>
          <w:p w14:paraId="22DA5153" w14:textId="5FF9CBA3" w:rsidR="00E84485" w:rsidRPr="009A501D" w:rsidRDefault="00246796" w:rsidP="00E970B5">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Procesos de producción</w:t>
            </w:r>
            <w:r w:rsidR="00E84485" w:rsidRPr="009A501D">
              <w:rPr>
                <w:rFonts w:ascii="Century Gothic" w:eastAsia="Helvetica" w:hAnsi="Century Gothic" w:cs="Helvetica"/>
                <w:bCs/>
                <w:color w:val="000000" w:themeColor="text1"/>
                <w:position w:val="1"/>
                <w:sz w:val="16"/>
                <w:szCs w:val="16"/>
                <w:lang w:eastAsia="es-MX"/>
              </w:rPr>
              <w:t xml:space="preserve"> de encuestas, registros y censos.</w:t>
            </w:r>
          </w:p>
          <w:p w14:paraId="2884241A" w14:textId="1C460D62"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 xml:space="preserve">Metadatos referenciales </w:t>
            </w:r>
            <w:r w:rsidR="00E94AFA" w:rsidRPr="009A501D">
              <w:rPr>
                <w:rFonts w:ascii="Century Gothic" w:eastAsia="Helvetica" w:hAnsi="Century Gothic" w:cs="Helvetica"/>
                <w:bCs/>
                <w:color w:val="000000" w:themeColor="text1"/>
                <w:position w:val="1"/>
                <w:sz w:val="16"/>
                <w:szCs w:val="16"/>
                <w:lang w:eastAsia="es-MX"/>
              </w:rPr>
              <w:t>y</w:t>
            </w:r>
            <w:r w:rsidRPr="009A501D">
              <w:rPr>
                <w:rFonts w:ascii="Century Gothic" w:eastAsia="Helvetica" w:hAnsi="Century Gothic" w:cs="Helvetica"/>
                <w:bCs/>
                <w:color w:val="000000" w:themeColor="text1"/>
                <w:position w:val="1"/>
                <w:sz w:val="16"/>
                <w:szCs w:val="16"/>
                <w:lang w:eastAsia="es-MX"/>
              </w:rPr>
              <w:t xml:space="preserve"> estructurales </w:t>
            </w:r>
          </w:p>
        </w:tc>
        <w:tc>
          <w:tcPr>
            <w:tcW w:w="1843" w:type="dxa"/>
            <w:shd w:val="clear" w:color="auto" w:fill="FFFFFF" w:themeFill="background1"/>
            <w:tcMar>
              <w:top w:w="15" w:type="dxa"/>
              <w:left w:w="54" w:type="dxa"/>
              <w:bottom w:w="0" w:type="dxa"/>
              <w:right w:w="54" w:type="dxa"/>
            </w:tcMar>
            <w:vAlign w:val="center"/>
          </w:tcPr>
          <w:p w14:paraId="7069C3EC" w14:textId="77777777" w:rsidR="00E84485" w:rsidRPr="009A501D" w:rsidRDefault="00E84485" w:rsidP="00E970B5">
            <w:pPr>
              <w:spacing w:after="0" w:line="240" w:lineRule="auto"/>
              <w:ind w:left="78"/>
              <w:contextualSpacing/>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Amplio nivel de detalle en:</w:t>
            </w:r>
          </w:p>
          <w:p w14:paraId="248E23B5" w14:textId="77777777" w:rsidR="00E84485" w:rsidRPr="009A501D" w:rsidRDefault="00E84485" w:rsidP="00E970B5">
            <w:pPr>
              <w:numPr>
                <w:ilvl w:val="0"/>
                <w:numId w:val="5"/>
              </w:numPr>
              <w:spacing w:after="0" w:line="240" w:lineRule="auto"/>
              <w:ind w:left="361" w:hanging="283"/>
              <w:contextualSpacing/>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Procesos de producción</w:t>
            </w:r>
          </w:p>
          <w:p w14:paraId="3BC7162A" w14:textId="77777777" w:rsidR="00E84485" w:rsidRPr="009A501D" w:rsidRDefault="00E84485" w:rsidP="00E970B5">
            <w:pPr>
              <w:numPr>
                <w:ilvl w:val="0"/>
                <w:numId w:val="5"/>
              </w:numPr>
              <w:spacing w:after="0" w:line="240" w:lineRule="auto"/>
              <w:ind w:left="361" w:hanging="283"/>
              <w:contextualSpacing/>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Microdatos</w:t>
            </w:r>
          </w:p>
          <w:p w14:paraId="7BFC8AAD" w14:textId="5B40AB83" w:rsidR="009D557E" w:rsidRPr="009A501D" w:rsidRDefault="009D557E" w:rsidP="00E970B5">
            <w:pPr>
              <w:spacing w:after="0" w:line="240" w:lineRule="auto"/>
              <w:contextualSpacing/>
              <w:rPr>
                <w:rFonts w:ascii="Century Gothic" w:eastAsia="Times New Roman" w:hAnsi="Century Gothic" w:cs="Arial"/>
                <w:b/>
                <w:bCs/>
                <w:sz w:val="16"/>
                <w:szCs w:val="16"/>
                <w:lang w:eastAsia="es-MX"/>
              </w:rPr>
            </w:pPr>
            <w:r w:rsidRPr="009A501D">
              <w:rPr>
                <w:rFonts w:ascii="Century Gothic" w:eastAsia="Times New Roman" w:hAnsi="Century Gothic" w:cs="Arial"/>
                <w:b/>
                <w:bCs/>
                <w:color w:val="000000" w:themeColor="text1"/>
                <w:sz w:val="16"/>
                <w:szCs w:val="16"/>
                <w:lang w:eastAsia="es-MX"/>
              </w:rPr>
              <w:t>Incluye apartado de calidad</w:t>
            </w:r>
          </w:p>
        </w:tc>
        <w:tc>
          <w:tcPr>
            <w:tcW w:w="2409" w:type="dxa"/>
            <w:shd w:val="clear" w:color="auto" w:fill="FFFFFF" w:themeFill="background1"/>
          </w:tcPr>
          <w:p w14:paraId="22610A55" w14:textId="6EDCFBC1"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Antecedentes</w:t>
            </w:r>
          </w:p>
          <w:p w14:paraId="7FD61F8A" w14:textId="27348F4C"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Metodología</w:t>
            </w:r>
          </w:p>
          <w:p w14:paraId="5484E7F8"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Áreas responsables</w:t>
            </w:r>
          </w:p>
          <w:p w14:paraId="09C3F23C"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 xml:space="preserve">Archivos de datos </w:t>
            </w:r>
          </w:p>
          <w:p w14:paraId="3D3092CE"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Características de las variables</w:t>
            </w:r>
          </w:p>
        </w:tc>
      </w:tr>
      <w:tr w:rsidR="00E84485" w:rsidRPr="009A501D" w14:paraId="06DC22DB" w14:textId="77777777" w:rsidTr="00664A1D">
        <w:trPr>
          <w:trHeight w:val="20"/>
          <w:jc w:val="center"/>
        </w:trPr>
        <w:tc>
          <w:tcPr>
            <w:tcW w:w="2405" w:type="dxa"/>
            <w:shd w:val="clear" w:color="auto" w:fill="F2F2F2" w:themeFill="background1" w:themeFillShade="F2"/>
            <w:tcMar>
              <w:top w:w="15" w:type="dxa"/>
              <w:left w:w="54" w:type="dxa"/>
              <w:bottom w:w="0" w:type="dxa"/>
              <w:right w:w="54" w:type="dxa"/>
            </w:tcMar>
            <w:vAlign w:val="center"/>
            <w:hideMark/>
          </w:tcPr>
          <w:p w14:paraId="4DC66730" w14:textId="064F3D26" w:rsidR="00E84485" w:rsidRPr="009A501D" w:rsidRDefault="00E84485" w:rsidP="00664A1D">
            <w:pPr>
              <w:spacing w:after="0" w:line="240" w:lineRule="auto"/>
              <w:rPr>
                <w:rFonts w:ascii="Century Gothic" w:eastAsia="Times New Roman" w:hAnsi="Century Gothic" w:cs="Arial"/>
                <w:i/>
                <w:iCs/>
                <w:sz w:val="16"/>
                <w:szCs w:val="16"/>
                <w:lang w:eastAsia="es-MX"/>
              </w:rPr>
            </w:pPr>
            <w:bookmarkStart w:id="13" w:name="_Hlk127452178"/>
            <w:r w:rsidRPr="009A501D">
              <w:rPr>
                <w:rFonts w:ascii="Century Gothic" w:eastAsia="Helvetica" w:hAnsi="Century Gothic" w:cs="Helvetica"/>
                <w:bCs/>
                <w:i/>
                <w:iCs/>
                <w:color w:val="000000" w:themeColor="text1"/>
                <w:position w:val="1"/>
                <w:sz w:val="16"/>
                <w:szCs w:val="16"/>
                <w:lang w:eastAsia="es-MX"/>
              </w:rPr>
              <w:t xml:space="preserve">Norma </w:t>
            </w:r>
            <w:r w:rsidR="007F0FBE" w:rsidRPr="009A501D">
              <w:rPr>
                <w:rFonts w:ascii="Century Gothic" w:eastAsia="Helvetica" w:hAnsi="Century Gothic" w:cs="Helvetica"/>
                <w:bCs/>
                <w:i/>
                <w:iCs/>
                <w:color w:val="000000" w:themeColor="text1"/>
                <w:position w:val="1"/>
                <w:sz w:val="16"/>
                <w:szCs w:val="16"/>
                <w:lang w:eastAsia="es-MX"/>
              </w:rPr>
              <w:t>T</w:t>
            </w:r>
            <w:r w:rsidRPr="009A501D">
              <w:rPr>
                <w:rFonts w:ascii="Century Gothic" w:eastAsia="Helvetica" w:hAnsi="Century Gothic" w:cs="Helvetica"/>
                <w:bCs/>
                <w:i/>
                <w:iCs/>
                <w:color w:val="000000" w:themeColor="text1"/>
                <w:position w:val="1"/>
                <w:sz w:val="16"/>
                <w:szCs w:val="16"/>
                <w:lang w:eastAsia="es-MX"/>
              </w:rPr>
              <w:t xml:space="preserve">écnica para la </w:t>
            </w:r>
            <w:r w:rsidR="007F0FBE" w:rsidRPr="009A501D">
              <w:rPr>
                <w:rFonts w:ascii="Century Gothic" w:eastAsia="Helvetica" w:hAnsi="Century Gothic" w:cs="Helvetica"/>
                <w:bCs/>
                <w:i/>
                <w:iCs/>
                <w:color w:val="000000" w:themeColor="text1"/>
                <w:position w:val="1"/>
                <w:sz w:val="16"/>
                <w:szCs w:val="16"/>
                <w:lang w:eastAsia="es-MX"/>
              </w:rPr>
              <w:t>E</w:t>
            </w:r>
            <w:r w:rsidRPr="009A501D">
              <w:rPr>
                <w:rFonts w:ascii="Century Gothic" w:eastAsia="Helvetica" w:hAnsi="Century Gothic" w:cs="Helvetica"/>
                <w:bCs/>
                <w:i/>
                <w:iCs/>
                <w:color w:val="000000" w:themeColor="text1"/>
                <w:position w:val="1"/>
                <w:sz w:val="16"/>
                <w:szCs w:val="16"/>
                <w:lang w:eastAsia="es-MX"/>
              </w:rPr>
              <w:t xml:space="preserve">laboración de </w:t>
            </w:r>
            <w:r w:rsidR="007F0FBE" w:rsidRPr="009A501D">
              <w:rPr>
                <w:rFonts w:ascii="Century Gothic" w:eastAsia="Helvetica" w:hAnsi="Century Gothic" w:cs="Helvetica"/>
                <w:bCs/>
                <w:i/>
                <w:iCs/>
                <w:color w:val="000000" w:themeColor="text1"/>
                <w:position w:val="1"/>
                <w:sz w:val="16"/>
                <w:szCs w:val="16"/>
                <w:lang w:eastAsia="es-MX"/>
              </w:rPr>
              <w:t>M</w:t>
            </w:r>
            <w:r w:rsidRPr="009A501D">
              <w:rPr>
                <w:rFonts w:ascii="Century Gothic" w:eastAsia="Helvetica" w:hAnsi="Century Gothic" w:cs="Helvetica"/>
                <w:bCs/>
                <w:i/>
                <w:iCs/>
                <w:color w:val="000000" w:themeColor="text1"/>
                <w:position w:val="1"/>
                <w:sz w:val="16"/>
                <w:szCs w:val="16"/>
                <w:lang w:eastAsia="es-MX"/>
              </w:rPr>
              <w:t xml:space="preserve">etadatos </w:t>
            </w:r>
            <w:r w:rsidR="007F0FBE" w:rsidRPr="009A501D">
              <w:rPr>
                <w:rFonts w:ascii="Century Gothic" w:eastAsia="Helvetica" w:hAnsi="Century Gothic" w:cs="Helvetica"/>
                <w:bCs/>
                <w:i/>
                <w:iCs/>
                <w:color w:val="000000" w:themeColor="text1"/>
                <w:position w:val="1"/>
                <w:sz w:val="16"/>
                <w:szCs w:val="16"/>
                <w:lang w:eastAsia="es-MX"/>
              </w:rPr>
              <w:t>G</w:t>
            </w:r>
            <w:r w:rsidRPr="009A501D">
              <w:rPr>
                <w:rFonts w:ascii="Century Gothic" w:eastAsia="Helvetica" w:hAnsi="Century Gothic" w:cs="Helvetica"/>
                <w:bCs/>
                <w:i/>
                <w:iCs/>
                <w:color w:val="000000" w:themeColor="text1"/>
                <w:position w:val="1"/>
                <w:sz w:val="16"/>
                <w:szCs w:val="16"/>
                <w:lang w:eastAsia="es-MX"/>
              </w:rPr>
              <w:t>eográficos.</w:t>
            </w:r>
            <w:bookmarkEnd w:id="13"/>
            <w:r w:rsidR="00BA45BB" w:rsidRPr="009A501D">
              <w:rPr>
                <w:rFonts w:ascii="Century Gothic" w:eastAsia="Helvetica" w:hAnsi="Century Gothic" w:cs="Helvetica"/>
                <w:bCs/>
                <w:i/>
                <w:iCs/>
                <w:color w:val="000000" w:themeColor="text1"/>
                <w:position w:val="1"/>
                <w:sz w:val="16"/>
                <w:szCs w:val="16"/>
                <w:lang w:eastAsia="es-MX"/>
              </w:rPr>
              <w:t xml:space="preserve"> (</w:t>
            </w:r>
            <w:r w:rsidR="00BA45BB" w:rsidRPr="009A501D">
              <w:rPr>
                <w:rFonts w:ascii="Century Gothic" w:eastAsia="Helvetica" w:hAnsi="Century Gothic" w:cs="Helvetica"/>
                <w:b/>
                <w:i/>
                <w:iCs/>
                <w:color w:val="000000" w:themeColor="text1"/>
                <w:position w:val="1"/>
                <w:sz w:val="16"/>
                <w:szCs w:val="16"/>
                <w:lang w:eastAsia="es-MX"/>
              </w:rPr>
              <w:t>NTMG</w:t>
            </w:r>
            <w:r w:rsidR="00BA45BB" w:rsidRPr="009A501D">
              <w:rPr>
                <w:rFonts w:ascii="Century Gothic" w:eastAsia="Helvetica" w:hAnsi="Century Gothic" w:cs="Helvetica"/>
                <w:bCs/>
                <w:i/>
                <w:iCs/>
                <w:color w:val="000000" w:themeColor="text1"/>
                <w:position w:val="1"/>
                <w:sz w:val="16"/>
                <w:szCs w:val="16"/>
                <w:lang w:eastAsia="es-MX"/>
              </w:rPr>
              <w:t>)</w:t>
            </w:r>
          </w:p>
        </w:tc>
        <w:tc>
          <w:tcPr>
            <w:tcW w:w="1843" w:type="dxa"/>
            <w:shd w:val="clear" w:color="auto" w:fill="F2F2F2" w:themeFill="background1" w:themeFillShade="F2"/>
            <w:tcMar>
              <w:top w:w="15" w:type="dxa"/>
              <w:left w:w="54" w:type="dxa"/>
              <w:bottom w:w="0" w:type="dxa"/>
              <w:right w:w="54" w:type="dxa"/>
            </w:tcMar>
            <w:vAlign w:val="center"/>
            <w:hideMark/>
          </w:tcPr>
          <w:p w14:paraId="4F718D0E" w14:textId="77777777" w:rsidR="00E84485" w:rsidRPr="009A501D" w:rsidRDefault="00E84485" w:rsidP="00664A1D">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Sistema de referencia del estándar del FGDC-STD-001-1998;</w:t>
            </w:r>
          </w:p>
          <w:p w14:paraId="523D2C26" w14:textId="77777777" w:rsidR="00E84485" w:rsidRPr="009A501D" w:rsidRDefault="00E84485" w:rsidP="00664A1D">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Estándar ISO 19115:2003.</w:t>
            </w:r>
          </w:p>
        </w:tc>
        <w:tc>
          <w:tcPr>
            <w:tcW w:w="1701" w:type="dxa"/>
            <w:shd w:val="clear" w:color="auto" w:fill="F2F2F2" w:themeFill="background1" w:themeFillShade="F2"/>
            <w:vAlign w:val="center"/>
          </w:tcPr>
          <w:p w14:paraId="0FD39463" w14:textId="77777777" w:rsidR="00E84485" w:rsidRPr="009A501D" w:rsidRDefault="00E84485" w:rsidP="00E970B5">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Grupos de datos geográficos.</w:t>
            </w:r>
          </w:p>
          <w:p w14:paraId="42F040A1"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 xml:space="preserve">Metadatos referenciales y estructurales </w:t>
            </w:r>
          </w:p>
        </w:tc>
        <w:tc>
          <w:tcPr>
            <w:tcW w:w="1843" w:type="dxa"/>
            <w:shd w:val="clear" w:color="auto" w:fill="F2F2F2" w:themeFill="background1" w:themeFillShade="F2"/>
            <w:tcMar>
              <w:top w:w="15" w:type="dxa"/>
              <w:left w:w="54" w:type="dxa"/>
              <w:bottom w:w="0" w:type="dxa"/>
              <w:right w:w="54" w:type="dxa"/>
            </w:tcMar>
            <w:vAlign w:val="center"/>
          </w:tcPr>
          <w:p w14:paraId="15EC2FD7" w14:textId="71475602" w:rsidR="00E84485" w:rsidRPr="009A501D" w:rsidRDefault="00BA45BB" w:rsidP="00E970B5">
            <w:pPr>
              <w:spacing w:after="0" w:line="240" w:lineRule="auto"/>
              <w:ind w:left="78"/>
              <w:contextualSpacing/>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Amplio nivel de detalle en</w:t>
            </w:r>
            <w:r w:rsidR="00E84485" w:rsidRPr="009A501D">
              <w:rPr>
                <w:rFonts w:ascii="Century Gothic" w:eastAsia="Times New Roman" w:hAnsi="Century Gothic" w:cs="Arial"/>
                <w:sz w:val="16"/>
                <w:szCs w:val="16"/>
                <w:lang w:eastAsia="es-MX"/>
              </w:rPr>
              <w:t>:</w:t>
            </w:r>
          </w:p>
          <w:p w14:paraId="328E5B7C" w14:textId="7A9C08A3" w:rsidR="00E84485" w:rsidRPr="009A501D" w:rsidRDefault="00E84485" w:rsidP="00E970B5">
            <w:pPr>
              <w:numPr>
                <w:ilvl w:val="0"/>
                <w:numId w:val="5"/>
              </w:numPr>
              <w:spacing w:after="0" w:line="240" w:lineRule="auto"/>
              <w:ind w:left="361" w:hanging="283"/>
              <w:contextualSpacing/>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Productos de información</w:t>
            </w:r>
          </w:p>
          <w:p w14:paraId="4F045079" w14:textId="6890BC37" w:rsidR="00BA45BB" w:rsidRPr="009A501D" w:rsidRDefault="00BA45BB" w:rsidP="00E970B5">
            <w:pPr>
              <w:numPr>
                <w:ilvl w:val="0"/>
                <w:numId w:val="5"/>
              </w:numPr>
              <w:spacing w:after="0" w:line="240" w:lineRule="auto"/>
              <w:ind w:left="361" w:hanging="283"/>
              <w:contextualSpacing/>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Grupos de datos</w:t>
            </w:r>
          </w:p>
          <w:p w14:paraId="20F40C4C" w14:textId="7DA3CDFE" w:rsidR="009D557E" w:rsidRPr="009A501D" w:rsidRDefault="009D557E" w:rsidP="00E970B5">
            <w:pPr>
              <w:spacing w:after="0" w:line="240" w:lineRule="auto"/>
              <w:contextualSpacing/>
              <w:rPr>
                <w:rFonts w:ascii="Century Gothic" w:eastAsia="Times New Roman" w:hAnsi="Century Gothic" w:cs="Arial"/>
                <w:sz w:val="16"/>
                <w:szCs w:val="16"/>
                <w:lang w:eastAsia="es-MX"/>
              </w:rPr>
            </w:pPr>
            <w:r w:rsidRPr="009A501D">
              <w:rPr>
                <w:rFonts w:ascii="Century Gothic" w:eastAsia="Times New Roman" w:hAnsi="Century Gothic" w:cs="Arial"/>
                <w:b/>
                <w:bCs/>
                <w:color w:val="000000" w:themeColor="text1"/>
                <w:sz w:val="16"/>
                <w:szCs w:val="16"/>
                <w:lang w:eastAsia="es-MX"/>
              </w:rPr>
              <w:t>Incluye apartado de calidad</w:t>
            </w:r>
          </w:p>
        </w:tc>
        <w:tc>
          <w:tcPr>
            <w:tcW w:w="2409" w:type="dxa"/>
            <w:shd w:val="clear" w:color="auto" w:fill="F2F2F2" w:themeFill="background1" w:themeFillShade="F2"/>
          </w:tcPr>
          <w:p w14:paraId="4D887422" w14:textId="48C978C2"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Facilita la interpretación</w:t>
            </w:r>
            <w:r w:rsidR="00BA45BB" w:rsidRPr="009A501D">
              <w:rPr>
                <w:rFonts w:ascii="Century Gothic" w:eastAsia="Helvetica" w:hAnsi="Century Gothic" w:cs="Helvetica"/>
                <w:bCs/>
                <w:color w:val="000000" w:themeColor="text1"/>
                <w:position w:val="1"/>
                <w:sz w:val="16"/>
                <w:szCs w:val="16"/>
                <w:lang w:eastAsia="es-MX"/>
              </w:rPr>
              <w:t xml:space="preserve"> y uso</w:t>
            </w:r>
            <w:r w:rsidRPr="009A501D">
              <w:rPr>
                <w:rFonts w:ascii="Century Gothic" w:eastAsia="Helvetica" w:hAnsi="Century Gothic" w:cs="Helvetica"/>
                <w:bCs/>
                <w:color w:val="000000" w:themeColor="text1"/>
                <w:position w:val="1"/>
                <w:sz w:val="16"/>
                <w:szCs w:val="16"/>
                <w:lang w:eastAsia="es-MX"/>
              </w:rPr>
              <w:t xml:space="preserve"> de los datos por parte de los usuarios.</w:t>
            </w:r>
          </w:p>
        </w:tc>
      </w:tr>
      <w:tr w:rsidR="00E84485" w:rsidRPr="009A501D" w14:paraId="193D13DE" w14:textId="77777777" w:rsidTr="0072266C">
        <w:trPr>
          <w:trHeight w:val="20"/>
          <w:jc w:val="center"/>
        </w:trPr>
        <w:tc>
          <w:tcPr>
            <w:tcW w:w="2405" w:type="dxa"/>
            <w:shd w:val="clear" w:color="auto" w:fill="FFFFFF" w:themeFill="background1"/>
            <w:tcMar>
              <w:top w:w="15" w:type="dxa"/>
              <w:left w:w="54" w:type="dxa"/>
              <w:bottom w:w="0" w:type="dxa"/>
              <w:right w:w="54" w:type="dxa"/>
            </w:tcMar>
            <w:vAlign w:val="center"/>
            <w:hideMark/>
          </w:tcPr>
          <w:p w14:paraId="4631F19E" w14:textId="5CA51F79" w:rsidR="00E84485" w:rsidRPr="009A501D" w:rsidRDefault="00E84485" w:rsidP="00664A1D">
            <w:pPr>
              <w:spacing w:after="0" w:line="240" w:lineRule="auto"/>
              <w:rPr>
                <w:rFonts w:ascii="Century Gothic" w:eastAsia="Times New Roman" w:hAnsi="Century Gothic" w:cs="Arial"/>
                <w:i/>
                <w:iCs/>
                <w:sz w:val="16"/>
                <w:szCs w:val="16"/>
                <w:lang w:eastAsia="es-MX"/>
              </w:rPr>
            </w:pPr>
            <w:r w:rsidRPr="009A501D">
              <w:rPr>
                <w:rFonts w:ascii="Century Gothic" w:eastAsia="Helvetica" w:hAnsi="Century Gothic" w:cs="Helvetica"/>
                <w:bCs/>
                <w:i/>
                <w:iCs/>
                <w:color w:val="000000" w:themeColor="text1"/>
                <w:position w:val="1"/>
                <w:sz w:val="16"/>
                <w:szCs w:val="16"/>
                <w:lang w:eastAsia="es-MX"/>
              </w:rPr>
              <w:t xml:space="preserve">Norma </w:t>
            </w:r>
            <w:r w:rsidR="007F0FBE" w:rsidRPr="009A501D">
              <w:rPr>
                <w:rFonts w:ascii="Century Gothic" w:eastAsia="Helvetica" w:hAnsi="Century Gothic" w:cs="Helvetica"/>
                <w:bCs/>
                <w:i/>
                <w:iCs/>
                <w:color w:val="000000" w:themeColor="text1"/>
                <w:position w:val="1"/>
                <w:sz w:val="16"/>
                <w:szCs w:val="16"/>
                <w:lang w:eastAsia="es-MX"/>
              </w:rPr>
              <w:t>T</w:t>
            </w:r>
            <w:r w:rsidRPr="009A501D">
              <w:rPr>
                <w:rFonts w:ascii="Century Gothic" w:eastAsia="Helvetica" w:hAnsi="Century Gothic" w:cs="Helvetica"/>
                <w:bCs/>
                <w:i/>
                <w:iCs/>
                <w:color w:val="000000" w:themeColor="text1"/>
                <w:position w:val="1"/>
                <w:sz w:val="16"/>
                <w:szCs w:val="16"/>
                <w:lang w:eastAsia="es-MX"/>
              </w:rPr>
              <w:t xml:space="preserve">écnica para el </w:t>
            </w:r>
            <w:r w:rsidR="007F0FBE" w:rsidRPr="009A501D">
              <w:rPr>
                <w:rFonts w:ascii="Century Gothic" w:eastAsia="Helvetica" w:hAnsi="Century Gothic" w:cs="Helvetica"/>
                <w:bCs/>
                <w:i/>
                <w:iCs/>
                <w:color w:val="000000" w:themeColor="text1"/>
                <w:position w:val="1"/>
                <w:sz w:val="16"/>
                <w:szCs w:val="16"/>
                <w:lang w:eastAsia="es-MX"/>
              </w:rPr>
              <w:t>A</w:t>
            </w:r>
            <w:r w:rsidRPr="009A501D">
              <w:rPr>
                <w:rFonts w:ascii="Century Gothic" w:eastAsia="Helvetica" w:hAnsi="Century Gothic" w:cs="Helvetica"/>
                <w:bCs/>
                <w:i/>
                <w:iCs/>
                <w:color w:val="000000" w:themeColor="text1"/>
                <w:position w:val="1"/>
                <w:sz w:val="16"/>
                <w:szCs w:val="16"/>
                <w:lang w:eastAsia="es-MX"/>
              </w:rPr>
              <w:t xml:space="preserve">cceso y </w:t>
            </w:r>
            <w:r w:rsidR="007F0FBE" w:rsidRPr="009A501D">
              <w:rPr>
                <w:rFonts w:ascii="Century Gothic" w:eastAsia="Helvetica" w:hAnsi="Century Gothic" w:cs="Helvetica"/>
                <w:bCs/>
                <w:i/>
                <w:iCs/>
                <w:color w:val="000000" w:themeColor="text1"/>
                <w:position w:val="1"/>
                <w:sz w:val="16"/>
                <w:szCs w:val="16"/>
                <w:lang w:eastAsia="es-MX"/>
              </w:rPr>
              <w:t>P</w:t>
            </w:r>
            <w:r w:rsidRPr="009A501D">
              <w:rPr>
                <w:rFonts w:ascii="Century Gothic" w:eastAsia="Helvetica" w:hAnsi="Century Gothic" w:cs="Helvetica"/>
                <w:bCs/>
                <w:i/>
                <w:iCs/>
                <w:color w:val="000000" w:themeColor="text1"/>
                <w:position w:val="1"/>
                <w:sz w:val="16"/>
                <w:szCs w:val="16"/>
                <w:lang w:eastAsia="es-MX"/>
              </w:rPr>
              <w:t xml:space="preserve">ublicación de </w:t>
            </w:r>
            <w:r w:rsidR="007F0FBE" w:rsidRPr="009A501D">
              <w:rPr>
                <w:rFonts w:ascii="Century Gothic" w:eastAsia="Helvetica" w:hAnsi="Century Gothic" w:cs="Helvetica"/>
                <w:bCs/>
                <w:i/>
                <w:iCs/>
                <w:color w:val="000000" w:themeColor="text1"/>
                <w:position w:val="1"/>
                <w:sz w:val="16"/>
                <w:szCs w:val="16"/>
                <w:lang w:eastAsia="es-MX"/>
              </w:rPr>
              <w:t>D</w:t>
            </w:r>
            <w:r w:rsidRPr="009A501D">
              <w:rPr>
                <w:rFonts w:ascii="Century Gothic" w:eastAsia="Helvetica" w:hAnsi="Century Gothic" w:cs="Helvetica"/>
                <w:bCs/>
                <w:i/>
                <w:iCs/>
                <w:color w:val="000000" w:themeColor="text1"/>
                <w:position w:val="1"/>
                <w:sz w:val="16"/>
                <w:szCs w:val="16"/>
                <w:lang w:eastAsia="es-MX"/>
              </w:rPr>
              <w:t xml:space="preserve">atos </w:t>
            </w:r>
            <w:r w:rsidR="007F0FBE" w:rsidRPr="009A501D">
              <w:rPr>
                <w:rFonts w:ascii="Century Gothic" w:eastAsia="Helvetica" w:hAnsi="Century Gothic" w:cs="Helvetica"/>
                <w:bCs/>
                <w:i/>
                <w:iCs/>
                <w:color w:val="000000" w:themeColor="text1"/>
                <w:position w:val="1"/>
                <w:sz w:val="16"/>
                <w:szCs w:val="16"/>
                <w:lang w:eastAsia="es-MX"/>
              </w:rPr>
              <w:t>A</w:t>
            </w:r>
            <w:r w:rsidRPr="009A501D">
              <w:rPr>
                <w:rFonts w:ascii="Century Gothic" w:eastAsia="Helvetica" w:hAnsi="Century Gothic" w:cs="Helvetica"/>
                <w:bCs/>
                <w:i/>
                <w:iCs/>
                <w:color w:val="000000" w:themeColor="text1"/>
                <w:position w:val="1"/>
                <w:sz w:val="16"/>
                <w:szCs w:val="16"/>
                <w:lang w:eastAsia="es-MX"/>
              </w:rPr>
              <w:t xml:space="preserve">biertos de la </w:t>
            </w:r>
            <w:r w:rsidR="007F0FBE" w:rsidRPr="009A501D">
              <w:rPr>
                <w:rFonts w:ascii="Century Gothic" w:eastAsia="Helvetica" w:hAnsi="Century Gothic" w:cs="Helvetica"/>
                <w:bCs/>
                <w:i/>
                <w:iCs/>
                <w:color w:val="000000" w:themeColor="text1"/>
                <w:position w:val="1"/>
                <w:sz w:val="16"/>
                <w:szCs w:val="16"/>
                <w:lang w:eastAsia="es-MX"/>
              </w:rPr>
              <w:t>I</w:t>
            </w:r>
            <w:r w:rsidRPr="009A501D">
              <w:rPr>
                <w:rFonts w:ascii="Century Gothic" w:eastAsia="Helvetica" w:hAnsi="Century Gothic" w:cs="Helvetica"/>
                <w:bCs/>
                <w:i/>
                <w:iCs/>
                <w:color w:val="000000" w:themeColor="text1"/>
                <w:position w:val="1"/>
                <w:sz w:val="16"/>
                <w:szCs w:val="16"/>
                <w:lang w:eastAsia="es-MX"/>
              </w:rPr>
              <w:t xml:space="preserve">nformación </w:t>
            </w:r>
            <w:r w:rsidR="007F0FBE" w:rsidRPr="009A501D">
              <w:rPr>
                <w:rFonts w:ascii="Century Gothic" w:eastAsia="Helvetica" w:hAnsi="Century Gothic" w:cs="Helvetica"/>
                <w:bCs/>
                <w:i/>
                <w:iCs/>
                <w:color w:val="000000" w:themeColor="text1"/>
                <w:position w:val="1"/>
                <w:sz w:val="16"/>
                <w:szCs w:val="16"/>
                <w:lang w:eastAsia="es-MX"/>
              </w:rPr>
              <w:t>E</w:t>
            </w:r>
            <w:r w:rsidRPr="009A501D">
              <w:rPr>
                <w:rFonts w:ascii="Century Gothic" w:eastAsia="Helvetica" w:hAnsi="Century Gothic" w:cs="Helvetica"/>
                <w:bCs/>
                <w:i/>
                <w:iCs/>
                <w:color w:val="000000" w:themeColor="text1"/>
                <w:position w:val="1"/>
                <w:sz w:val="16"/>
                <w:szCs w:val="16"/>
                <w:lang w:eastAsia="es-MX"/>
              </w:rPr>
              <w:t xml:space="preserve">stadística y </w:t>
            </w:r>
            <w:r w:rsidR="007F0FBE" w:rsidRPr="009A501D">
              <w:rPr>
                <w:rFonts w:ascii="Century Gothic" w:eastAsia="Helvetica" w:hAnsi="Century Gothic" w:cs="Helvetica"/>
                <w:bCs/>
                <w:i/>
                <w:iCs/>
                <w:color w:val="000000" w:themeColor="text1"/>
                <w:position w:val="1"/>
                <w:sz w:val="16"/>
                <w:szCs w:val="16"/>
                <w:lang w:eastAsia="es-MX"/>
              </w:rPr>
              <w:t>G</w:t>
            </w:r>
            <w:r w:rsidRPr="009A501D">
              <w:rPr>
                <w:rFonts w:ascii="Century Gothic" w:eastAsia="Helvetica" w:hAnsi="Century Gothic" w:cs="Helvetica"/>
                <w:bCs/>
                <w:i/>
                <w:iCs/>
                <w:color w:val="000000" w:themeColor="text1"/>
                <w:position w:val="1"/>
                <w:sz w:val="16"/>
                <w:szCs w:val="16"/>
                <w:lang w:eastAsia="es-MX"/>
              </w:rPr>
              <w:t xml:space="preserve">eográfica de </w:t>
            </w:r>
            <w:r w:rsidR="007F0FBE" w:rsidRPr="009A501D">
              <w:rPr>
                <w:rFonts w:ascii="Century Gothic" w:eastAsia="Helvetica" w:hAnsi="Century Gothic" w:cs="Helvetica"/>
                <w:bCs/>
                <w:i/>
                <w:iCs/>
                <w:color w:val="000000" w:themeColor="text1"/>
                <w:position w:val="1"/>
                <w:sz w:val="16"/>
                <w:szCs w:val="16"/>
                <w:lang w:eastAsia="es-MX"/>
              </w:rPr>
              <w:t>I</w:t>
            </w:r>
            <w:r w:rsidRPr="009A501D">
              <w:rPr>
                <w:rFonts w:ascii="Century Gothic" w:eastAsia="Helvetica" w:hAnsi="Century Gothic" w:cs="Helvetica"/>
                <w:bCs/>
                <w:i/>
                <w:iCs/>
                <w:color w:val="000000" w:themeColor="text1"/>
                <w:position w:val="1"/>
                <w:sz w:val="16"/>
                <w:szCs w:val="16"/>
                <w:lang w:eastAsia="es-MX"/>
              </w:rPr>
              <w:t xml:space="preserve">nterés </w:t>
            </w:r>
            <w:r w:rsidR="007F0FBE" w:rsidRPr="009A501D">
              <w:rPr>
                <w:rFonts w:ascii="Century Gothic" w:eastAsia="Helvetica" w:hAnsi="Century Gothic" w:cs="Helvetica"/>
                <w:bCs/>
                <w:i/>
                <w:iCs/>
                <w:color w:val="000000" w:themeColor="text1"/>
                <w:position w:val="1"/>
                <w:sz w:val="16"/>
                <w:szCs w:val="16"/>
                <w:lang w:eastAsia="es-MX"/>
              </w:rPr>
              <w:t>N</w:t>
            </w:r>
            <w:r w:rsidRPr="009A501D">
              <w:rPr>
                <w:rFonts w:ascii="Century Gothic" w:eastAsia="Helvetica" w:hAnsi="Century Gothic" w:cs="Helvetica"/>
                <w:bCs/>
                <w:i/>
                <w:iCs/>
                <w:color w:val="000000" w:themeColor="text1"/>
                <w:position w:val="1"/>
                <w:sz w:val="16"/>
                <w:szCs w:val="16"/>
                <w:lang w:eastAsia="es-MX"/>
              </w:rPr>
              <w:t>acional.</w:t>
            </w:r>
          </w:p>
        </w:tc>
        <w:tc>
          <w:tcPr>
            <w:tcW w:w="1843" w:type="dxa"/>
            <w:shd w:val="clear" w:color="auto" w:fill="FFFFFF" w:themeFill="background1"/>
            <w:tcMar>
              <w:top w:w="15" w:type="dxa"/>
              <w:left w:w="54" w:type="dxa"/>
              <w:bottom w:w="0" w:type="dxa"/>
              <w:right w:w="54" w:type="dxa"/>
            </w:tcMar>
            <w:vAlign w:val="center"/>
            <w:hideMark/>
          </w:tcPr>
          <w:p w14:paraId="050F0DDF" w14:textId="77777777" w:rsidR="00E84485" w:rsidRPr="009A501D" w:rsidRDefault="00E84485" w:rsidP="00664A1D">
            <w:pPr>
              <w:spacing w:after="0" w:line="240" w:lineRule="auto"/>
              <w:rPr>
                <w:rFonts w:ascii="Century Gothic" w:eastAsia="Helvetica" w:hAnsi="Century Gothic" w:cs="Helvetica"/>
                <w:bCs/>
                <w:color w:val="000000" w:themeColor="text1"/>
                <w:position w:val="1"/>
                <w:sz w:val="16"/>
                <w:szCs w:val="16"/>
                <w:lang w:val="en-US" w:eastAsia="es-MX"/>
              </w:rPr>
            </w:pPr>
            <w:r w:rsidRPr="009A501D">
              <w:rPr>
                <w:rFonts w:ascii="Century Gothic" w:eastAsia="Helvetica" w:hAnsi="Century Gothic" w:cs="Helvetica"/>
                <w:bCs/>
                <w:i/>
                <w:color w:val="000000" w:themeColor="text1"/>
                <w:position w:val="1"/>
                <w:sz w:val="16"/>
                <w:szCs w:val="16"/>
                <w:lang w:val="en-US" w:eastAsia="es-MX"/>
              </w:rPr>
              <w:t>Data Catalog Vocabulary</w:t>
            </w:r>
            <w:r w:rsidRPr="009A501D">
              <w:rPr>
                <w:rFonts w:ascii="Century Gothic" w:eastAsia="Helvetica" w:hAnsi="Century Gothic" w:cs="Helvetica"/>
                <w:bCs/>
                <w:color w:val="000000" w:themeColor="text1"/>
                <w:position w:val="1"/>
                <w:sz w:val="16"/>
                <w:szCs w:val="16"/>
                <w:lang w:val="en-US" w:eastAsia="es-MX"/>
              </w:rPr>
              <w:t xml:space="preserve"> (</w:t>
            </w:r>
            <w:r w:rsidRPr="009A501D">
              <w:rPr>
                <w:rFonts w:ascii="Century Gothic" w:eastAsia="Helvetica" w:hAnsi="Century Gothic" w:cs="Helvetica"/>
                <w:b/>
                <w:color w:val="000000" w:themeColor="text1"/>
                <w:position w:val="1"/>
                <w:sz w:val="16"/>
                <w:szCs w:val="16"/>
                <w:lang w:val="en-US" w:eastAsia="es-MX"/>
              </w:rPr>
              <w:t>DCAT</w:t>
            </w:r>
            <w:r w:rsidRPr="009A501D">
              <w:rPr>
                <w:rFonts w:ascii="Century Gothic" w:eastAsia="Helvetica" w:hAnsi="Century Gothic" w:cs="Helvetica"/>
                <w:bCs/>
                <w:color w:val="000000" w:themeColor="text1"/>
                <w:position w:val="1"/>
                <w:sz w:val="16"/>
                <w:szCs w:val="16"/>
                <w:lang w:val="en-US" w:eastAsia="es-MX"/>
              </w:rPr>
              <w:t>)</w:t>
            </w:r>
          </w:p>
          <w:p w14:paraId="2D93E4D3" w14:textId="77777777" w:rsidR="00E84485" w:rsidRPr="009A501D" w:rsidRDefault="00E84485" w:rsidP="00664A1D">
            <w:pPr>
              <w:spacing w:after="0" w:line="240" w:lineRule="auto"/>
              <w:rPr>
                <w:rFonts w:ascii="Century Gothic" w:eastAsia="Times New Roman" w:hAnsi="Century Gothic" w:cs="Arial"/>
                <w:sz w:val="16"/>
                <w:szCs w:val="16"/>
                <w:lang w:val="en-US" w:eastAsia="es-MX"/>
              </w:rPr>
            </w:pPr>
            <w:r w:rsidRPr="009A501D">
              <w:rPr>
                <w:rFonts w:ascii="Century Gothic" w:eastAsia="Helvetica" w:hAnsi="Century Gothic" w:cs="Helvetica"/>
                <w:bCs/>
                <w:color w:val="000000" w:themeColor="text1"/>
                <w:position w:val="1"/>
                <w:sz w:val="16"/>
                <w:szCs w:val="16"/>
                <w:lang w:val="en-US" w:eastAsia="es-MX"/>
              </w:rPr>
              <w:t>(data.gov y data.gov.uk).</w:t>
            </w:r>
          </w:p>
        </w:tc>
        <w:tc>
          <w:tcPr>
            <w:tcW w:w="1701" w:type="dxa"/>
            <w:shd w:val="clear" w:color="auto" w:fill="FFFFFF" w:themeFill="background1"/>
            <w:vAlign w:val="center"/>
          </w:tcPr>
          <w:p w14:paraId="1DBE5110" w14:textId="77777777" w:rsidR="00E84485" w:rsidRPr="009A501D" w:rsidRDefault="00E84485" w:rsidP="00E970B5">
            <w:pPr>
              <w:spacing w:after="0" w:line="240" w:lineRule="auto"/>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Conjuntos de datos en formato de datos abiertos.</w:t>
            </w:r>
          </w:p>
          <w:p w14:paraId="2938A78F"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Metadatos referenciales básicos</w:t>
            </w:r>
          </w:p>
        </w:tc>
        <w:tc>
          <w:tcPr>
            <w:tcW w:w="1843" w:type="dxa"/>
            <w:shd w:val="clear" w:color="auto" w:fill="FFFFFF" w:themeFill="background1"/>
            <w:tcMar>
              <w:top w:w="15" w:type="dxa"/>
              <w:left w:w="54" w:type="dxa"/>
              <w:bottom w:w="0" w:type="dxa"/>
              <w:right w:w="54" w:type="dxa"/>
            </w:tcMar>
            <w:vAlign w:val="center"/>
          </w:tcPr>
          <w:p w14:paraId="7D80DD21" w14:textId="77777777" w:rsidR="00E84485" w:rsidRPr="009A501D" w:rsidRDefault="00E84485" w:rsidP="00E970B5">
            <w:pPr>
              <w:spacing w:after="0" w:line="240" w:lineRule="auto"/>
              <w:ind w:left="78"/>
              <w:contextualSpacing/>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Datos generales de:</w:t>
            </w:r>
          </w:p>
          <w:p w14:paraId="3A28DB65" w14:textId="77777777" w:rsidR="00E84485" w:rsidRPr="009A501D" w:rsidRDefault="00E84485" w:rsidP="00E970B5">
            <w:pPr>
              <w:numPr>
                <w:ilvl w:val="0"/>
                <w:numId w:val="5"/>
              </w:numPr>
              <w:spacing w:after="0" w:line="240" w:lineRule="auto"/>
              <w:ind w:left="361" w:hanging="283"/>
              <w:contextualSpacing/>
              <w:rPr>
                <w:rFonts w:ascii="Century Gothic" w:eastAsia="Times New Roman" w:hAnsi="Century Gothic" w:cs="Arial"/>
                <w:sz w:val="16"/>
                <w:szCs w:val="16"/>
                <w:lang w:eastAsia="es-MX"/>
              </w:rPr>
            </w:pPr>
            <w:r w:rsidRPr="009A501D">
              <w:rPr>
                <w:rFonts w:ascii="Century Gothic" w:eastAsia="Helvetica" w:hAnsi="Century Gothic" w:cs="Helvetica"/>
                <w:bCs/>
                <w:color w:val="000000" w:themeColor="text1"/>
                <w:position w:val="1"/>
                <w:sz w:val="16"/>
                <w:szCs w:val="16"/>
                <w:lang w:eastAsia="es-MX"/>
              </w:rPr>
              <w:t>Procesos de producción</w:t>
            </w:r>
          </w:p>
          <w:p w14:paraId="53B0466E" w14:textId="2EE80817" w:rsidR="009D557E" w:rsidRPr="009A501D" w:rsidRDefault="009D557E" w:rsidP="00E970B5">
            <w:pPr>
              <w:spacing w:after="0" w:line="240" w:lineRule="auto"/>
              <w:contextualSpacing/>
              <w:rPr>
                <w:rFonts w:ascii="Century Gothic" w:eastAsia="Times New Roman" w:hAnsi="Century Gothic" w:cs="Arial"/>
                <w:sz w:val="16"/>
                <w:szCs w:val="16"/>
                <w:lang w:eastAsia="es-MX"/>
              </w:rPr>
            </w:pPr>
            <w:r w:rsidRPr="009A501D">
              <w:rPr>
                <w:rFonts w:ascii="Century Gothic" w:eastAsia="Times New Roman" w:hAnsi="Century Gothic" w:cs="Arial"/>
                <w:b/>
                <w:bCs/>
                <w:color w:val="000000" w:themeColor="text1"/>
                <w:sz w:val="16"/>
                <w:szCs w:val="16"/>
                <w:lang w:eastAsia="es-MX"/>
              </w:rPr>
              <w:t>No incluye apartado de calidad</w:t>
            </w:r>
          </w:p>
        </w:tc>
        <w:tc>
          <w:tcPr>
            <w:tcW w:w="2409" w:type="dxa"/>
            <w:shd w:val="clear" w:color="auto" w:fill="FFFFFF" w:themeFill="background1"/>
          </w:tcPr>
          <w:p w14:paraId="2C8AC526"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DCAT es un vocabulario para publicar catálogos de datos en la Web</w:t>
            </w:r>
          </w:p>
          <w:p w14:paraId="62BA1ED1" w14:textId="77777777" w:rsidR="00E84485" w:rsidRPr="009A501D" w:rsidRDefault="00E84485" w:rsidP="00E970B5">
            <w:pPr>
              <w:numPr>
                <w:ilvl w:val="0"/>
                <w:numId w:val="5"/>
              </w:numPr>
              <w:spacing w:after="0" w:line="240" w:lineRule="auto"/>
              <w:ind w:left="361" w:hanging="283"/>
              <w:contextualSpacing/>
              <w:rPr>
                <w:rFonts w:ascii="Century Gothic" w:eastAsia="Helvetica" w:hAnsi="Century Gothic" w:cs="Helvetica"/>
                <w:bCs/>
                <w:color w:val="000000" w:themeColor="text1"/>
                <w:position w:val="1"/>
                <w:sz w:val="16"/>
                <w:szCs w:val="16"/>
                <w:lang w:eastAsia="es-MX"/>
              </w:rPr>
            </w:pPr>
            <w:r w:rsidRPr="009A501D">
              <w:rPr>
                <w:rFonts w:ascii="Century Gothic" w:eastAsia="Helvetica" w:hAnsi="Century Gothic" w:cs="Helvetica"/>
                <w:bCs/>
                <w:color w:val="000000" w:themeColor="text1"/>
                <w:position w:val="1"/>
                <w:sz w:val="16"/>
                <w:szCs w:val="16"/>
                <w:lang w:eastAsia="es-MX"/>
              </w:rPr>
              <w:t>Permite que los conjuntos de datos y los servicios de datos se describan e incluyan en un catálogo</w:t>
            </w:r>
          </w:p>
        </w:tc>
      </w:tr>
    </w:tbl>
    <w:p w14:paraId="0364FD03" w14:textId="183D8168" w:rsidR="0062085C" w:rsidRPr="009A501D" w:rsidRDefault="0062085C" w:rsidP="00664A1D">
      <w:pPr>
        <w:spacing w:before="240"/>
        <w:jc w:val="both"/>
        <w:rPr>
          <w:rFonts w:ascii="Century Gothic" w:hAnsi="Century Gothic"/>
          <w:sz w:val="19"/>
          <w:szCs w:val="19"/>
        </w:rPr>
      </w:pPr>
      <w:r w:rsidRPr="009A501D">
        <w:rPr>
          <w:rFonts w:ascii="Century Gothic" w:hAnsi="Century Gothic"/>
          <w:sz w:val="19"/>
          <w:szCs w:val="19"/>
        </w:rPr>
        <w:t>Como puede observarse, el nivel de documentación y contenido es distinto en cada estándar. El número de campos obligatorios también refleja la cantidad de información que provee cada estándar a l</w:t>
      </w:r>
      <w:r w:rsidR="00D111E7" w:rsidRPr="009A501D">
        <w:rPr>
          <w:rFonts w:ascii="Century Gothic" w:hAnsi="Century Gothic"/>
          <w:sz w:val="19"/>
          <w:szCs w:val="19"/>
        </w:rPr>
        <w:t xml:space="preserve">as </w:t>
      </w:r>
      <w:r w:rsidR="006D1623">
        <w:rPr>
          <w:rFonts w:ascii="Century Gothic" w:hAnsi="Century Gothic"/>
          <w:sz w:val="19"/>
          <w:szCs w:val="19"/>
        </w:rPr>
        <w:t>personas</w:t>
      </w:r>
      <w:r w:rsidRPr="009A501D">
        <w:rPr>
          <w:rFonts w:ascii="Century Gothic" w:hAnsi="Century Gothic"/>
          <w:sz w:val="19"/>
          <w:szCs w:val="19"/>
        </w:rPr>
        <w:t xml:space="preserve"> usuari</w:t>
      </w:r>
      <w:r w:rsidR="006D1623">
        <w:rPr>
          <w:rFonts w:ascii="Century Gothic" w:hAnsi="Century Gothic"/>
          <w:sz w:val="19"/>
          <w:szCs w:val="19"/>
        </w:rPr>
        <w:t>a</w:t>
      </w:r>
      <w:r w:rsidRPr="009A501D">
        <w:rPr>
          <w:rFonts w:ascii="Century Gothic" w:hAnsi="Century Gothic"/>
          <w:sz w:val="19"/>
          <w:szCs w:val="19"/>
        </w:rPr>
        <w:t xml:space="preserve">s. El DCAT contiene </w:t>
      </w:r>
      <w:r w:rsidR="001B313B" w:rsidRPr="009A501D">
        <w:rPr>
          <w:rFonts w:ascii="Century Gothic" w:hAnsi="Century Gothic"/>
          <w:sz w:val="19"/>
          <w:szCs w:val="19"/>
        </w:rPr>
        <w:t>nueve</w:t>
      </w:r>
      <w:r w:rsidRPr="009A501D">
        <w:rPr>
          <w:rFonts w:ascii="Century Gothic" w:hAnsi="Century Gothic"/>
          <w:sz w:val="19"/>
          <w:szCs w:val="19"/>
        </w:rPr>
        <w:t xml:space="preserve"> campos obligatorios, el estándar geográfico contiene 25 y el DDI 42 (ver gráfica III.3.</w:t>
      </w:r>
      <w:r w:rsidR="00C601B5" w:rsidRPr="009A501D">
        <w:rPr>
          <w:rFonts w:ascii="Century Gothic" w:hAnsi="Century Gothic"/>
          <w:sz w:val="19"/>
          <w:szCs w:val="19"/>
        </w:rPr>
        <w:t>2</w:t>
      </w:r>
      <w:r w:rsidRPr="009A501D">
        <w:rPr>
          <w:rFonts w:ascii="Century Gothic" w:hAnsi="Century Gothic"/>
          <w:sz w:val="19"/>
          <w:szCs w:val="19"/>
        </w:rPr>
        <w:t>).</w:t>
      </w:r>
    </w:p>
    <w:p w14:paraId="61D4C8B4" w14:textId="0BD02DCB" w:rsidR="00E84485" w:rsidRPr="009A501D" w:rsidRDefault="0062085C" w:rsidP="00664A1D">
      <w:pPr>
        <w:spacing w:before="240"/>
        <w:jc w:val="center"/>
        <w:rPr>
          <w:rFonts w:ascii="Century Gothic" w:hAnsi="Century Gothic"/>
          <w:sz w:val="19"/>
          <w:szCs w:val="19"/>
        </w:rPr>
      </w:pPr>
      <w:r w:rsidRPr="009A501D">
        <w:rPr>
          <w:rFonts w:ascii="Century Gothic" w:hAnsi="Century Gothic" w:cstheme="majorHAnsi"/>
          <w:b/>
          <w:sz w:val="19"/>
          <w:szCs w:val="19"/>
        </w:rPr>
        <w:t>III.3.</w:t>
      </w:r>
      <w:r w:rsidR="00C601B5" w:rsidRPr="009A501D">
        <w:rPr>
          <w:rFonts w:ascii="Century Gothic" w:hAnsi="Century Gothic" w:cstheme="majorHAnsi"/>
          <w:b/>
          <w:sz w:val="19"/>
          <w:szCs w:val="19"/>
        </w:rPr>
        <w:t>2</w:t>
      </w:r>
      <w:r w:rsidRPr="009A501D">
        <w:rPr>
          <w:rFonts w:ascii="Century Gothic" w:hAnsi="Century Gothic" w:cstheme="majorHAnsi"/>
          <w:b/>
          <w:sz w:val="19"/>
          <w:szCs w:val="19"/>
        </w:rPr>
        <w:t xml:space="preserve">. Tipo de campos incluidos en cada </w:t>
      </w:r>
      <w:r w:rsidR="00D6110A" w:rsidRPr="009A501D">
        <w:rPr>
          <w:rFonts w:ascii="Century Gothic" w:hAnsi="Century Gothic" w:cstheme="majorHAnsi"/>
          <w:b/>
          <w:sz w:val="19"/>
          <w:szCs w:val="19"/>
        </w:rPr>
        <w:t>estándar</w:t>
      </w:r>
    </w:p>
    <w:p w14:paraId="52DB92BC" w14:textId="6482FBF6" w:rsidR="0062085C" w:rsidRPr="009A501D" w:rsidRDefault="00AE4812" w:rsidP="00664A1D">
      <w:pPr>
        <w:spacing w:before="240"/>
        <w:jc w:val="center"/>
        <w:rPr>
          <w:rFonts w:ascii="Century Gothic" w:hAnsi="Century Gothic"/>
          <w:sz w:val="19"/>
          <w:szCs w:val="19"/>
        </w:rPr>
      </w:pPr>
      <w:r w:rsidRPr="009A501D">
        <w:rPr>
          <w:noProof/>
        </w:rPr>
        <w:drawing>
          <wp:inline distT="0" distB="0" distL="0" distR="0" wp14:anchorId="743D35B7" wp14:editId="639C2B25">
            <wp:extent cx="3868418" cy="24447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1832" cy="2453241"/>
                    </a:xfrm>
                    <a:prstGeom prst="rect">
                      <a:avLst/>
                    </a:prstGeom>
                    <a:noFill/>
                    <a:ln>
                      <a:noFill/>
                    </a:ln>
                  </pic:spPr>
                </pic:pic>
              </a:graphicData>
            </a:graphic>
          </wp:inline>
        </w:drawing>
      </w:r>
    </w:p>
    <w:p w14:paraId="016D3A0D" w14:textId="69EB18DA" w:rsidR="00E84485" w:rsidRPr="009A501D" w:rsidRDefault="00E84485" w:rsidP="00D111E7">
      <w:pPr>
        <w:spacing w:before="40" w:after="40"/>
        <w:jc w:val="both"/>
        <w:rPr>
          <w:rFonts w:ascii="Century Gothic" w:hAnsi="Century Gothic"/>
          <w:sz w:val="19"/>
          <w:szCs w:val="19"/>
        </w:rPr>
      </w:pPr>
      <w:r w:rsidRPr="009A501D">
        <w:rPr>
          <w:rFonts w:ascii="Century Gothic" w:hAnsi="Century Gothic"/>
          <w:sz w:val="19"/>
          <w:szCs w:val="19"/>
        </w:rPr>
        <w:t>Durante 2022</w:t>
      </w:r>
      <w:r w:rsidR="00D111E7" w:rsidRPr="009A501D">
        <w:rPr>
          <w:rFonts w:ascii="Century Gothic" w:hAnsi="Century Gothic"/>
          <w:sz w:val="19"/>
          <w:szCs w:val="19"/>
        </w:rPr>
        <w:t>,</w:t>
      </w:r>
      <w:r w:rsidRPr="009A501D">
        <w:rPr>
          <w:rFonts w:ascii="Century Gothic" w:hAnsi="Century Gothic"/>
          <w:sz w:val="19"/>
          <w:szCs w:val="19"/>
        </w:rPr>
        <w:t xml:space="preserve"> se publicaron 372 entregas de resultados </w:t>
      </w:r>
      <w:r w:rsidR="00D23F28" w:rsidRPr="009A501D">
        <w:rPr>
          <w:rFonts w:ascii="Century Gothic" w:hAnsi="Century Gothic"/>
          <w:sz w:val="19"/>
          <w:szCs w:val="19"/>
        </w:rPr>
        <w:t>correspondientes</w:t>
      </w:r>
      <w:r w:rsidRPr="009A501D">
        <w:rPr>
          <w:rFonts w:ascii="Century Gothic" w:hAnsi="Century Gothic"/>
          <w:sz w:val="19"/>
          <w:szCs w:val="19"/>
        </w:rPr>
        <w:t xml:space="preserve"> a los </w:t>
      </w:r>
      <w:r w:rsidR="00246796" w:rsidRPr="009A501D">
        <w:rPr>
          <w:rFonts w:ascii="Century Gothic" w:hAnsi="Century Gothic"/>
          <w:sz w:val="19"/>
          <w:szCs w:val="19"/>
        </w:rPr>
        <w:t>proceso</w:t>
      </w:r>
      <w:r w:rsidRPr="009A501D">
        <w:rPr>
          <w:rFonts w:ascii="Century Gothic" w:hAnsi="Century Gothic"/>
          <w:sz w:val="19"/>
          <w:szCs w:val="19"/>
        </w:rPr>
        <w:t xml:space="preserve">s incluidos en el Calendario de difusión de información estadística y geográfica y de Interés Nacional, así como a la información que se publicó en la página del INEGI sin previa calendarización. De lo anterior, se obtuvieron 335 ciclos de procesos de producción que </w:t>
      </w:r>
      <w:r w:rsidR="0010678C" w:rsidRPr="009A501D">
        <w:rPr>
          <w:rFonts w:ascii="Century Gothic" w:hAnsi="Century Gothic"/>
          <w:sz w:val="19"/>
          <w:szCs w:val="19"/>
        </w:rPr>
        <w:t xml:space="preserve">consideraron </w:t>
      </w:r>
      <w:r w:rsidRPr="009A501D">
        <w:rPr>
          <w:rFonts w:ascii="Century Gothic" w:hAnsi="Century Gothic"/>
          <w:sz w:val="19"/>
          <w:szCs w:val="19"/>
        </w:rPr>
        <w:t xml:space="preserve">metadatos estandarizados, lo que representa </w:t>
      </w:r>
      <w:r w:rsidR="00DD2D10" w:rsidRPr="009A501D">
        <w:rPr>
          <w:rFonts w:ascii="Century Gothic" w:hAnsi="Century Gothic"/>
          <w:sz w:val="19"/>
          <w:szCs w:val="19"/>
        </w:rPr>
        <w:t>el</w:t>
      </w:r>
      <w:r w:rsidRPr="009A501D">
        <w:rPr>
          <w:rFonts w:ascii="Century Gothic" w:hAnsi="Century Gothic"/>
          <w:sz w:val="19"/>
          <w:szCs w:val="19"/>
        </w:rPr>
        <w:t xml:space="preserve"> 90%</w:t>
      </w:r>
      <w:r w:rsidR="0010678C" w:rsidRPr="009A501D">
        <w:rPr>
          <w:rFonts w:ascii="Century Gothic" w:hAnsi="Century Gothic"/>
          <w:sz w:val="19"/>
          <w:szCs w:val="19"/>
        </w:rPr>
        <w:t xml:space="preserve"> </w:t>
      </w:r>
      <w:r w:rsidR="00EE01FA" w:rsidRPr="009A501D">
        <w:rPr>
          <w:rFonts w:ascii="Century Gothic" w:hAnsi="Century Gothic"/>
          <w:sz w:val="19"/>
          <w:szCs w:val="19"/>
        </w:rPr>
        <w:t>del total de entregas</w:t>
      </w:r>
      <w:r w:rsidRPr="009A501D">
        <w:rPr>
          <w:rFonts w:ascii="Century Gothic" w:hAnsi="Century Gothic"/>
          <w:sz w:val="19"/>
          <w:szCs w:val="19"/>
        </w:rPr>
        <w:t>. Si bien el nivel alcanzado muestra una mejoría en relación de los dos años anteriores</w:t>
      </w:r>
      <w:r w:rsidR="00EE01FA" w:rsidRPr="009A501D">
        <w:rPr>
          <w:rFonts w:ascii="Century Gothic" w:hAnsi="Century Gothic"/>
          <w:sz w:val="19"/>
          <w:szCs w:val="19"/>
        </w:rPr>
        <w:t>,</w:t>
      </w:r>
      <w:r w:rsidRPr="009A501D">
        <w:rPr>
          <w:rFonts w:ascii="Century Gothic" w:hAnsi="Century Gothic"/>
          <w:sz w:val="19"/>
          <w:szCs w:val="19"/>
        </w:rPr>
        <w:t xml:space="preserve"> aún no se alcanza el nivel máximo</w:t>
      </w:r>
      <w:r w:rsidR="00EE01FA" w:rsidRPr="009A501D">
        <w:rPr>
          <w:rFonts w:ascii="Century Gothic" w:hAnsi="Century Gothic"/>
          <w:sz w:val="19"/>
          <w:szCs w:val="19"/>
        </w:rPr>
        <w:t xml:space="preserve"> registrado (92%)</w:t>
      </w:r>
      <w:r w:rsidR="000B061C" w:rsidRPr="009A501D">
        <w:rPr>
          <w:rFonts w:ascii="Century Gothic" w:hAnsi="Century Gothic"/>
          <w:sz w:val="19"/>
          <w:szCs w:val="19"/>
        </w:rPr>
        <w:t xml:space="preserve"> (ver gráfica III.3.3.)</w:t>
      </w:r>
      <w:r w:rsidR="00DD2D10" w:rsidRPr="009A501D">
        <w:rPr>
          <w:rFonts w:ascii="Century Gothic" w:hAnsi="Century Gothic"/>
          <w:sz w:val="19"/>
          <w:szCs w:val="19"/>
        </w:rPr>
        <w:t>.</w:t>
      </w:r>
    </w:p>
    <w:p w14:paraId="32337512" w14:textId="7B1EF8C5" w:rsidR="00811B3C" w:rsidRPr="009A501D" w:rsidRDefault="00811B3C">
      <w:pPr>
        <w:rPr>
          <w:rFonts w:ascii="Century Gothic" w:hAnsi="Century Gothic"/>
          <w:sz w:val="19"/>
          <w:szCs w:val="19"/>
        </w:rPr>
      </w:pPr>
      <w:r w:rsidRPr="009A501D">
        <w:rPr>
          <w:rFonts w:ascii="Century Gothic" w:hAnsi="Century Gothic"/>
          <w:sz w:val="19"/>
          <w:szCs w:val="19"/>
        </w:rPr>
        <w:br w:type="page"/>
      </w:r>
    </w:p>
    <w:p w14:paraId="225208B7" w14:textId="6026CDB2" w:rsidR="00E84485" w:rsidRPr="009A501D" w:rsidRDefault="00C601B5" w:rsidP="00664A1D">
      <w:pPr>
        <w:spacing w:before="240" w:line="240" w:lineRule="auto"/>
        <w:ind w:left="-284"/>
        <w:jc w:val="center"/>
        <w:rPr>
          <w:rFonts w:ascii="Century Gothic" w:hAnsi="Century Gothic" w:cstheme="majorHAnsi"/>
          <w:b/>
          <w:sz w:val="19"/>
          <w:szCs w:val="19"/>
        </w:rPr>
      </w:pPr>
      <w:r w:rsidRPr="009A501D">
        <w:rPr>
          <w:rFonts w:ascii="Century Gothic" w:hAnsi="Century Gothic" w:cstheme="majorHAnsi"/>
          <w:b/>
          <w:sz w:val="19"/>
          <w:szCs w:val="19"/>
        </w:rPr>
        <w:lastRenderedPageBreak/>
        <w:t xml:space="preserve">III.3.3. </w:t>
      </w:r>
      <w:r w:rsidR="00E84485" w:rsidRPr="009A501D">
        <w:rPr>
          <w:rFonts w:ascii="Century Gothic" w:hAnsi="Century Gothic" w:cstheme="majorHAnsi"/>
          <w:b/>
          <w:sz w:val="19"/>
          <w:szCs w:val="19"/>
        </w:rPr>
        <w:t xml:space="preserve">Porcentaje de </w:t>
      </w:r>
      <w:r w:rsidR="00246796" w:rsidRPr="009A501D">
        <w:rPr>
          <w:rFonts w:ascii="Century Gothic" w:hAnsi="Century Gothic" w:cstheme="majorHAnsi"/>
          <w:b/>
          <w:sz w:val="19"/>
          <w:szCs w:val="19"/>
        </w:rPr>
        <w:t>proceso</w:t>
      </w:r>
      <w:r w:rsidR="00E84485" w:rsidRPr="009A501D">
        <w:rPr>
          <w:rFonts w:ascii="Century Gothic" w:hAnsi="Century Gothic" w:cstheme="majorHAnsi"/>
          <w:b/>
          <w:sz w:val="19"/>
          <w:szCs w:val="19"/>
        </w:rPr>
        <w:t>s que publicaron metadatos documentados con base en un estándar internacional</w:t>
      </w:r>
    </w:p>
    <w:p w14:paraId="69753F3D" w14:textId="66D04FC6" w:rsidR="00E84485" w:rsidRPr="009A501D" w:rsidRDefault="00E84485" w:rsidP="00664A1D">
      <w:pPr>
        <w:spacing w:before="240" w:line="240" w:lineRule="auto"/>
        <w:ind w:left="-284"/>
        <w:jc w:val="center"/>
        <w:rPr>
          <w:rFonts w:ascii="Century Gothic" w:hAnsi="Century Gothic" w:cstheme="majorHAnsi"/>
          <w:b/>
          <w:sz w:val="19"/>
          <w:szCs w:val="19"/>
        </w:rPr>
      </w:pPr>
      <w:r w:rsidRPr="009A501D">
        <w:rPr>
          <w:rFonts w:ascii="Century Gothic" w:hAnsi="Century Gothic" w:cstheme="majorHAnsi"/>
          <w:b/>
          <w:noProof/>
          <w:sz w:val="19"/>
          <w:szCs w:val="19"/>
        </w:rPr>
        <w:drawing>
          <wp:inline distT="0" distB="0" distL="0" distR="0" wp14:anchorId="1D76B439" wp14:editId="7D6EDCB0">
            <wp:extent cx="5468620" cy="306150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620" cy="3061503"/>
                    </a:xfrm>
                    <a:prstGeom prst="rect">
                      <a:avLst/>
                    </a:prstGeom>
                    <a:noFill/>
                  </pic:spPr>
                </pic:pic>
              </a:graphicData>
            </a:graphic>
          </wp:inline>
        </w:drawing>
      </w:r>
    </w:p>
    <w:p w14:paraId="7998CA90" w14:textId="69535B45" w:rsidR="00C601B5" w:rsidRPr="009A501D" w:rsidRDefault="00E84485" w:rsidP="00664A1D">
      <w:pPr>
        <w:spacing w:before="240"/>
        <w:jc w:val="both"/>
        <w:rPr>
          <w:rFonts w:ascii="Century Gothic" w:hAnsi="Century Gothic"/>
          <w:sz w:val="19"/>
          <w:szCs w:val="19"/>
        </w:rPr>
      </w:pPr>
      <w:r w:rsidRPr="009A501D">
        <w:rPr>
          <w:rFonts w:ascii="Century Gothic" w:hAnsi="Century Gothic"/>
          <w:sz w:val="19"/>
          <w:szCs w:val="19"/>
        </w:rPr>
        <w:t>Cabe destacar que</w:t>
      </w:r>
      <w:r w:rsidR="009238AF" w:rsidRPr="009A501D">
        <w:rPr>
          <w:rFonts w:ascii="Century Gothic" w:hAnsi="Century Gothic"/>
          <w:sz w:val="19"/>
          <w:szCs w:val="19"/>
        </w:rPr>
        <w:t>, conforme a la normatividad vigente,</w:t>
      </w:r>
      <w:r w:rsidRPr="009A501D">
        <w:rPr>
          <w:rFonts w:ascii="Century Gothic" w:hAnsi="Century Gothic"/>
          <w:sz w:val="19"/>
          <w:szCs w:val="19"/>
        </w:rPr>
        <w:t xml:space="preserve"> </w:t>
      </w:r>
      <w:r w:rsidR="00C601B5" w:rsidRPr="009A501D">
        <w:rPr>
          <w:rFonts w:ascii="Century Gothic" w:hAnsi="Century Gothic"/>
          <w:sz w:val="19"/>
          <w:szCs w:val="19"/>
        </w:rPr>
        <w:t>los censos, encuestas y aprovechamiento de registros administrativos están obligados a documentar los estándares DDI y DCAT</w:t>
      </w:r>
      <w:r w:rsidR="009238AF" w:rsidRPr="009A501D">
        <w:rPr>
          <w:rFonts w:ascii="Century Gothic" w:hAnsi="Century Gothic"/>
          <w:sz w:val="19"/>
          <w:szCs w:val="19"/>
        </w:rPr>
        <w:t>;</w:t>
      </w:r>
      <w:r w:rsidR="00C601B5" w:rsidRPr="009A501D">
        <w:rPr>
          <w:rFonts w:ascii="Century Gothic" w:hAnsi="Century Gothic"/>
          <w:sz w:val="19"/>
          <w:szCs w:val="19"/>
        </w:rPr>
        <w:t xml:space="preserve"> los </w:t>
      </w:r>
      <w:r w:rsidR="00246796" w:rsidRPr="009A501D">
        <w:rPr>
          <w:rFonts w:ascii="Century Gothic" w:hAnsi="Century Gothic"/>
          <w:sz w:val="19"/>
          <w:szCs w:val="19"/>
        </w:rPr>
        <w:t>proceso</w:t>
      </w:r>
      <w:r w:rsidR="00C601B5" w:rsidRPr="009A501D">
        <w:rPr>
          <w:rFonts w:ascii="Century Gothic" w:hAnsi="Century Gothic"/>
          <w:sz w:val="19"/>
          <w:szCs w:val="19"/>
        </w:rPr>
        <w:t>s de estadística derivada únicamente documentan con el estándar DCAT</w:t>
      </w:r>
      <w:r w:rsidR="00661D1B" w:rsidRPr="009A501D">
        <w:rPr>
          <w:rFonts w:ascii="Century Gothic" w:hAnsi="Century Gothic"/>
          <w:sz w:val="19"/>
          <w:szCs w:val="19"/>
        </w:rPr>
        <w:t>,</w:t>
      </w:r>
      <w:r w:rsidR="00C601B5" w:rsidRPr="009A501D">
        <w:rPr>
          <w:rFonts w:ascii="Century Gothic" w:hAnsi="Century Gothic"/>
          <w:sz w:val="19"/>
          <w:szCs w:val="19"/>
        </w:rPr>
        <w:t xml:space="preserve"> y los </w:t>
      </w:r>
      <w:r w:rsidR="00246796" w:rsidRPr="009A501D">
        <w:rPr>
          <w:rFonts w:ascii="Century Gothic" w:hAnsi="Century Gothic"/>
          <w:sz w:val="19"/>
          <w:szCs w:val="19"/>
        </w:rPr>
        <w:t>proceso</w:t>
      </w:r>
      <w:r w:rsidR="00C601B5" w:rsidRPr="009A501D">
        <w:rPr>
          <w:rFonts w:ascii="Century Gothic" w:hAnsi="Century Gothic"/>
          <w:sz w:val="19"/>
          <w:szCs w:val="19"/>
        </w:rPr>
        <w:t>s de actualización cartográfica y levantamientos geodésicos sólo deben documentar los metadatos geográficos. En el cuadro III.3.4. se muestra el número de ciclos que se documentaron</w:t>
      </w:r>
      <w:r w:rsidR="004E0513" w:rsidRPr="009A501D">
        <w:rPr>
          <w:rFonts w:ascii="Century Gothic" w:hAnsi="Century Gothic"/>
          <w:sz w:val="19"/>
          <w:szCs w:val="19"/>
        </w:rPr>
        <w:t>,</w:t>
      </w:r>
      <w:r w:rsidR="00C601B5" w:rsidRPr="009A501D">
        <w:rPr>
          <w:rFonts w:ascii="Century Gothic" w:hAnsi="Century Gothic"/>
          <w:sz w:val="19"/>
          <w:szCs w:val="19"/>
        </w:rPr>
        <w:t xml:space="preserve"> por método de generación</w:t>
      </w:r>
      <w:r w:rsidR="004E0513" w:rsidRPr="009A501D">
        <w:rPr>
          <w:rFonts w:ascii="Century Gothic" w:hAnsi="Century Gothic"/>
          <w:sz w:val="19"/>
          <w:szCs w:val="19"/>
        </w:rPr>
        <w:t>,</w:t>
      </w:r>
      <w:r w:rsidR="00934F68" w:rsidRPr="009A501D">
        <w:rPr>
          <w:rFonts w:ascii="Century Gothic" w:hAnsi="Century Gothic"/>
          <w:sz w:val="19"/>
          <w:szCs w:val="19"/>
        </w:rPr>
        <w:t xml:space="preserve"> en 2022</w:t>
      </w:r>
      <w:r w:rsidR="00C601B5" w:rsidRPr="009A501D">
        <w:rPr>
          <w:rFonts w:ascii="Century Gothic" w:hAnsi="Century Gothic"/>
          <w:sz w:val="19"/>
          <w:szCs w:val="19"/>
        </w:rPr>
        <w:t>.</w:t>
      </w:r>
    </w:p>
    <w:p w14:paraId="5AFF7793" w14:textId="7A5CD303" w:rsidR="00E84485" w:rsidRPr="009A501D" w:rsidRDefault="00C601B5" w:rsidP="00664A1D">
      <w:pPr>
        <w:spacing w:before="240" w:line="240" w:lineRule="auto"/>
        <w:ind w:left="-284"/>
        <w:jc w:val="center"/>
        <w:rPr>
          <w:rFonts w:ascii="Century Gothic" w:hAnsi="Century Gothic"/>
          <w:sz w:val="19"/>
          <w:szCs w:val="19"/>
        </w:rPr>
      </w:pPr>
      <w:r w:rsidRPr="009A501D">
        <w:rPr>
          <w:rFonts w:ascii="Century Gothic" w:hAnsi="Century Gothic" w:cstheme="majorHAnsi"/>
          <w:b/>
          <w:sz w:val="19"/>
          <w:szCs w:val="19"/>
        </w:rPr>
        <w:t xml:space="preserve">III.3.4. </w:t>
      </w:r>
      <w:r w:rsidR="00E84485" w:rsidRPr="009A501D">
        <w:rPr>
          <w:rFonts w:ascii="Century Gothic" w:hAnsi="Century Gothic" w:cstheme="majorHAnsi"/>
          <w:b/>
          <w:sz w:val="19"/>
          <w:szCs w:val="19"/>
        </w:rPr>
        <w:t>Número de ciclos documentados en 2022 por estándar</w:t>
      </w:r>
    </w:p>
    <w:tbl>
      <w:tblPr>
        <w:tblW w:w="65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20"/>
        <w:gridCol w:w="976"/>
        <w:gridCol w:w="992"/>
        <w:gridCol w:w="1418"/>
      </w:tblGrid>
      <w:tr w:rsidR="00E84485" w:rsidRPr="009A501D" w14:paraId="2B0688F7" w14:textId="77777777" w:rsidTr="00664A1D">
        <w:trPr>
          <w:trHeight w:val="260"/>
          <w:jc w:val="center"/>
        </w:trPr>
        <w:tc>
          <w:tcPr>
            <w:tcW w:w="3120" w:type="dxa"/>
            <w:shd w:val="clear" w:color="auto" w:fill="002060"/>
            <w:noWrap/>
            <w:vAlign w:val="center"/>
            <w:hideMark/>
          </w:tcPr>
          <w:p w14:paraId="159B295B" w14:textId="77777777" w:rsidR="00E84485" w:rsidRPr="009A501D" w:rsidRDefault="00E84485" w:rsidP="004E0513">
            <w:pPr>
              <w:spacing w:after="0" w:line="240" w:lineRule="auto"/>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Método de generación</w:t>
            </w:r>
          </w:p>
        </w:tc>
        <w:tc>
          <w:tcPr>
            <w:tcW w:w="976" w:type="dxa"/>
            <w:shd w:val="clear" w:color="auto" w:fill="002060"/>
            <w:noWrap/>
            <w:vAlign w:val="center"/>
            <w:hideMark/>
          </w:tcPr>
          <w:p w14:paraId="7C8E518F" w14:textId="77777777"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DDI</w:t>
            </w:r>
          </w:p>
        </w:tc>
        <w:tc>
          <w:tcPr>
            <w:tcW w:w="992" w:type="dxa"/>
            <w:shd w:val="clear" w:color="auto" w:fill="002060"/>
            <w:noWrap/>
            <w:vAlign w:val="center"/>
            <w:hideMark/>
          </w:tcPr>
          <w:p w14:paraId="7ADBE26B" w14:textId="2F81FAB8"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DCAT</w:t>
            </w:r>
          </w:p>
        </w:tc>
        <w:tc>
          <w:tcPr>
            <w:tcW w:w="1418" w:type="dxa"/>
            <w:shd w:val="clear" w:color="auto" w:fill="002060"/>
            <w:noWrap/>
            <w:vAlign w:val="center"/>
            <w:hideMark/>
          </w:tcPr>
          <w:p w14:paraId="608A0C4B" w14:textId="77777777"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Metadatos geográficos</w:t>
            </w:r>
          </w:p>
        </w:tc>
      </w:tr>
      <w:tr w:rsidR="00E84485" w:rsidRPr="009A501D" w14:paraId="5270F90D" w14:textId="77777777" w:rsidTr="0072266C">
        <w:trPr>
          <w:trHeight w:val="260"/>
          <w:jc w:val="center"/>
        </w:trPr>
        <w:tc>
          <w:tcPr>
            <w:tcW w:w="3120" w:type="dxa"/>
            <w:shd w:val="clear" w:color="auto" w:fill="auto"/>
            <w:noWrap/>
            <w:vAlign w:val="center"/>
            <w:hideMark/>
          </w:tcPr>
          <w:p w14:paraId="34C13EE7"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Actualización cartográfica</w:t>
            </w:r>
          </w:p>
        </w:tc>
        <w:tc>
          <w:tcPr>
            <w:tcW w:w="976" w:type="dxa"/>
            <w:shd w:val="clear" w:color="auto" w:fill="auto"/>
            <w:noWrap/>
            <w:vAlign w:val="center"/>
            <w:hideMark/>
          </w:tcPr>
          <w:p w14:paraId="7496EF38"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c>
          <w:tcPr>
            <w:tcW w:w="992" w:type="dxa"/>
            <w:shd w:val="clear" w:color="auto" w:fill="auto"/>
            <w:noWrap/>
            <w:vAlign w:val="center"/>
            <w:hideMark/>
          </w:tcPr>
          <w:p w14:paraId="5D64263C" w14:textId="77777777" w:rsidR="00E84485" w:rsidRPr="009A501D" w:rsidRDefault="00E84485" w:rsidP="004E0513">
            <w:pPr>
              <w:spacing w:after="0" w:line="240" w:lineRule="auto"/>
              <w:jc w:val="center"/>
              <w:rPr>
                <w:rFonts w:ascii="Century Gothic" w:eastAsia="Times New Roman" w:hAnsi="Century Gothic" w:cs="Times New Roman"/>
                <w:sz w:val="16"/>
                <w:szCs w:val="16"/>
                <w:lang w:eastAsia="es-MX"/>
              </w:rPr>
            </w:pPr>
          </w:p>
        </w:tc>
        <w:tc>
          <w:tcPr>
            <w:tcW w:w="1418" w:type="dxa"/>
            <w:shd w:val="clear" w:color="auto" w:fill="auto"/>
            <w:noWrap/>
            <w:vAlign w:val="center"/>
            <w:hideMark/>
          </w:tcPr>
          <w:p w14:paraId="661BC567"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8</w:t>
            </w:r>
          </w:p>
        </w:tc>
      </w:tr>
      <w:tr w:rsidR="00E84485" w:rsidRPr="009A501D" w14:paraId="6727E6A7" w14:textId="77777777" w:rsidTr="006E516C">
        <w:trPr>
          <w:trHeight w:val="260"/>
          <w:jc w:val="center"/>
        </w:trPr>
        <w:tc>
          <w:tcPr>
            <w:tcW w:w="3120" w:type="dxa"/>
            <w:shd w:val="clear" w:color="auto" w:fill="D9D9D9" w:themeFill="background1" w:themeFillShade="D9"/>
            <w:noWrap/>
            <w:vAlign w:val="center"/>
            <w:hideMark/>
          </w:tcPr>
          <w:p w14:paraId="530F527F"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Registros Administrativos</w:t>
            </w:r>
          </w:p>
        </w:tc>
        <w:tc>
          <w:tcPr>
            <w:tcW w:w="976" w:type="dxa"/>
            <w:shd w:val="clear" w:color="auto" w:fill="D9D9D9" w:themeFill="background1" w:themeFillShade="D9"/>
            <w:noWrap/>
            <w:vAlign w:val="center"/>
            <w:hideMark/>
          </w:tcPr>
          <w:p w14:paraId="0DDCA5C3"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95</w:t>
            </w:r>
          </w:p>
        </w:tc>
        <w:tc>
          <w:tcPr>
            <w:tcW w:w="992" w:type="dxa"/>
            <w:shd w:val="clear" w:color="auto" w:fill="D9D9D9" w:themeFill="background1" w:themeFillShade="D9"/>
            <w:noWrap/>
            <w:vAlign w:val="center"/>
            <w:hideMark/>
          </w:tcPr>
          <w:p w14:paraId="64CFD239"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94</w:t>
            </w:r>
          </w:p>
        </w:tc>
        <w:tc>
          <w:tcPr>
            <w:tcW w:w="1418" w:type="dxa"/>
            <w:shd w:val="clear" w:color="auto" w:fill="D9D9D9" w:themeFill="background1" w:themeFillShade="D9"/>
            <w:noWrap/>
            <w:vAlign w:val="center"/>
            <w:hideMark/>
          </w:tcPr>
          <w:p w14:paraId="13C0D13E"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r>
      <w:tr w:rsidR="00E84485" w:rsidRPr="009A501D" w14:paraId="027297B2" w14:textId="77777777" w:rsidTr="0072266C">
        <w:trPr>
          <w:trHeight w:val="260"/>
          <w:jc w:val="center"/>
        </w:trPr>
        <w:tc>
          <w:tcPr>
            <w:tcW w:w="3120" w:type="dxa"/>
            <w:shd w:val="clear" w:color="auto" w:fill="auto"/>
            <w:noWrap/>
            <w:vAlign w:val="center"/>
            <w:hideMark/>
          </w:tcPr>
          <w:p w14:paraId="00C8782D"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Censo</w:t>
            </w:r>
          </w:p>
        </w:tc>
        <w:tc>
          <w:tcPr>
            <w:tcW w:w="976" w:type="dxa"/>
            <w:shd w:val="clear" w:color="auto" w:fill="auto"/>
            <w:noWrap/>
            <w:vAlign w:val="center"/>
            <w:hideMark/>
          </w:tcPr>
          <w:p w14:paraId="25B71238"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28</w:t>
            </w:r>
          </w:p>
        </w:tc>
        <w:tc>
          <w:tcPr>
            <w:tcW w:w="992" w:type="dxa"/>
            <w:shd w:val="clear" w:color="auto" w:fill="auto"/>
            <w:noWrap/>
            <w:vAlign w:val="center"/>
            <w:hideMark/>
          </w:tcPr>
          <w:p w14:paraId="7B42A6D6"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27</w:t>
            </w:r>
          </w:p>
        </w:tc>
        <w:tc>
          <w:tcPr>
            <w:tcW w:w="1418" w:type="dxa"/>
            <w:shd w:val="clear" w:color="auto" w:fill="auto"/>
            <w:noWrap/>
            <w:vAlign w:val="center"/>
            <w:hideMark/>
          </w:tcPr>
          <w:p w14:paraId="470769CC"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r>
      <w:tr w:rsidR="00E84485" w:rsidRPr="009A501D" w14:paraId="25D05F2D" w14:textId="77777777" w:rsidTr="006E516C">
        <w:trPr>
          <w:trHeight w:val="260"/>
          <w:jc w:val="center"/>
        </w:trPr>
        <w:tc>
          <w:tcPr>
            <w:tcW w:w="3120" w:type="dxa"/>
            <w:shd w:val="clear" w:color="auto" w:fill="D9D9D9" w:themeFill="background1" w:themeFillShade="D9"/>
            <w:noWrap/>
            <w:vAlign w:val="center"/>
            <w:hideMark/>
          </w:tcPr>
          <w:p w14:paraId="01324050"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Encuesta por muestreo mixto</w:t>
            </w:r>
          </w:p>
        </w:tc>
        <w:tc>
          <w:tcPr>
            <w:tcW w:w="976" w:type="dxa"/>
            <w:shd w:val="clear" w:color="auto" w:fill="D9D9D9" w:themeFill="background1" w:themeFillShade="D9"/>
            <w:noWrap/>
            <w:vAlign w:val="center"/>
            <w:hideMark/>
          </w:tcPr>
          <w:p w14:paraId="7FD9FCD3"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40</w:t>
            </w:r>
          </w:p>
        </w:tc>
        <w:tc>
          <w:tcPr>
            <w:tcW w:w="992" w:type="dxa"/>
            <w:shd w:val="clear" w:color="auto" w:fill="D9D9D9" w:themeFill="background1" w:themeFillShade="D9"/>
            <w:noWrap/>
            <w:vAlign w:val="center"/>
            <w:hideMark/>
          </w:tcPr>
          <w:p w14:paraId="68C53197"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40</w:t>
            </w:r>
          </w:p>
        </w:tc>
        <w:tc>
          <w:tcPr>
            <w:tcW w:w="1418" w:type="dxa"/>
            <w:shd w:val="clear" w:color="auto" w:fill="D9D9D9" w:themeFill="background1" w:themeFillShade="D9"/>
            <w:noWrap/>
            <w:vAlign w:val="center"/>
            <w:hideMark/>
          </w:tcPr>
          <w:p w14:paraId="700C601E"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r>
      <w:tr w:rsidR="00E84485" w:rsidRPr="009A501D" w14:paraId="6B2D5AFB" w14:textId="77777777" w:rsidTr="0072266C">
        <w:trPr>
          <w:trHeight w:val="260"/>
          <w:jc w:val="center"/>
        </w:trPr>
        <w:tc>
          <w:tcPr>
            <w:tcW w:w="3120" w:type="dxa"/>
            <w:shd w:val="clear" w:color="auto" w:fill="auto"/>
            <w:noWrap/>
            <w:vAlign w:val="center"/>
            <w:hideMark/>
          </w:tcPr>
          <w:p w14:paraId="45E019FD"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Encuesta probabilística</w:t>
            </w:r>
          </w:p>
        </w:tc>
        <w:tc>
          <w:tcPr>
            <w:tcW w:w="976" w:type="dxa"/>
            <w:shd w:val="clear" w:color="auto" w:fill="auto"/>
            <w:noWrap/>
            <w:vAlign w:val="center"/>
            <w:hideMark/>
          </w:tcPr>
          <w:p w14:paraId="4151D42E"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90</w:t>
            </w:r>
          </w:p>
        </w:tc>
        <w:tc>
          <w:tcPr>
            <w:tcW w:w="992" w:type="dxa"/>
            <w:shd w:val="clear" w:color="auto" w:fill="auto"/>
            <w:noWrap/>
            <w:vAlign w:val="center"/>
            <w:hideMark/>
          </w:tcPr>
          <w:p w14:paraId="7B45B74F"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90</w:t>
            </w:r>
          </w:p>
        </w:tc>
        <w:tc>
          <w:tcPr>
            <w:tcW w:w="1418" w:type="dxa"/>
            <w:shd w:val="clear" w:color="auto" w:fill="auto"/>
            <w:noWrap/>
            <w:vAlign w:val="center"/>
            <w:hideMark/>
          </w:tcPr>
          <w:p w14:paraId="3C96404B"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r>
      <w:tr w:rsidR="00E84485" w:rsidRPr="009A501D" w14:paraId="649BF3E9" w14:textId="77777777" w:rsidTr="006E516C">
        <w:trPr>
          <w:trHeight w:val="260"/>
          <w:jc w:val="center"/>
        </w:trPr>
        <w:tc>
          <w:tcPr>
            <w:tcW w:w="3120" w:type="dxa"/>
            <w:shd w:val="clear" w:color="auto" w:fill="D9D9D9" w:themeFill="background1" w:themeFillShade="D9"/>
            <w:noWrap/>
            <w:vAlign w:val="center"/>
            <w:hideMark/>
          </w:tcPr>
          <w:p w14:paraId="460831F0"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Estadística derivada</w:t>
            </w:r>
          </w:p>
        </w:tc>
        <w:tc>
          <w:tcPr>
            <w:tcW w:w="976" w:type="dxa"/>
            <w:shd w:val="clear" w:color="auto" w:fill="D9D9D9" w:themeFill="background1" w:themeFillShade="D9"/>
            <w:noWrap/>
            <w:vAlign w:val="center"/>
            <w:hideMark/>
          </w:tcPr>
          <w:p w14:paraId="4370AD9D"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c>
          <w:tcPr>
            <w:tcW w:w="992" w:type="dxa"/>
            <w:shd w:val="clear" w:color="auto" w:fill="D9D9D9" w:themeFill="background1" w:themeFillShade="D9"/>
            <w:noWrap/>
            <w:vAlign w:val="center"/>
            <w:hideMark/>
          </w:tcPr>
          <w:p w14:paraId="54C12950"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74</w:t>
            </w:r>
          </w:p>
        </w:tc>
        <w:tc>
          <w:tcPr>
            <w:tcW w:w="1418" w:type="dxa"/>
            <w:shd w:val="clear" w:color="auto" w:fill="D9D9D9" w:themeFill="background1" w:themeFillShade="D9"/>
            <w:noWrap/>
            <w:vAlign w:val="center"/>
            <w:hideMark/>
          </w:tcPr>
          <w:p w14:paraId="115AD4A2"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r>
      <w:tr w:rsidR="00E84485" w:rsidRPr="009A501D" w14:paraId="721DC4C6" w14:textId="77777777" w:rsidTr="0072266C">
        <w:trPr>
          <w:trHeight w:val="260"/>
          <w:jc w:val="center"/>
        </w:trPr>
        <w:tc>
          <w:tcPr>
            <w:tcW w:w="3120" w:type="dxa"/>
            <w:shd w:val="clear" w:color="auto" w:fill="auto"/>
            <w:noWrap/>
            <w:vAlign w:val="center"/>
            <w:hideMark/>
          </w:tcPr>
          <w:p w14:paraId="4DE9202A" w14:textId="77777777" w:rsidR="00E84485" w:rsidRPr="009A501D" w:rsidRDefault="00E84485" w:rsidP="004E0513">
            <w:pPr>
              <w:spacing w:after="0" w:line="240" w:lineRule="auto"/>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Levantamientos geodésicos</w:t>
            </w:r>
          </w:p>
        </w:tc>
        <w:tc>
          <w:tcPr>
            <w:tcW w:w="976" w:type="dxa"/>
            <w:shd w:val="clear" w:color="auto" w:fill="auto"/>
            <w:noWrap/>
            <w:vAlign w:val="center"/>
            <w:hideMark/>
          </w:tcPr>
          <w:p w14:paraId="0383C207"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p>
        </w:tc>
        <w:tc>
          <w:tcPr>
            <w:tcW w:w="992" w:type="dxa"/>
            <w:shd w:val="clear" w:color="auto" w:fill="auto"/>
            <w:noWrap/>
            <w:vAlign w:val="center"/>
            <w:hideMark/>
          </w:tcPr>
          <w:p w14:paraId="70B7470E" w14:textId="77777777" w:rsidR="00E84485" w:rsidRPr="009A501D" w:rsidRDefault="00E84485" w:rsidP="004E0513">
            <w:pPr>
              <w:spacing w:after="0" w:line="240" w:lineRule="auto"/>
              <w:jc w:val="center"/>
              <w:rPr>
                <w:rFonts w:ascii="Century Gothic" w:eastAsia="Times New Roman" w:hAnsi="Century Gothic" w:cs="Times New Roman"/>
                <w:sz w:val="16"/>
                <w:szCs w:val="16"/>
                <w:lang w:eastAsia="es-MX"/>
              </w:rPr>
            </w:pPr>
          </w:p>
        </w:tc>
        <w:tc>
          <w:tcPr>
            <w:tcW w:w="1418" w:type="dxa"/>
            <w:shd w:val="clear" w:color="auto" w:fill="auto"/>
            <w:noWrap/>
            <w:vAlign w:val="center"/>
            <w:hideMark/>
          </w:tcPr>
          <w:p w14:paraId="422DCCFC" w14:textId="77777777" w:rsidR="00E84485" w:rsidRPr="009A501D" w:rsidRDefault="00E84485" w:rsidP="004E0513">
            <w:pPr>
              <w:spacing w:after="0" w:line="240" w:lineRule="auto"/>
              <w:jc w:val="center"/>
              <w:rPr>
                <w:rFonts w:ascii="Century Gothic" w:eastAsia="Times New Roman" w:hAnsi="Century Gothic" w:cs="Times New Roman"/>
                <w:color w:val="000000"/>
                <w:sz w:val="16"/>
                <w:szCs w:val="16"/>
                <w:lang w:eastAsia="es-MX"/>
              </w:rPr>
            </w:pPr>
            <w:r w:rsidRPr="009A501D">
              <w:rPr>
                <w:rFonts w:ascii="Century Gothic" w:eastAsia="Times New Roman" w:hAnsi="Century Gothic" w:cs="Times New Roman"/>
                <w:color w:val="000000"/>
                <w:sz w:val="16"/>
                <w:szCs w:val="16"/>
                <w:lang w:eastAsia="es-MX"/>
              </w:rPr>
              <w:t>0</w:t>
            </w:r>
          </w:p>
        </w:tc>
      </w:tr>
      <w:tr w:rsidR="00E84485" w:rsidRPr="009A501D" w14:paraId="6CE60DBB" w14:textId="77777777" w:rsidTr="00664A1D">
        <w:trPr>
          <w:trHeight w:val="260"/>
          <w:jc w:val="center"/>
        </w:trPr>
        <w:tc>
          <w:tcPr>
            <w:tcW w:w="3120" w:type="dxa"/>
            <w:shd w:val="clear" w:color="auto" w:fill="002060"/>
            <w:noWrap/>
            <w:vAlign w:val="center"/>
            <w:hideMark/>
          </w:tcPr>
          <w:p w14:paraId="7B12C8FA" w14:textId="77777777" w:rsidR="00E84485" w:rsidRPr="009A501D" w:rsidRDefault="00E84485" w:rsidP="004E0513">
            <w:pPr>
              <w:spacing w:after="0" w:line="240" w:lineRule="auto"/>
              <w:jc w:val="right"/>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 xml:space="preserve">Total </w:t>
            </w:r>
          </w:p>
        </w:tc>
        <w:tc>
          <w:tcPr>
            <w:tcW w:w="976" w:type="dxa"/>
            <w:shd w:val="clear" w:color="auto" w:fill="002060"/>
            <w:noWrap/>
            <w:vAlign w:val="center"/>
            <w:hideMark/>
          </w:tcPr>
          <w:p w14:paraId="1AB51223" w14:textId="77777777"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253</w:t>
            </w:r>
          </w:p>
        </w:tc>
        <w:tc>
          <w:tcPr>
            <w:tcW w:w="992" w:type="dxa"/>
            <w:shd w:val="clear" w:color="auto" w:fill="002060"/>
            <w:noWrap/>
            <w:vAlign w:val="center"/>
            <w:hideMark/>
          </w:tcPr>
          <w:p w14:paraId="2F85912C" w14:textId="77777777"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325</w:t>
            </w:r>
          </w:p>
        </w:tc>
        <w:tc>
          <w:tcPr>
            <w:tcW w:w="1418" w:type="dxa"/>
            <w:shd w:val="clear" w:color="auto" w:fill="002060"/>
            <w:noWrap/>
            <w:vAlign w:val="center"/>
            <w:hideMark/>
          </w:tcPr>
          <w:p w14:paraId="321F1143" w14:textId="77777777" w:rsidR="00E84485" w:rsidRPr="009A501D" w:rsidRDefault="00E84485" w:rsidP="004E0513">
            <w:pPr>
              <w:spacing w:after="0" w:line="240" w:lineRule="auto"/>
              <w:jc w:val="center"/>
              <w:rPr>
                <w:rFonts w:ascii="Century Gothic" w:eastAsia="Times New Roman" w:hAnsi="Century Gothic" w:cs="Times New Roman"/>
                <w:b/>
                <w:color w:val="FFFFFF" w:themeColor="background1"/>
                <w:sz w:val="16"/>
                <w:szCs w:val="16"/>
                <w:lang w:eastAsia="es-MX"/>
              </w:rPr>
            </w:pPr>
            <w:r w:rsidRPr="009A501D">
              <w:rPr>
                <w:rFonts w:ascii="Century Gothic" w:eastAsia="Times New Roman" w:hAnsi="Century Gothic" w:cs="Times New Roman"/>
                <w:b/>
                <w:color w:val="FFFFFF" w:themeColor="background1"/>
                <w:sz w:val="16"/>
                <w:szCs w:val="16"/>
                <w:lang w:eastAsia="es-MX"/>
              </w:rPr>
              <w:t>8</w:t>
            </w:r>
          </w:p>
        </w:tc>
      </w:tr>
    </w:tbl>
    <w:p w14:paraId="17D1F906" w14:textId="232E0274" w:rsidR="00E84485" w:rsidRPr="009A501D" w:rsidRDefault="00E84485" w:rsidP="00664A1D">
      <w:pPr>
        <w:spacing w:before="240"/>
        <w:jc w:val="both"/>
        <w:rPr>
          <w:rFonts w:ascii="Century Gothic" w:hAnsi="Century Gothic"/>
          <w:sz w:val="19"/>
          <w:szCs w:val="19"/>
        </w:rPr>
      </w:pPr>
      <w:r w:rsidRPr="009A501D">
        <w:rPr>
          <w:rFonts w:ascii="Century Gothic" w:hAnsi="Century Gothic"/>
          <w:sz w:val="19"/>
          <w:szCs w:val="19"/>
        </w:rPr>
        <w:t xml:space="preserve">Las tres normas técnicas de metadatos aplican a todas las Unidades del Estado que generan Información de Interés Nacional. </w:t>
      </w:r>
      <w:r w:rsidR="00CB12AD" w:rsidRPr="009A501D">
        <w:rPr>
          <w:rFonts w:ascii="Century Gothic" w:hAnsi="Century Gothic"/>
          <w:sz w:val="19"/>
          <w:szCs w:val="19"/>
        </w:rPr>
        <w:t>D</w:t>
      </w:r>
      <w:r w:rsidRPr="009A501D">
        <w:rPr>
          <w:rFonts w:ascii="Century Gothic" w:hAnsi="Century Gothic"/>
          <w:sz w:val="19"/>
          <w:szCs w:val="19"/>
        </w:rPr>
        <w:t xml:space="preserve">e los 30 </w:t>
      </w:r>
      <w:r w:rsidR="00165B31" w:rsidRPr="009A501D">
        <w:rPr>
          <w:rFonts w:ascii="Century Gothic" w:hAnsi="Century Gothic"/>
          <w:sz w:val="19"/>
          <w:szCs w:val="19"/>
        </w:rPr>
        <w:t>programas de información o procesos de producción</w:t>
      </w:r>
      <w:r w:rsidRPr="009A501D">
        <w:rPr>
          <w:rFonts w:ascii="Century Gothic" w:hAnsi="Century Gothic"/>
          <w:sz w:val="19"/>
          <w:szCs w:val="19"/>
        </w:rPr>
        <w:t xml:space="preserve"> </w:t>
      </w:r>
      <w:r w:rsidR="00C74CE4" w:rsidRPr="009A501D">
        <w:rPr>
          <w:rFonts w:ascii="Century Gothic" w:hAnsi="Century Gothic"/>
          <w:sz w:val="19"/>
          <w:szCs w:val="19"/>
        </w:rPr>
        <w:t xml:space="preserve">con </w:t>
      </w:r>
      <w:r w:rsidRPr="009A501D">
        <w:rPr>
          <w:rFonts w:ascii="Century Gothic" w:hAnsi="Century Gothic"/>
          <w:sz w:val="19"/>
          <w:szCs w:val="19"/>
        </w:rPr>
        <w:t>Información de Interés Nacional</w:t>
      </w:r>
      <w:r w:rsidR="00934F68" w:rsidRPr="009A501D">
        <w:rPr>
          <w:rFonts w:ascii="Century Gothic" w:hAnsi="Century Gothic"/>
          <w:sz w:val="19"/>
          <w:szCs w:val="19"/>
        </w:rPr>
        <w:t xml:space="preserve">, </w:t>
      </w:r>
      <w:r w:rsidRPr="009A501D">
        <w:rPr>
          <w:rFonts w:ascii="Century Gothic" w:hAnsi="Century Gothic"/>
          <w:sz w:val="19"/>
          <w:szCs w:val="19"/>
        </w:rPr>
        <w:t>20 publicaron resultados por actualizaciones o incorporación de nueva información</w:t>
      </w:r>
      <w:r w:rsidR="00CB12AD" w:rsidRPr="009A501D">
        <w:rPr>
          <w:rFonts w:ascii="Century Gothic" w:hAnsi="Century Gothic"/>
          <w:sz w:val="19"/>
          <w:szCs w:val="19"/>
        </w:rPr>
        <w:t xml:space="preserve"> </w:t>
      </w:r>
      <w:r w:rsidR="00C74CE4" w:rsidRPr="009A501D">
        <w:rPr>
          <w:rFonts w:ascii="Century Gothic" w:hAnsi="Century Gothic"/>
          <w:sz w:val="19"/>
          <w:szCs w:val="19"/>
        </w:rPr>
        <w:t>e</w:t>
      </w:r>
      <w:r w:rsidR="00CB12AD" w:rsidRPr="009A501D">
        <w:rPr>
          <w:rFonts w:ascii="Century Gothic" w:hAnsi="Century Gothic"/>
          <w:sz w:val="19"/>
          <w:szCs w:val="19"/>
        </w:rPr>
        <w:t>n 2022</w:t>
      </w:r>
      <w:r w:rsidRPr="009A501D">
        <w:rPr>
          <w:rFonts w:ascii="Century Gothic" w:hAnsi="Century Gothic"/>
          <w:sz w:val="19"/>
          <w:szCs w:val="19"/>
        </w:rPr>
        <w:t xml:space="preserve">. De estos, 15 son generados por el INEGI y en </w:t>
      </w:r>
      <w:r w:rsidR="004B4D08" w:rsidRPr="009A501D">
        <w:rPr>
          <w:rFonts w:ascii="Century Gothic" w:hAnsi="Century Gothic"/>
          <w:sz w:val="19"/>
          <w:szCs w:val="19"/>
        </w:rPr>
        <w:t>cinco</w:t>
      </w:r>
      <w:r w:rsidRPr="009A501D">
        <w:rPr>
          <w:rFonts w:ascii="Century Gothic" w:hAnsi="Century Gothic"/>
          <w:sz w:val="19"/>
          <w:szCs w:val="19"/>
        </w:rPr>
        <w:t xml:space="preserve"> participan las siguientes </w:t>
      </w:r>
      <w:r w:rsidR="00262242" w:rsidRPr="009A501D">
        <w:rPr>
          <w:rFonts w:ascii="Century Gothic" w:hAnsi="Century Gothic"/>
          <w:sz w:val="19"/>
          <w:szCs w:val="19"/>
        </w:rPr>
        <w:t>U</w:t>
      </w:r>
      <w:r w:rsidRPr="009A501D">
        <w:rPr>
          <w:rFonts w:ascii="Century Gothic" w:hAnsi="Century Gothic"/>
          <w:sz w:val="19"/>
          <w:szCs w:val="19"/>
        </w:rPr>
        <w:t>nidades del Estado: Instituto Mexicano del Seguro Social, Instituto Nacional de Ecología y Cambio Climático, Secretaría de Medio Ambiente y Recursos Naturales</w:t>
      </w:r>
      <w:r w:rsidR="005C37D1" w:rsidRPr="009A501D">
        <w:rPr>
          <w:rFonts w:ascii="Century Gothic" w:hAnsi="Century Gothic"/>
          <w:sz w:val="19"/>
          <w:szCs w:val="19"/>
        </w:rPr>
        <w:t xml:space="preserve"> y</w:t>
      </w:r>
      <w:r w:rsidRPr="009A501D">
        <w:rPr>
          <w:rFonts w:ascii="Century Gothic" w:hAnsi="Century Gothic"/>
          <w:sz w:val="19"/>
          <w:szCs w:val="19"/>
        </w:rPr>
        <w:t xml:space="preserve"> Secretaría de Salud. En el cuadro </w:t>
      </w:r>
      <w:r w:rsidR="00DC47C3" w:rsidRPr="009A501D">
        <w:rPr>
          <w:rFonts w:ascii="Century Gothic" w:hAnsi="Century Gothic"/>
          <w:sz w:val="19"/>
          <w:szCs w:val="19"/>
        </w:rPr>
        <w:t>III.3.5.</w:t>
      </w:r>
      <w:r w:rsidRPr="009A501D">
        <w:rPr>
          <w:rFonts w:ascii="Century Gothic" w:hAnsi="Century Gothic"/>
          <w:sz w:val="19"/>
          <w:szCs w:val="19"/>
        </w:rPr>
        <w:t xml:space="preserve"> se especifica el estándar con el que documentaron sus metadatos.</w:t>
      </w:r>
    </w:p>
    <w:p w14:paraId="24906DDB" w14:textId="53D32A06" w:rsidR="00811B3C" w:rsidRPr="009A501D" w:rsidRDefault="00811B3C">
      <w:pPr>
        <w:rPr>
          <w:rFonts w:ascii="Century Gothic" w:hAnsi="Century Gothic"/>
          <w:sz w:val="19"/>
          <w:szCs w:val="19"/>
        </w:rPr>
      </w:pPr>
      <w:r w:rsidRPr="009A501D">
        <w:rPr>
          <w:rFonts w:ascii="Century Gothic" w:hAnsi="Century Gothic"/>
          <w:sz w:val="19"/>
          <w:szCs w:val="19"/>
        </w:rPr>
        <w:br w:type="page"/>
      </w:r>
    </w:p>
    <w:p w14:paraId="6D4B182B" w14:textId="7AC43C94" w:rsidR="00E84485" w:rsidRPr="009A501D" w:rsidRDefault="00C601B5" w:rsidP="00664A1D">
      <w:pPr>
        <w:spacing w:before="240"/>
        <w:jc w:val="center"/>
        <w:rPr>
          <w:rFonts w:ascii="Century Gothic" w:hAnsi="Century Gothic"/>
          <w:b/>
          <w:bCs/>
          <w:sz w:val="19"/>
          <w:szCs w:val="19"/>
        </w:rPr>
      </w:pPr>
      <w:r w:rsidRPr="009A501D">
        <w:rPr>
          <w:rFonts w:ascii="Century Gothic" w:hAnsi="Century Gothic" w:cstheme="majorHAnsi"/>
          <w:b/>
          <w:sz w:val="19"/>
          <w:szCs w:val="19"/>
        </w:rPr>
        <w:lastRenderedPageBreak/>
        <w:t xml:space="preserve">III.3.5. </w:t>
      </w:r>
      <w:r w:rsidR="00E84485" w:rsidRPr="009A501D">
        <w:rPr>
          <w:rFonts w:ascii="Century Gothic" w:hAnsi="Century Gothic"/>
          <w:b/>
          <w:bCs/>
          <w:sz w:val="19"/>
          <w:szCs w:val="19"/>
        </w:rPr>
        <w:t xml:space="preserve">Documentación de </w:t>
      </w:r>
      <w:r w:rsidR="00246796" w:rsidRPr="009A501D">
        <w:rPr>
          <w:rFonts w:ascii="Century Gothic" w:hAnsi="Century Gothic"/>
          <w:b/>
          <w:bCs/>
          <w:sz w:val="19"/>
          <w:szCs w:val="19"/>
        </w:rPr>
        <w:t xml:space="preserve">Procesos </w:t>
      </w:r>
      <w:r w:rsidR="00E84485" w:rsidRPr="009A501D">
        <w:rPr>
          <w:rFonts w:ascii="Century Gothic" w:hAnsi="Century Gothic"/>
          <w:b/>
          <w:bCs/>
          <w:sz w:val="19"/>
          <w:szCs w:val="19"/>
        </w:rPr>
        <w:t>determinados como Información de Interés Nacional</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6"/>
        <w:gridCol w:w="7001"/>
        <w:gridCol w:w="1995"/>
      </w:tblGrid>
      <w:tr w:rsidR="00E84485" w:rsidRPr="009A501D" w14:paraId="2E94FF8E" w14:textId="77777777" w:rsidTr="00BA45BB">
        <w:trPr>
          <w:trHeight w:val="284"/>
          <w:tblHeader/>
          <w:jc w:val="center"/>
        </w:trPr>
        <w:tc>
          <w:tcPr>
            <w:tcW w:w="626" w:type="dxa"/>
            <w:shd w:val="clear" w:color="auto" w:fill="002060"/>
            <w:noWrap/>
            <w:vAlign w:val="center"/>
            <w:hideMark/>
          </w:tcPr>
          <w:p w14:paraId="74EB2447" w14:textId="229EDA7A" w:rsidR="00E84485" w:rsidRPr="009A501D" w:rsidRDefault="00E84485" w:rsidP="00FA354C">
            <w:pPr>
              <w:rPr>
                <w:rFonts w:ascii="Century Gothic" w:hAnsi="Century Gothic" w:cstheme="minorHAnsi"/>
                <w:b/>
                <w:bCs/>
                <w:color w:val="FFFFFF" w:themeColor="background1"/>
                <w:sz w:val="16"/>
                <w:szCs w:val="16"/>
              </w:rPr>
            </w:pPr>
            <w:r w:rsidRPr="009A501D">
              <w:rPr>
                <w:rFonts w:ascii="Century Gothic" w:hAnsi="Century Gothic" w:cstheme="minorHAnsi"/>
                <w:b/>
                <w:bCs/>
                <w:color w:val="FFFFFF" w:themeColor="background1"/>
                <w:sz w:val="16"/>
                <w:szCs w:val="16"/>
              </w:rPr>
              <w:t>N</w:t>
            </w:r>
            <w:r w:rsidR="0039763F" w:rsidRPr="009A501D">
              <w:rPr>
                <w:rFonts w:ascii="Century Gothic" w:hAnsi="Century Gothic" w:cstheme="minorHAnsi"/>
                <w:b/>
                <w:bCs/>
                <w:color w:val="FFFFFF" w:themeColor="background1"/>
                <w:sz w:val="16"/>
                <w:szCs w:val="16"/>
              </w:rPr>
              <w:t>úm</w:t>
            </w:r>
            <w:r w:rsidRPr="009A501D">
              <w:rPr>
                <w:rFonts w:ascii="Century Gothic" w:hAnsi="Century Gothic" w:cstheme="minorHAnsi"/>
                <w:b/>
                <w:bCs/>
                <w:color w:val="FFFFFF" w:themeColor="background1"/>
                <w:sz w:val="16"/>
                <w:szCs w:val="16"/>
              </w:rPr>
              <w:t>.</w:t>
            </w:r>
          </w:p>
        </w:tc>
        <w:tc>
          <w:tcPr>
            <w:tcW w:w="7001" w:type="dxa"/>
            <w:shd w:val="clear" w:color="auto" w:fill="002060"/>
            <w:noWrap/>
            <w:vAlign w:val="center"/>
            <w:hideMark/>
          </w:tcPr>
          <w:p w14:paraId="7BDB9EF7" w14:textId="77777777" w:rsidR="00E84485" w:rsidRPr="009A501D" w:rsidRDefault="00E84485" w:rsidP="00FA354C">
            <w:pPr>
              <w:jc w:val="center"/>
              <w:rPr>
                <w:rFonts w:ascii="Century Gothic" w:hAnsi="Century Gothic" w:cstheme="minorHAnsi"/>
                <w:b/>
                <w:bCs/>
                <w:color w:val="FFFFFF" w:themeColor="background1"/>
                <w:sz w:val="16"/>
                <w:szCs w:val="16"/>
              </w:rPr>
            </w:pPr>
            <w:r w:rsidRPr="009A501D">
              <w:rPr>
                <w:rFonts w:ascii="Century Gothic" w:hAnsi="Century Gothic" w:cstheme="minorHAnsi"/>
                <w:b/>
                <w:bCs/>
                <w:color w:val="FFFFFF" w:themeColor="background1"/>
                <w:sz w:val="16"/>
                <w:szCs w:val="16"/>
              </w:rPr>
              <w:t>Información de Interés Nacional</w:t>
            </w:r>
          </w:p>
        </w:tc>
        <w:tc>
          <w:tcPr>
            <w:tcW w:w="1995" w:type="dxa"/>
            <w:shd w:val="clear" w:color="auto" w:fill="002060"/>
            <w:vAlign w:val="center"/>
          </w:tcPr>
          <w:p w14:paraId="336E6E94" w14:textId="5138F3F6" w:rsidR="00E84485" w:rsidRPr="009A501D" w:rsidRDefault="00E84485" w:rsidP="00FA354C">
            <w:pPr>
              <w:jc w:val="center"/>
              <w:rPr>
                <w:rFonts w:ascii="Century Gothic" w:hAnsi="Century Gothic" w:cstheme="minorHAnsi"/>
                <w:b/>
                <w:bCs/>
                <w:color w:val="FFFFFF" w:themeColor="background1"/>
                <w:sz w:val="16"/>
                <w:szCs w:val="16"/>
              </w:rPr>
            </w:pPr>
            <w:r w:rsidRPr="009A501D">
              <w:rPr>
                <w:rFonts w:ascii="Century Gothic" w:hAnsi="Century Gothic" w:cstheme="minorHAnsi"/>
                <w:b/>
                <w:bCs/>
                <w:color w:val="FFFFFF" w:themeColor="background1"/>
                <w:sz w:val="16"/>
                <w:szCs w:val="16"/>
              </w:rPr>
              <w:t>Estándar</w:t>
            </w:r>
          </w:p>
        </w:tc>
      </w:tr>
      <w:tr w:rsidR="00AB5FDF" w:rsidRPr="009A501D" w14:paraId="4F3696D6" w14:textId="77777777" w:rsidTr="00AA237D">
        <w:trPr>
          <w:trHeight w:val="284"/>
          <w:jc w:val="center"/>
        </w:trPr>
        <w:tc>
          <w:tcPr>
            <w:tcW w:w="626" w:type="dxa"/>
            <w:shd w:val="clear" w:color="auto" w:fill="FFFFFF" w:themeFill="background1"/>
            <w:noWrap/>
            <w:vAlign w:val="center"/>
          </w:tcPr>
          <w:p w14:paraId="251CB19F" w14:textId="423E17F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w:t>
            </w:r>
          </w:p>
        </w:tc>
        <w:tc>
          <w:tcPr>
            <w:tcW w:w="7001" w:type="dxa"/>
            <w:shd w:val="clear" w:color="auto" w:fill="FFFFFF" w:themeFill="background1"/>
            <w:noWrap/>
            <w:vAlign w:val="center"/>
          </w:tcPr>
          <w:p w14:paraId="58D6DBBB" w14:textId="632B46C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Estadística de los Puestos de trabajo registrados por los patrones en el IMSS</w:t>
            </w:r>
          </w:p>
        </w:tc>
        <w:tc>
          <w:tcPr>
            <w:tcW w:w="1995" w:type="dxa"/>
            <w:shd w:val="clear" w:color="auto" w:fill="FFFFFF" w:themeFill="background1"/>
            <w:vAlign w:val="center"/>
          </w:tcPr>
          <w:p w14:paraId="45B86CE6" w14:textId="0E46785D"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590E4185" w14:textId="77777777" w:rsidTr="00AA237D">
        <w:trPr>
          <w:trHeight w:val="284"/>
          <w:jc w:val="center"/>
        </w:trPr>
        <w:tc>
          <w:tcPr>
            <w:tcW w:w="626" w:type="dxa"/>
            <w:shd w:val="clear" w:color="auto" w:fill="FFFFFF" w:themeFill="background1"/>
            <w:noWrap/>
            <w:vAlign w:val="center"/>
          </w:tcPr>
          <w:p w14:paraId="7C455D11" w14:textId="4084533D"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w:t>
            </w:r>
          </w:p>
        </w:tc>
        <w:tc>
          <w:tcPr>
            <w:tcW w:w="7001" w:type="dxa"/>
            <w:shd w:val="clear" w:color="auto" w:fill="FFFFFF" w:themeFill="background1"/>
            <w:vAlign w:val="center"/>
          </w:tcPr>
          <w:p w14:paraId="0C104067" w14:textId="2F7A21A1"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Sistema de Información sobre Nacimientos en el marco del sector salud</w:t>
            </w:r>
          </w:p>
        </w:tc>
        <w:tc>
          <w:tcPr>
            <w:tcW w:w="1995" w:type="dxa"/>
            <w:shd w:val="clear" w:color="auto" w:fill="FFFFFF" w:themeFill="background1"/>
            <w:vAlign w:val="center"/>
          </w:tcPr>
          <w:p w14:paraId="66836032" w14:textId="7B68E87D"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6FE34660" w14:textId="77777777" w:rsidTr="00AA237D">
        <w:trPr>
          <w:trHeight w:val="284"/>
          <w:jc w:val="center"/>
        </w:trPr>
        <w:tc>
          <w:tcPr>
            <w:tcW w:w="626" w:type="dxa"/>
            <w:shd w:val="clear" w:color="auto" w:fill="FFFFFF" w:themeFill="background1"/>
            <w:noWrap/>
            <w:vAlign w:val="center"/>
          </w:tcPr>
          <w:p w14:paraId="12F45F9D" w14:textId="02ABFCC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3</w:t>
            </w:r>
          </w:p>
        </w:tc>
        <w:tc>
          <w:tcPr>
            <w:tcW w:w="7001" w:type="dxa"/>
            <w:shd w:val="clear" w:color="auto" w:fill="FFFFFF" w:themeFill="background1"/>
            <w:noWrap/>
            <w:vAlign w:val="center"/>
          </w:tcPr>
          <w:p w14:paraId="4404CAC6" w14:textId="1B0DDB7A"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Inventario Nacional Forestal y de Suelos</w:t>
            </w:r>
          </w:p>
        </w:tc>
        <w:tc>
          <w:tcPr>
            <w:tcW w:w="1995" w:type="dxa"/>
            <w:shd w:val="clear" w:color="auto" w:fill="FFFFFF" w:themeFill="background1"/>
            <w:vAlign w:val="center"/>
          </w:tcPr>
          <w:p w14:paraId="06E3E560" w14:textId="7DA9A81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0AF51F24" w14:textId="77777777" w:rsidTr="00AA237D">
        <w:trPr>
          <w:trHeight w:val="284"/>
          <w:jc w:val="center"/>
        </w:trPr>
        <w:tc>
          <w:tcPr>
            <w:tcW w:w="626" w:type="dxa"/>
            <w:shd w:val="clear" w:color="auto" w:fill="FFFFFF" w:themeFill="background1"/>
            <w:noWrap/>
            <w:vAlign w:val="center"/>
          </w:tcPr>
          <w:p w14:paraId="7D0FBB0C" w14:textId="70A28A37"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4</w:t>
            </w:r>
          </w:p>
        </w:tc>
        <w:tc>
          <w:tcPr>
            <w:tcW w:w="7001" w:type="dxa"/>
            <w:shd w:val="clear" w:color="auto" w:fill="FFFFFF" w:themeFill="background1"/>
            <w:noWrap/>
            <w:vAlign w:val="center"/>
          </w:tcPr>
          <w:p w14:paraId="5F87A408" w14:textId="269D569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Origen y destino de la energía a nivel nacional en el marco del sector energético</w:t>
            </w:r>
          </w:p>
        </w:tc>
        <w:tc>
          <w:tcPr>
            <w:tcW w:w="1995" w:type="dxa"/>
            <w:shd w:val="clear" w:color="auto" w:fill="FFFFFF" w:themeFill="background1"/>
            <w:vAlign w:val="center"/>
          </w:tcPr>
          <w:p w14:paraId="71ACBDAA" w14:textId="7D0FCD5F"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4B41AB75" w14:textId="77777777" w:rsidTr="00AA237D">
        <w:trPr>
          <w:trHeight w:val="284"/>
          <w:jc w:val="center"/>
        </w:trPr>
        <w:tc>
          <w:tcPr>
            <w:tcW w:w="626" w:type="dxa"/>
            <w:shd w:val="clear" w:color="auto" w:fill="FFFFFF" w:themeFill="background1"/>
            <w:noWrap/>
            <w:vAlign w:val="center"/>
          </w:tcPr>
          <w:p w14:paraId="78B86FA2" w14:textId="6246B2A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5</w:t>
            </w:r>
          </w:p>
        </w:tc>
        <w:tc>
          <w:tcPr>
            <w:tcW w:w="7001" w:type="dxa"/>
            <w:shd w:val="clear" w:color="auto" w:fill="FFFFFF" w:themeFill="background1"/>
            <w:noWrap/>
            <w:vAlign w:val="center"/>
          </w:tcPr>
          <w:p w14:paraId="569F8599" w14:textId="4D40249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del Inventario Nacional de Gases y Compuestos de Efecto Invernadero</w:t>
            </w:r>
          </w:p>
        </w:tc>
        <w:tc>
          <w:tcPr>
            <w:tcW w:w="1995" w:type="dxa"/>
            <w:shd w:val="clear" w:color="auto" w:fill="FFFFFF" w:themeFill="background1"/>
            <w:vAlign w:val="center"/>
          </w:tcPr>
          <w:p w14:paraId="40D52037" w14:textId="30C91EC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4F860F42" w14:textId="77777777" w:rsidTr="00AA237D">
        <w:trPr>
          <w:trHeight w:val="284"/>
          <w:jc w:val="center"/>
        </w:trPr>
        <w:tc>
          <w:tcPr>
            <w:tcW w:w="626" w:type="dxa"/>
            <w:shd w:val="clear" w:color="auto" w:fill="FFFFFF" w:themeFill="background1"/>
            <w:noWrap/>
            <w:vAlign w:val="center"/>
          </w:tcPr>
          <w:p w14:paraId="315B7A4D" w14:textId="2EAEBBA5"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6</w:t>
            </w:r>
          </w:p>
        </w:tc>
        <w:tc>
          <w:tcPr>
            <w:tcW w:w="7001" w:type="dxa"/>
            <w:shd w:val="clear" w:color="auto" w:fill="FFFFFF" w:themeFill="background1"/>
            <w:noWrap/>
            <w:vAlign w:val="center"/>
          </w:tcPr>
          <w:p w14:paraId="1D6FAACD" w14:textId="00616C6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Inventario de Sustancias Agotadoras de la Capa de Ozono</w:t>
            </w:r>
          </w:p>
        </w:tc>
        <w:tc>
          <w:tcPr>
            <w:tcW w:w="1995" w:type="dxa"/>
            <w:shd w:val="clear" w:color="auto" w:fill="FFFFFF" w:themeFill="background1"/>
            <w:vAlign w:val="center"/>
          </w:tcPr>
          <w:p w14:paraId="5FF8313E" w14:textId="34878AFF"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579A72ED" w14:textId="77777777" w:rsidTr="00AA237D">
        <w:trPr>
          <w:trHeight w:val="284"/>
          <w:jc w:val="center"/>
        </w:trPr>
        <w:tc>
          <w:tcPr>
            <w:tcW w:w="626" w:type="dxa"/>
            <w:shd w:val="clear" w:color="auto" w:fill="FFFFFF" w:themeFill="background1"/>
            <w:noWrap/>
            <w:vAlign w:val="center"/>
          </w:tcPr>
          <w:p w14:paraId="65043ADB" w14:textId="4EEC369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7</w:t>
            </w:r>
          </w:p>
        </w:tc>
        <w:tc>
          <w:tcPr>
            <w:tcW w:w="7001" w:type="dxa"/>
            <w:shd w:val="clear" w:color="auto" w:fill="FFFFFF" w:themeFill="background1"/>
            <w:noWrap/>
            <w:vAlign w:val="center"/>
          </w:tcPr>
          <w:p w14:paraId="6E52C244" w14:textId="56F76B4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estadística de la Estructura de la Propiedad Social en México.</w:t>
            </w:r>
          </w:p>
        </w:tc>
        <w:tc>
          <w:tcPr>
            <w:tcW w:w="1995" w:type="dxa"/>
            <w:shd w:val="clear" w:color="auto" w:fill="FFFFFF" w:themeFill="background1"/>
            <w:vAlign w:val="center"/>
          </w:tcPr>
          <w:p w14:paraId="77F39B51" w14:textId="6CDAE7D1"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23FA58D2" w14:textId="77777777" w:rsidTr="00AA237D">
        <w:trPr>
          <w:trHeight w:val="284"/>
          <w:jc w:val="center"/>
        </w:trPr>
        <w:tc>
          <w:tcPr>
            <w:tcW w:w="626" w:type="dxa"/>
            <w:shd w:val="clear" w:color="auto" w:fill="FFFFFF" w:themeFill="background1"/>
            <w:noWrap/>
            <w:vAlign w:val="center"/>
          </w:tcPr>
          <w:p w14:paraId="5B37DBB7" w14:textId="24FC2E25"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8</w:t>
            </w:r>
          </w:p>
        </w:tc>
        <w:tc>
          <w:tcPr>
            <w:tcW w:w="7001" w:type="dxa"/>
            <w:shd w:val="clear" w:color="auto" w:fill="FFFFFF" w:themeFill="background1"/>
            <w:noWrap/>
            <w:vAlign w:val="center"/>
          </w:tcPr>
          <w:p w14:paraId="08F4F1B9" w14:textId="7983069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Estadística del Sistema de Información y Gestión Educativa</w:t>
            </w:r>
          </w:p>
        </w:tc>
        <w:tc>
          <w:tcPr>
            <w:tcW w:w="1995" w:type="dxa"/>
            <w:shd w:val="clear" w:color="auto" w:fill="FFFFFF" w:themeFill="background1"/>
            <w:vAlign w:val="center"/>
          </w:tcPr>
          <w:p w14:paraId="37E9EB72" w14:textId="32A10E8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w:t>
            </w:r>
          </w:p>
        </w:tc>
      </w:tr>
      <w:tr w:rsidR="00AB5FDF" w:rsidRPr="009A501D" w14:paraId="5C60F7CB" w14:textId="77777777" w:rsidTr="00AA237D">
        <w:trPr>
          <w:trHeight w:val="284"/>
          <w:jc w:val="center"/>
        </w:trPr>
        <w:tc>
          <w:tcPr>
            <w:tcW w:w="626" w:type="dxa"/>
            <w:shd w:val="clear" w:color="auto" w:fill="FFFFFF" w:themeFill="background1"/>
            <w:noWrap/>
            <w:vAlign w:val="center"/>
          </w:tcPr>
          <w:p w14:paraId="562E330D" w14:textId="67B6F6B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9</w:t>
            </w:r>
          </w:p>
        </w:tc>
        <w:tc>
          <w:tcPr>
            <w:tcW w:w="7001" w:type="dxa"/>
            <w:shd w:val="clear" w:color="auto" w:fill="FFFFFF" w:themeFill="background1"/>
            <w:noWrap/>
            <w:vAlign w:val="center"/>
          </w:tcPr>
          <w:p w14:paraId="45694D7E" w14:textId="71244BC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Calidad e Impacto Gubernamental</w:t>
            </w:r>
          </w:p>
        </w:tc>
        <w:tc>
          <w:tcPr>
            <w:tcW w:w="1995" w:type="dxa"/>
            <w:shd w:val="clear" w:color="auto" w:fill="FFFFFF" w:themeFill="background1"/>
            <w:vAlign w:val="center"/>
          </w:tcPr>
          <w:p w14:paraId="73CEB775" w14:textId="187C2E6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3F4064CC" w14:textId="77777777" w:rsidTr="00AA237D">
        <w:trPr>
          <w:trHeight w:val="284"/>
          <w:jc w:val="center"/>
        </w:trPr>
        <w:tc>
          <w:tcPr>
            <w:tcW w:w="626" w:type="dxa"/>
            <w:shd w:val="clear" w:color="auto" w:fill="FFFFFF" w:themeFill="background1"/>
            <w:noWrap/>
            <w:vAlign w:val="center"/>
          </w:tcPr>
          <w:p w14:paraId="0F0EFCFE" w14:textId="6F0D94F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10</w:t>
            </w:r>
          </w:p>
        </w:tc>
        <w:tc>
          <w:tcPr>
            <w:tcW w:w="7001" w:type="dxa"/>
            <w:shd w:val="clear" w:color="auto" w:fill="FFFFFF" w:themeFill="background1"/>
            <w:noWrap/>
            <w:vAlign w:val="center"/>
          </w:tcPr>
          <w:p w14:paraId="4D0C525F" w14:textId="77189641"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Censo Nacional de Gobiernos Municipales y Delegacionales</w:t>
            </w:r>
          </w:p>
        </w:tc>
        <w:tc>
          <w:tcPr>
            <w:tcW w:w="1995" w:type="dxa"/>
            <w:shd w:val="clear" w:color="auto" w:fill="FFFFFF" w:themeFill="background1"/>
            <w:vAlign w:val="center"/>
          </w:tcPr>
          <w:p w14:paraId="6CC0E5E5" w14:textId="0549233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75691766" w14:textId="77777777" w:rsidTr="00AA237D">
        <w:trPr>
          <w:trHeight w:val="284"/>
          <w:jc w:val="center"/>
        </w:trPr>
        <w:tc>
          <w:tcPr>
            <w:tcW w:w="626" w:type="dxa"/>
            <w:shd w:val="clear" w:color="auto" w:fill="FFFFFF" w:themeFill="background1"/>
            <w:noWrap/>
            <w:vAlign w:val="center"/>
          </w:tcPr>
          <w:p w14:paraId="2467C173" w14:textId="61D9BD17"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11</w:t>
            </w:r>
          </w:p>
        </w:tc>
        <w:tc>
          <w:tcPr>
            <w:tcW w:w="7001" w:type="dxa"/>
            <w:shd w:val="clear" w:color="auto" w:fill="FFFFFF" w:themeFill="background1"/>
            <w:noWrap/>
            <w:vAlign w:val="center"/>
          </w:tcPr>
          <w:p w14:paraId="3B751C5D" w14:textId="793804B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la Dinámica Demográfica</w:t>
            </w:r>
          </w:p>
        </w:tc>
        <w:tc>
          <w:tcPr>
            <w:tcW w:w="1995" w:type="dxa"/>
            <w:shd w:val="clear" w:color="auto" w:fill="FFFFFF" w:themeFill="background1"/>
            <w:vAlign w:val="center"/>
          </w:tcPr>
          <w:p w14:paraId="16CDEF7C" w14:textId="7519561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0AAED5B2" w14:textId="77777777" w:rsidTr="00AA237D">
        <w:trPr>
          <w:trHeight w:val="284"/>
          <w:jc w:val="center"/>
        </w:trPr>
        <w:tc>
          <w:tcPr>
            <w:tcW w:w="626" w:type="dxa"/>
            <w:shd w:val="clear" w:color="auto" w:fill="FFFFFF" w:themeFill="background1"/>
            <w:noWrap/>
            <w:vAlign w:val="center"/>
          </w:tcPr>
          <w:p w14:paraId="5BB39C77" w14:textId="68079A9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12</w:t>
            </w:r>
          </w:p>
        </w:tc>
        <w:tc>
          <w:tcPr>
            <w:tcW w:w="7001" w:type="dxa"/>
            <w:shd w:val="clear" w:color="auto" w:fill="FFFFFF" w:themeFill="background1"/>
            <w:noWrap/>
            <w:vAlign w:val="center"/>
          </w:tcPr>
          <w:p w14:paraId="1486572D" w14:textId="06C1CF8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Ingresos y Gastos de los Hogares</w:t>
            </w:r>
          </w:p>
        </w:tc>
        <w:tc>
          <w:tcPr>
            <w:tcW w:w="1995" w:type="dxa"/>
            <w:shd w:val="clear" w:color="auto" w:fill="FFFFFF" w:themeFill="background1"/>
            <w:vAlign w:val="center"/>
          </w:tcPr>
          <w:p w14:paraId="00CB19F1" w14:textId="544209A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1E5052FF" w14:textId="77777777" w:rsidTr="00AA237D">
        <w:trPr>
          <w:trHeight w:val="284"/>
          <w:jc w:val="center"/>
        </w:trPr>
        <w:tc>
          <w:tcPr>
            <w:tcW w:w="626" w:type="dxa"/>
            <w:shd w:val="clear" w:color="auto" w:fill="FFFFFF" w:themeFill="background1"/>
            <w:noWrap/>
            <w:vAlign w:val="center"/>
          </w:tcPr>
          <w:p w14:paraId="7048C868" w14:textId="0479800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13</w:t>
            </w:r>
          </w:p>
        </w:tc>
        <w:tc>
          <w:tcPr>
            <w:tcW w:w="7001" w:type="dxa"/>
            <w:shd w:val="clear" w:color="auto" w:fill="FFFFFF" w:themeFill="background1"/>
            <w:noWrap/>
            <w:vAlign w:val="center"/>
          </w:tcPr>
          <w:p w14:paraId="333D32B5" w14:textId="443121A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sobre Uso del Tiempo</w:t>
            </w:r>
          </w:p>
        </w:tc>
        <w:tc>
          <w:tcPr>
            <w:tcW w:w="1995" w:type="dxa"/>
            <w:shd w:val="clear" w:color="auto" w:fill="FFFFFF" w:themeFill="background1"/>
            <w:vAlign w:val="center"/>
          </w:tcPr>
          <w:p w14:paraId="4DCF21CB" w14:textId="2BE5A5D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03FD42F9" w14:textId="77777777" w:rsidTr="00AA237D">
        <w:trPr>
          <w:trHeight w:val="284"/>
          <w:jc w:val="center"/>
        </w:trPr>
        <w:tc>
          <w:tcPr>
            <w:tcW w:w="626" w:type="dxa"/>
            <w:shd w:val="clear" w:color="auto" w:fill="FFFFFF" w:themeFill="background1"/>
            <w:noWrap/>
            <w:vAlign w:val="center"/>
          </w:tcPr>
          <w:p w14:paraId="0A8CC9D8" w14:textId="2418FC15"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14</w:t>
            </w:r>
          </w:p>
        </w:tc>
        <w:tc>
          <w:tcPr>
            <w:tcW w:w="7001" w:type="dxa"/>
            <w:shd w:val="clear" w:color="auto" w:fill="FFFFFF" w:themeFill="background1"/>
            <w:noWrap/>
            <w:vAlign w:val="center"/>
          </w:tcPr>
          <w:p w14:paraId="562828B4" w14:textId="6D8B819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Mensual sobre Empresas Comerciales</w:t>
            </w:r>
          </w:p>
        </w:tc>
        <w:tc>
          <w:tcPr>
            <w:tcW w:w="1995" w:type="dxa"/>
            <w:shd w:val="clear" w:color="auto" w:fill="FFFFFF" w:themeFill="background1"/>
            <w:vAlign w:val="center"/>
          </w:tcPr>
          <w:p w14:paraId="5DAE54EF" w14:textId="1BF6DD57"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5E51CA7C" w14:textId="77777777" w:rsidTr="00AA237D">
        <w:trPr>
          <w:trHeight w:val="284"/>
          <w:jc w:val="center"/>
        </w:trPr>
        <w:tc>
          <w:tcPr>
            <w:tcW w:w="626" w:type="dxa"/>
            <w:shd w:val="clear" w:color="auto" w:fill="FFFFFF" w:themeFill="background1"/>
            <w:noWrap/>
            <w:vAlign w:val="center"/>
          </w:tcPr>
          <w:p w14:paraId="25FEFE62" w14:textId="68960CA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15</w:t>
            </w:r>
          </w:p>
        </w:tc>
        <w:tc>
          <w:tcPr>
            <w:tcW w:w="7001" w:type="dxa"/>
            <w:shd w:val="clear" w:color="auto" w:fill="FFFFFF" w:themeFill="background1"/>
            <w:noWrap/>
            <w:vAlign w:val="center"/>
          </w:tcPr>
          <w:p w14:paraId="4271CAB8" w14:textId="5F7119E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Mensual de Servicios</w:t>
            </w:r>
          </w:p>
        </w:tc>
        <w:tc>
          <w:tcPr>
            <w:tcW w:w="1995" w:type="dxa"/>
            <w:shd w:val="clear" w:color="auto" w:fill="FFFFFF" w:themeFill="background1"/>
            <w:vAlign w:val="center"/>
          </w:tcPr>
          <w:p w14:paraId="227ADBDF" w14:textId="10FC3AB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2915E78E" w14:textId="77777777" w:rsidTr="00AA237D">
        <w:trPr>
          <w:trHeight w:val="284"/>
          <w:jc w:val="center"/>
        </w:trPr>
        <w:tc>
          <w:tcPr>
            <w:tcW w:w="626" w:type="dxa"/>
            <w:shd w:val="clear" w:color="auto" w:fill="FFFFFF" w:themeFill="background1"/>
            <w:noWrap/>
            <w:vAlign w:val="center"/>
          </w:tcPr>
          <w:p w14:paraId="02D1D409" w14:textId="376653D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16</w:t>
            </w:r>
          </w:p>
        </w:tc>
        <w:tc>
          <w:tcPr>
            <w:tcW w:w="7001" w:type="dxa"/>
            <w:shd w:val="clear" w:color="auto" w:fill="FFFFFF" w:themeFill="background1"/>
            <w:noWrap/>
            <w:vAlign w:val="center"/>
          </w:tcPr>
          <w:p w14:paraId="46C020B4" w14:textId="6BABC15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Empresas Constructoras</w:t>
            </w:r>
          </w:p>
        </w:tc>
        <w:tc>
          <w:tcPr>
            <w:tcW w:w="1995" w:type="dxa"/>
            <w:shd w:val="clear" w:color="auto" w:fill="FFFFFF" w:themeFill="background1"/>
            <w:vAlign w:val="center"/>
          </w:tcPr>
          <w:p w14:paraId="53B38583" w14:textId="37240237"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64910214" w14:textId="77777777" w:rsidTr="00AA237D">
        <w:trPr>
          <w:trHeight w:val="284"/>
          <w:jc w:val="center"/>
        </w:trPr>
        <w:tc>
          <w:tcPr>
            <w:tcW w:w="626" w:type="dxa"/>
            <w:shd w:val="clear" w:color="auto" w:fill="FFFFFF" w:themeFill="background1"/>
            <w:noWrap/>
            <w:vAlign w:val="center"/>
          </w:tcPr>
          <w:p w14:paraId="4860FAD1" w14:textId="7B75BE0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17</w:t>
            </w:r>
          </w:p>
        </w:tc>
        <w:tc>
          <w:tcPr>
            <w:tcW w:w="7001" w:type="dxa"/>
            <w:shd w:val="clear" w:color="auto" w:fill="FFFFFF" w:themeFill="background1"/>
            <w:noWrap/>
            <w:vAlign w:val="center"/>
          </w:tcPr>
          <w:p w14:paraId="4B8301A9" w14:textId="6F08591A"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Mensual de Opinión Empresarial</w:t>
            </w:r>
          </w:p>
        </w:tc>
        <w:tc>
          <w:tcPr>
            <w:tcW w:w="1995" w:type="dxa"/>
            <w:shd w:val="clear" w:color="auto" w:fill="FFFFFF" w:themeFill="background1"/>
            <w:vAlign w:val="center"/>
          </w:tcPr>
          <w:p w14:paraId="7BE39326" w14:textId="2E4F21C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042468A0" w14:textId="77777777" w:rsidTr="00AA237D">
        <w:trPr>
          <w:trHeight w:val="284"/>
          <w:jc w:val="center"/>
        </w:trPr>
        <w:tc>
          <w:tcPr>
            <w:tcW w:w="626" w:type="dxa"/>
            <w:shd w:val="clear" w:color="auto" w:fill="FFFFFF" w:themeFill="background1"/>
            <w:noWrap/>
            <w:vAlign w:val="center"/>
          </w:tcPr>
          <w:p w14:paraId="2A099B0C" w14:textId="2CCF6EFD"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18</w:t>
            </w:r>
          </w:p>
        </w:tc>
        <w:tc>
          <w:tcPr>
            <w:tcW w:w="7001" w:type="dxa"/>
            <w:shd w:val="clear" w:color="auto" w:fill="FFFFFF" w:themeFill="background1"/>
            <w:noWrap/>
            <w:vAlign w:val="center"/>
          </w:tcPr>
          <w:p w14:paraId="4D8DF6C5" w14:textId="2CE1B36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estadística de la Encuesta Nacional de Victimización de Empresas</w:t>
            </w:r>
          </w:p>
        </w:tc>
        <w:tc>
          <w:tcPr>
            <w:tcW w:w="1995" w:type="dxa"/>
            <w:shd w:val="clear" w:color="auto" w:fill="FFFFFF" w:themeFill="background1"/>
            <w:vAlign w:val="center"/>
          </w:tcPr>
          <w:p w14:paraId="5A40D47B" w14:textId="69AB776A"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361C2D78" w14:textId="77777777" w:rsidTr="00AA237D">
        <w:trPr>
          <w:trHeight w:val="284"/>
          <w:jc w:val="center"/>
        </w:trPr>
        <w:tc>
          <w:tcPr>
            <w:tcW w:w="626" w:type="dxa"/>
            <w:shd w:val="clear" w:color="auto" w:fill="FFFFFF" w:themeFill="background1"/>
            <w:noWrap/>
            <w:vAlign w:val="center"/>
          </w:tcPr>
          <w:p w14:paraId="03CE71DC" w14:textId="7210FBEA"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19</w:t>
            </w:r>
          </w:p>
        </w:tc>
        <w:tc>
          <w:tcPr>
            <w:tcW w:w="7001" w:type="dxa"/>
            <w:shd w:val="clear" w:color="auto" w:fill="FFFFFF" w:themeFill="background1"/>
            <w:noWrap/>
            <w:vAlign w:val="center"/>
          </w:tcPr>
          <w:p w14:paraId="21F2AD16" w14:textId="109D3B1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sobre la Dinámica de las Relaciones en los Hogares</w:t>
            </w:r>
          </w:p>
        </w:tc>
        <w:tc>
          <w:tcPr>
            <w:tcW w:w="1995" w:type="dxa"/>
            <w:shd w:val="clear" w:color="auto" w:fill="FFFFFF" w:themeFill="background1"/>
            <w:vAlign w:val="center"/>
          </w:tcPr>
          <w:p w14:paraId="75E6E640" w14:textId="7AF1B22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34B8F308" w14:textId="77777777" w:rsidTr="00AA237D">
        <w:trPr>
          <w:trHeight w:val="284"/>
          <w:jc w:val="center"/>
        </w:trPr>
        <w:tc>
          <w:tcPr>
            <w:tcW w:w="626" w:type="dxa"/>
            <w:shd w:val="clear" w:color="auto" w:fill="FFFFFF" w:themeFill="background1"/>
            <w:noWrap/>
            <w:vAlign w:val="center"/>
          </w:tcPr>
          <w:p w14:paraId="7209371F" w14:textId="254C949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20</w:t>
            </w:r>
          </w:p>
        </w:tc>
        <w:tc>
          <w:tcPr>
            <w:tcW w:w="7001" w:type="dxa"/>
            <w:shd w:val="clear" w:color="auto" w:fill="FFFFFF" w:themeFill="background1"/>
            <w:noWrap/>
            <w:vAlign w:val="center"/>
          </w:tcPr>
          <w:p w14:paraId="66949AFE" w14:textId="05ECC8E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Estadísticas de Defunciones Fetales</w:t>
            </w:r>
          </w:p>
        </w:tc>
        <w:tc>
          <w:tcPr>
            <w:tcW w:w="1995" w:type="dxa"/>
            <w:shd w:val="clear" w:color="auto" w:fill="FFFFFF" w:themeFill="background1"/>
            <w:vAlign w:val="center"/>
          </w:tcPr>
          <w:p w14:paraId="6E0AF07E" w14:textId="67E44FA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2304BED0" w14:textId="77777777" w:rsidTr="00BA45BB">
        <w:trPr>
          <w:trHeight w:val="284"/>
          <w:jc w:val="center"/>
        </w:trPr>
        <w:tc>
          <w:tcPr>
            <w:tcW w:w="626" w:type="dxa"/>
            <w:shd w:val="clear" w:color="auto" w:fill="FFFFFF" w:themeFill="background1"/>
            <w:noWrap/>
            <w:vAlign w:val="center"/>
          </w:tcPr>
          <w:p w14:paraId="36504B0E" w14:textId="3CCFF48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21</w:t>
            </w:r>
          </w:p>
        </w:tc>
        <w:tc>
          <w:tcPr>
            <w:tcW w:w="7001" w:type="dxa"/>
            <w:shd w:val="clear" w:color="auto" w:fill="FFFFFF" w:themeFill="background1"/>
            <w:noWrap/>
            <w:vAlign w:val="center"/>
          </w:tcPr>
          <w:p w14:paraId="415C2710" w14:textId="10E40655"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Estadísticas de Defunciones Registradas</w:t>
            </w:r>
          </w:p>
        </w:tc>
        <w:tc>
          <w:tcPr>
            <w:tcW w:w="1995" w:type="dxa"/>
            <w:shd w:val="clear" w:color="auto" w:fill="FFFFFF" w:themeFill="background1"/>
            <w:vAlign w:val="center"/>
          </w:tcPr>
          <w:p w14:paraId="07535587" w14:textId="16D39BF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0BC4A1FF" w14:textId="77777777" w:rsidTr="00BA45BB">
        <w:trPr>
          <w:trHeight w:val="284"/>
          <w:jc w:val="center"/>
        </w:trPr>
        <w:tc>
          <w:tcPr>
            <w:tcW w:w="626" w:type="dxa"/>
            <w:shd w:val="clear" w:color="auto" w:fill="FFFFFF" w:themeFill="background1"/>
            <w:noWrap/>
            <w:vAlign w:val="center"/>
          </w:tcPr>
          <w:p w14:paraId="0818EFD5" w14:textId="4F12DED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22</w:t>
            </w:r>
          </w:p>
        </w:tc>
        <w:tc>
          <w:tcPr>
            <w:tcW w:w="7001" w:type="dxa"/>
            <w:shd w:val="clear" w:color="auto" w:fill="FFFFFF" w:themeFill="background1"/>
            <w:noWrap/>
            <w:vAlign w:val="center"/>
          </w:tcPr>
          <w:p w14:paraId="3FB56FAF" w14:textId="21FCD4D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Censo Nacional de Procuración de Justicia Estatal</w:t>
            </w:r>
          </w:p>
        </w:tc>
        <w:tc>
          <w:tcPr>
            <w:tcW w:w="1995" w:type="dxa"/>
            <w:shd w:val="clear" w:color="auto" w:fill="FFFFFF" w:themeFill="background1"/>
            <w:vAlign w:val="center"/>
          </w:tcPr>
          <w:p w14:paraId="2E8A53FB" w14:textId="7B7D64E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0A7A5228" w14:textId="77777777" w:rsidTr="00BA45BB">
        <w:trPr>
          <w:trHeight w:val="284"/>
          <w:jc w:val="center"/>
        </w:trPr>
        <w:tc>
          <w:tcPr>
            <w:tcW w:w="626" w:type="dxa"/>
            <w:shd w:val="clear" w:color="auto" w:fill="FFFFFF" w:themeFill="background1"/>
            <w:noWrap/>
            <w:vAlign w:val="center"/>
          </w:tcPr>
          <w:p w14:paraId="11877700" w14:textId="1494483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23</w:t>
            </w:r>
          </w:p>
        </w:tc>
        <w:tc>
          <w:tcPr>
            <w:tcW w:w="7001" w:type="dxa"/>
            <w:shd w:val="clear" w:color="auto" w:fill="FFFFFF" w:themeFill="background1"/>
            <w:noWrap/>
            <w:vAlign w:val="center"/>
          </w:tcPr>
          <w:p w14:paraId="14ECF9CB" w14:textId="17A2065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Censo Nacional de Impartición de Justicia Estatal</w:t>
            </w:r>
          </w:p>
        </w:tc>
        <w:tc>
          <w:tcPr>
            <w:tcW w:w="1995" w:type="dxa"/>
            <w:shd w:val="clear" w:color="auto" w:fill="FFFFFF" w:themeFill="background1"/>
            <w:vAlign w:val="center"/>
          </w:tcPr>
          <w:p w14:paraId="62379C76" w14:textId="3DD94A1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6F58C98E" w14:textId="77777777" w:rsidTr="00BA45BB">
        <w:trPr>
          <w:trHeight w:val="284"/>
          <w:jc w:val="center"/>
        </w:trPr>
        <w:tc>
          <w:tcPr>
            <w:tcW w:w="626" w:type="dxa"/>
            <w:shd w:val="clear" w:color="auto" w:fill="FFFFFF" w:themeFill="background1"/>
            <w:noWrap/>
            <w:vAlign w:val="center"/>
          </w:tcPr>
          <w:p w14:paraId="11AE829B" w14:textId="53FB0C39"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24</w:t>
            </w:r>
          </w:p>
        </w:tc>
        <w:tc>
          <w:tcPr>
            <w:tcW w:w="7001" w:type="dxa"/>
            <w:shd w:val="clear" w:color="auto" w:fill="FFFFFF" w:themeFill="background1"/>
            <w:noWrap/>
            <w:vAlign w:val="center"/>
          </w:tcPr>
          <w:p w14:paraId="6ED51F04" w14:textId="6110BA5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Mensual de la Industria Manufacturera</w:t>
            </w:r>
          </w:p>
        </w:tc>
        <w:tc>
          <w:tcPr>
            <w:tcW w:w="1995" w:type="dxa"/>
            <w:shd w:val="clear" w:color="auto" w:fill="FFFFFF" w:themeFill="background1"/>
            <w:vAlign w:val="center"/>
          </w:tcPr>
          <w:p w14:paraId="0113CAD4" w14:textId="59C8F74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22E4F356" w14:textId="77777777" w:rsidTr="00BA45BB">
        <w:trPr>
          <w:trHeight w:val="284"/>
          <w:jc w:val="center"/>
        </w:trPr>
        <w:tc>
          <w:tcPr>
            <w:tcW w:w="626" w:type="dxa"/>
            <w:shd w:val="clear" w:color="auto" w:fill="FFFFFF" w:themeFill="background1"/>
            <w:noWrap/>
            <w:vAlign w:val="center"/>
          </w:tcPr>
          <w:p w14:paraId="3C3942AD" w14:textId="0DC2C1E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25</w:t>
            </w:r>
          </w:p>
        </w:tc>
        <w:tc>
          <w:tcPr>
            <w:tcW w:w="7001" w:type="dxa"/>
            <w:shd w:val="clear" w:color="auto" w:fill="FFFFFF" w:themeFill="background1"/>
            <w:noWrap/>
            <w:vAlign w:val="center"/>
          </w:tcPr>
          <w:p w14:paraId="7BBFB00D" w14:textId="03945D82"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Balanza Comercial de Mercancías de México</w:t>
            </w:r>
          </w:p>
        </w:tc>
        <w:tc>
          <w:tcPr>
            <w:tcW w:w="1995" w:type="dxa"/>
            <w:shd w:val="clear" w:color="auto" w:fill="FFFFFF" w:themeFill="background1"/>
            <w:vAlign w:val="center"/>
          </w:tcPr>
          <w:p w14:paraId="03D1CE53" w14:textId="6DD4015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2D8D3725" w14:textId="77777777" w:rsidTr="00BA45BB">
        <w:trPr>
          <w:trHeight w:val="284"/>
          <w:jc w:val="center"/>
        </w:trPr>
        <w:tc>
          <w:tcPr>
            <w:tcW w:w="626" w:type="dxa"/>
            <w:shd w:val="clear" w:color="auto" w:fill="FFFFFF" w:themeFill="background1"/>
            <w:noWrap/>
            <w:vAlign w:val="center"/>
          </w:tcPr>
          <w:p w14:paraId="4457F206" w14:textId="79455560"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26</w:t>
            </w:r>
          </w:p>
        </w:tc>
        <w:tc>
          <w:tcPr>
            <w:tcW w:w="7001" w:type="dxa"/>
            <w:shd w:val="clear" w:color="auto" w:fill="FFFFFF" w:themeFill="background1"/>
            <w:noWrap/>
            <w:vAlign w:val="center"/>
          </w:tcPr>
          <w:p w14:paraId="7CECAA77" w14:textId="73E9492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Victimización y Percepción sobre Seguridad Pública</w:t>
            </w:r>
          </w:p>
        </w:tc>
        <w:tc>
          <w:tcPr>
            <w:tcW w:w="1995" w:type="dxa"/>
            <w:shd w:val="clear" w:color="auto" w:fill="FFFFFF" w:themeFill="background1"/>
            <w:vAlign w:val="center"/>
          </w:tcPr>
          <w:p w14:paraId="1E5492B7" w14:textId="57A8FC38"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5C2933A9" w14:textId="77777777" w:rsidTr="00BA45BB">
        <w:trPr>
          <w:trHeight w:val="284"/>
          <w:jc w:val="center"/>
        </w:trPr>
        <w:tc>
          <w:tcPr>
            <w:tcW w:w="626" w:type="dxa"/>
            <w:shd w:val="clear" w:color="auto" w:fill="FFFFFF" w:themeFill="background1"/>
            <w:noWrap/>
            <w:vAlign w:val="center"/>
          </w:tcPr>
          <w:p w14:paraId="1D8956EB" w14:textId="08E0C517"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27</w:t>
            </w:r>
          </w:p>
        </w:tc>
        <w:tc>
          <w:tcPr>
            <w:tcW w:w="7001" w:type="dxa"/>
            <w:shd w:val="clear" w:color="auto" w:fill="FFFFFF" w:themeFill="background1"/>
            <w:noWrap/>
            <w:vAlign w:val="center"/>
          </w:tcPr>
          <w:p w14:paraId="38D82BFF" w14:textId="31F5C78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Encuesta Nacional de Ocupación y Empleo</w:t>
            </w:r>
          </w:p>
        </w:tc>
        <w:tc>
          <w:tcPr>
            <w:tcW w:w="1995" w:type="dxa"/>
            <w:shd w:val="clear" w:color="auto" w:fill="FFFFFF" w:themeFill="background1"/>
            <w:vAlign w:val="center"/>
          </w:tcPr>
          <w:p w14:paraId="581C9912" w14:textId="3CF4DE36"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DDI-DCAT</w:t>
            </w:r>
          </w:p>
        </w:tc>
      </w:tr>
      <w:tr w:rsidR="00AB5FDF" w:rsidRPr="009A501D" w14:paraId="3043DBED" w14:textId="77777777" w:rsidTr="006C410E">
        <w:trPr>
          <w:trHeight w:val="284"/>
          <w:jc w:val="center"/>
        </w:trPr>
        <w:tc>
          <w:tcPr>
            <w:tcW w:w="626" w:type="dxa"/>
            <w:shd w:val="clear" w:color="auto" w:fill="FFFFFF" w:themeFill="background1"/>
            <w:noWrap/>
            <w:vAlign w:val="center"/>
          </w:tcPr>
          <w:p w14:paraId="33AFB85B" w14:textId="18FD98B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28</w:t>
            </w:r>
          </w:p>
        </w:tc>
        <w:tc>
          <w:tcPr>
            <w:tcW w:w="7001" w:type="dxa"/>
            <w:shd w:val="clear" w:color="auto" w:fill="FFFFFF" w:themeFill="background1"/>
            <w:noWrap/>
            <w:vAlign w:val="center"/>
          </w:tcPr>
          <w:p w14:paraId="77404C5A" w14:textId="53D912FA"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Red Nacional de Caminos</w:t>
            </w:r>
          </w:p>
        </w:tc>
        <w:tc>
          <w:tcPr>
            <w:tcW w:w="1995" w:type="dxa"/>
            <w:shd w:val="clear" w:color="auto" w:fill="FFFFFF" w:themeFill="background1"/>
            <w:vAlign w:val="center"/>
          </w:tcPr>
          <w:p w14:paraId="78BE1BF7" w14:textId="49B9E0E1"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NTMG</w:t>
            </w:r>
          </w:p>
        </w:tc>
      </w:tr>
      <w:tr w:rsidR="00AB5FDF" w:rsidRPr="009A501D" w14:paraId="2DA2F14D" w14:textId="77777777" w:rsidTr="006C410E">
        <w:trPr>
          <w:trHeight w:val="284"/>
          <w:jc w:val="center"/>
        </w:trPr>
        <w:tc>
          <w:tcPr>
            <w:tcW w:w="626" w:type="dxa"/>
            <w:shd w:val="clear" w:color="auto" w:fill="FFFFFF" w:themeFill="background1"/>
            <w:noWrap/>
            <w:vAlign w:val="center"/>
          </w:tcPr>
          <w:p w14:paraId="3658DD0E" w14:textId="7AF4EC54"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29</w:t>
            </w:r>
          </w:p>
        </w:tc>
        <w:tc>
          <w:tcPr>
            <w:tcW w:w="7001" w:type="dxa"/>
            <w:shd w:val="clear" w:color="auto" w:fill="FFFFFF" w:themeFill="background1"/>
            <w:noWrap/>
            <w:vAlign w:val="center"/>
          </w:tcPr>
          <w:p w14:paraId="0A252048" w14:textId="211B557E"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Topográfica escala 1: 50 000</w:t>
            </w:r>
          </w:p>
        </w:tc>
        <w:tc>
          <w:tcPr>
            <w:tcW w:w="1995" w:type="dxa"/>
            <w:shd w:val="clear" w:color="auto" w:fill="FFFFFF" w:themeFill="background1"/>
            <w:vAlign w:val="center"/>
          </w:tcPr>
          <w:p w14:paraId="4D54147E" w14:textId="30AB89BB"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NTMG</w:t>
            </w:r>
          </w:p>
        </w:tc>
      </w:tr>
      <w:tr w:rsidR="00AB5FDF" w:rsidRPr="009A501D" w14:paraId="7F5E7965" w14:textId="77777777" w:rsidTr="00BA45BB">
        <w:trPr>
          <w:trHeight w:val="284"/>
          <w:jc w:val="center"/>
        </w:trPr>
        <w:tc>
          <w:tcPr>
            <w:tcW w:w="626" w:type="dxa"/>
            <w:shd w:val="clear" w:color="auto" w:fill="FFFFFF" w:themeFill="background1"/>
            <w:noWrap/>
            <w:vAlign w:val="center"/>
          </w:tcPr>
          <w:p w14:paraId="5F0FF468" w14:textId="3FCFA54C"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30</w:t>
            </w:r>
          </w:p>
        </w:tc>
        <w:tc>
          <w:tcPr>
            <w:tcW w:w="7001" w:type="dxa"/>
            <w:shd w:val="clear" w:color="auto" w:fill="FFFFFF" w:themeFill="background1"/>
            <w:noWrap/>
            <w:vAlign w:val="center"/>
          </w:tcPr>
          <w:p w14:paraId="02202708" w14:textId="1C0530B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Información de la Carta de Uso de Suelo y Vegetación escala 1:250 000</w:t>
            </w:r>
          </w:p>
        </w:tc>
        <w:tc>
          <w:tcPr>
            <w:tcW w:w="1995" w:type="dxa"/>
            <w:shd w:val="clear" w:color="auto" w:fill="FFFFFF" w:themeFill="background1"/>
            <w:vAlign w:val="center"/>
          </w:tcPr>
          <w:p w14:paraId="26860AF1" w14:textId="0E29FF93" w:rsidR="00AB5FDF" w:rsidRPr="009A501D" w:rsidRDefault="00AB5FDF" w:rsidP="00AB5FDF">
            <w:pPr>
              <w:rPr>
                <w:rFonts w:ascii="Century Gothic" w:hAnsi="Century Gothic" w:cstheme="minorHAnsi"/>
                <w:sz w:val="16"/>
                <w:szCs w:val="16"/>
              </w:rPr>
            </w:pPr>
            <w:r w:rsidRPr="009A501D">
              <w:rPr>
                <w:rFonts w:ascii="Century Gothic" w:hAnsi="Century Gothic" w:cs="Calibri"/>
                <w:color w:val="000000"/>
                <w:sz w:val="16"/>
                <w:szCs w:val="16"/>
              </w:rPr>
              <w:t>NTMG</w:t>
            </w:r>
          </w:p>
        </w:tc>
      </w:tr>
    </w:tbl>
    <w:p w14:paraId="3B1271FA" w14:textId="77777777" w:rsidR="002D6114" w:rsidRPr="009A501D" w:rsidRDefault="00E84485" w:rsidP="00664A1D">
      <w:pPr>
        <w:spacing w:before="240"/>
        <w:jc w:val="both"/>
        <w:rPr>
          <w:rFonts w:ascii="Century Gothic" w:hAnsi="Century Gothic"/>
          <w:sz w:val="19"/>
          <w:szCs w:val="19"/>
        </w:rPr>
      </w:pPr>
      <w:r w:rsidRPr="009A501D">
        <w:rPr>
          <w:rFonts w:ascii="Century Gothic" w:hAnsi="Century Gothic"/>
          <w:sz w:val="19"/>
          <w:szCs w:val="19"/>
        </w:rPr>
        <w:t xml:space="preserve">Dada la diversidad de métodos de generación de información, resulta necesaria la definición de una especificación institucional de metadatos que permita la integración y homologación de la descripción de las características conceptuales, metodológicas y de calidad de la información estadística </w:t>
      </w:r>
      <w:r w:rsidR="00E82828" w:rsidRPr="009A501D">
        <w:rPr>
          <w:rFonts w:ascii="Century Gothic" w:hAnsi="Century Gothic"/>
          <w:sz w:val="19"/>
          <w:szCs w:val="19"/>
        </w:rPr>
        <w:t>y</w:t>
      </w:r>
      <w:r w:rsidRPr="009A501D">
        <w:rPr>
          <w:rFonts w:ascii="Century Gothic" w:hAnsi="Century Gothic"/>
          <w:sz w:val="19"/>
          <w:szCs w:val="19"/>
        </w:rPr>
        <w:t xml:space="preserve"> geográfica</w:t>
      </w:r>
      <w:r w:rsidR="00E82828" w:rsidRPr="009A501D">
        <w:rPr>
          <w:rFonts w:ascii="Century Gothic" w:hAnsi="Century Gothic"/>
          <w:sz w:val="19"/>
          <w:szCs w:val="19"/>
        </w:rPr>
        <w:t>, aplicable a todos los métodos de generación</w:t>
      </w:r>
      <w:r w:rsidRPr="009A501D">
        <w:rPr>
          <w:rFonts w:ascii="Century Gothic" w:hAnsi="Century Gothic"/>
          <w:sz w:val="19"/>
          <w:szCs w:val="19"/>
        </w:rPr>
        <w:t>.</w:t>
      </w:r>
      <w:r w:rsidR="0051423B" w:rsidRPr="009A501D">
        <w:rPr>
          <w:rFonts w:ascii="Century Gothic" w:hAnsi="Century Gothic"/>
          <w:sz w:val="19"/>
          <w:szCs w:val="19"/>
        </w:rPr>
        <w:t xml:space="preserve"> </w:t>
      </w:r>
    </w:p>
    <w:p w14:paraId="0B8DF6BC" w14:textId="1A556F3D" w:rsidR="00734CA9" w:rsidRPr="009A501D" w:rsidRDefault="00E84485" w:rsidP="00AE5FA2">
      <w:pPr>
        <w:spacing w:before="40" w:after="40"/>
        <w:jc w:val="both"/>
        <w:rPr>
          <w:rFonts w:ascii="Century Gothic" w:hAnsi="Century Gothic"/>
          <w:sz w:val="19"/>
          <w:szCs w:val="19"/>
        </w:rPr>
      </w:pPr>
      <w:r w:rsidRPr="009A501D">
        <w:rPr>
          <w:rFonts w:ascii="Century Gothic" w:hAnsi="Century Gothic"/>
          <w:sz w:val="19"/>
          <w:szCs w:val="19"/>
        </w:rPr>
        <w:t xml:space="preserve">En este sentido, la estrategia institucional de gestión de metadatos incluye tanto la actualización de la </w:t>
      </w:r>
      <w:r w:rsidRPr="009A501D">
        <w:rPr>
          <w:rFonts w:ascii="Century Gothic" w:hAnsi="Century Gothic"/>
          <w:i/>
          <w:iCs/>
          <w:sz w:val="19"/>
          <w:szCs w:val="19"/>
        </w:rPr>
        <w:t xml:space="preserve">Norma Técnica para la Elaboración de </w:t>
      </w:r>
      <w:r w:rsidRPr="009A501D">
        <w:rPr>
          <w:rFonts w:ascii="Century Gothic" w:hAnsi="Century Gothic"/>
          <w:i/>
          <w:sz w:val="19"/>
          <w:szCs w:val="19"/>
        </w:rPr>
        <w:t>Metadatos</w:t>
      </w:r>
      <w:r w:rsidR="00B37403" w:rsidRPr="009A501D">
        <w:rPr>
          <w:rFonts w:ascii="Century Gothic" w:hAnsi="Century Gothic"/>
          <w:i/>
          <w:iCs/>
          <w:sz w:val="19"/>
          <w:szCs w:val="19"/>
        </w:rPr>
        <w:t xml:space="preserve"> para Proyectos de Generación de Información Estadística Básica</w:t>
      </w:r>
      <w:r w:rsidRPr="009A501D">
        <w:rPr>
          <w:rFonts w:ascii="Century Gothic" w:hAnsi="Century Gothic"/>
          <w:sz w:val="19"/>
          <w:szCs w:val="19"/>
        </w:rPr>
        <w:t xml:space="preserve">, como </w:t>
      </w:r>
      <w:r w:rsidR="00DC2952" w:rsidRPr="009A501D">
        <w:rPr>
          <w:rFonts w:ascii="Century Gothic" w:hAnsi="Century Gothic"/>
          <w:sz w:val="19"/>
          <w:szCs w:val="19"/>
        </w:rPr>
        <w:t>d</w:t>
      </w:r>
      <w:r w:rsidRPr="009A501D">
        <w:rPr>
          <w:rFonts w:ascii="Century Gothic" w:hAnsi="Century Gothic"/>
          <w:sz w:val="19"/>
          <w:szCs w:val="19"/>
        </w:rPr>
        <w:t>el desarrollo del Sistema Integrador de Metadatos (SIM)</w:t>
      </w:r>
      <w:r w:rsidR="00AE5FA2" w:rsidRPr="009A501D">
        <w:rPr>
          <w:rFonts w:ascii="Century Gothic" w:hAnsi="Century Gothic"/>
          <w:sz w:val="19"/>
          <w:szCs w:val="19"/>
        </w:rPr>
        <w:t>,</w:t>
      </w:r>
      <w:r w:rsidRPr="009A501D">
        <w:rPr>
          <w:rFonts w:ascii="Century Gothic" w:hAnsi="Century Gothic"/>
          <w:sz w:val="19"/>
          <w:szCs w:val="19"/>
        </w:rPr>
        <w:t xml:space="preserve"> que permitirá </w:t>
      </w:r>
      <w:r w:rsidR="00AE5FA2" w:rsidRPr="009A501D">
        <w:rPr>
          <w:rFonts w:ascii="Century Gothic" w:hAnsi="Century Gothic"/>
          <w:sz w:val="19"/>
          <w:szCs w:val="19"/>
        </w:rPr>
        <w:t>la</w:t>
      </w:r>
      <w:r w:rsidR="00E82828" w:rsidRPr="009A501D">
        <w:rPr>
          <w:rFonts w:ascii="Century Gothic" w:hAnsi="Century Gothic"/>
          <w:sz w:val="19"/>
          <w:szCs w:val="19"/>
        </w:rPr>
        <w:t xml:space="preserve"> </w:t>
      </w:r>
      <w:r w:rsidRPr="009A501D">
        <w:rPr>
          <w:rFonts w:ascii="Century Gothic" w:hAnsi="Century Gothic"/>
          <w:sz w:val="19"/>
          <w:szCs w:val="19"/>
        </w:rPr>
        <w:t>captura, edición, transferencia, resguardo y difusión</w:t>
      </w:r>
      <w:r w:rsidR="00E82828" w:rsidRPr="009A501D">
        <w:rPr>
          <w:rFonts w:ascii="Century Gothic" w:hAnsi="Century Gothic"/>
          <w:sz w:val="19"/>
          <w:szCs w:val="19"/>
        </w:rPr>
        <w:t xml:space="preserve"> </w:t>
      </w:r>
      <w:r w:rsidR="00D715A2" w:rsidRPr="009A501D">
        <w:rPr>
          <w:rFonts w:ascii="Century Gothic" w:hAnsi="Century Gothic"/>
          <w:sz w:val="19"/>
          <w:szCs w:val="19"/>
        </w:rPr>
        <w:t xml:space="preserve">de metadatos </w:t>
      </w:r>
      <w:r w:rsidR="00E82828" w:rsidRPr="009A501D">
        <w:rPr>
          <w:rFonts w:ascii="Century Gothic" w:hAnsi="Century Gothic"/>
          <w:sz w:val="19"/>
          <w:szCs w:val="19"/>
        </w:rPr>
        <w:t>de forma consolidada</w:t>
      </w:r>
      <w:r w:rsidRPr="009A501D">
        <w:rPr>
          <w:rFonts w:ascii="Century Gothic" w:hAnsi="Century Gothic"/>
          <w:sz w:val="19"/>
          <w:szCs w:val="19"/>
        </w:rPr>
        <w:t xml:space="preserve">. A diciembre de 2022, se cuenta con el anteproyecto de la </w:t>
      </w:r>
      <w:r w:rsidRPr="009A501D">
        <w:rPr>
          <w:rFonts w:ascii="Century Gothic" w:hAnsi="Century Gothic"/>
          <w:i/>
          <w:iCs/>
          <w:sz w:val="19"/>
          <w:szCs w:val="19"/>
        </w:rPr>
        <w:t>Norma Técnica para la Elaboración de Metadatos de los Procesos de Producción de Información Estadística y Geográfica</w:t>
      </w:r>
      <w:r w:rsidRPr="009A501D">
        <w:rPr>
          <w:rFonts w:ascii="Century Gothic" w:hAnsi="Century Gothic"/>
          <w:sz w:val="19"/>
          <w:szCs w:val="19"/>
        </w:rPr>
        <w:t xml:space="preserve">, </w:t>
      </w:r>
      <w:r w:rsidR="00E82828" w:rsidRPr="009A501D">
        <w:rPr>
          <w:rFonts w:ascii="Century Gothic" w:hAnsi="Century Gothic"/>
          <w:sz w:val="19"/>
          <w:szCs w:val="19"/>
        </w:rPr>
        <w:t xml:space="preserve">con base en el cual se iniciará en 2023 </w:t>
      </w:r>
      <w:r w:rsidRPr="009A501D">
        <w:rPr>
          <w:rFonts w:ascii="Century Gothic" w:hAnsi="Century Gothic"/>
          <w:sz w:val="19"/>
          <w:szCs w:val="19"/>
        </w:rPr>
        <w:t xml:space="preserve">el </w:t>
      </w:r>
      <w:r w:rsidR="00E82828" w:rsidRPr="009A501D">
        <w:rPr>
          <w:rFonts w:ascii="Century Gothic" w:hAnsi="Century Gothic"/>
          <w:sz w:val="19"/>
          <w:szCs w:val="19"/>
        </w:rPr>
        <w:t>procedimiento de</w:t>
      </w:r>
      <w:r w:rsidR="00D715A2" w:rsidRPr="009A501D">
        <w:rPr>
          <w:rFonts w:ascii="Century Gothic" w:hAnsi="Century Gothic"/>
          <w:sz w:val="19"/>
          <w:szCs w:val="19"/>
        </w:rPr>
        <w:t xml:space="preserve"> revisión y posterior</w:t>
      </w:r>
      <w:r w:rsidR="00E82828" w:rsidRPr="009A501D">
        <w:rPr>
          <w:rFonts w:ascii="Century Gothic" w:hAnsi="Century Gothic"/>
          <w:sz w:val="19"/>
          <w:szCs w:val="19"/>
        </w:rPr>
        <w:t xml:space="preserve"> aprobación</w:t>
      </w:r>
      <w:r w:rsidR="00D715A2" w:rsidRPr="009A501D">
        <w:rPr>
          <w:rFonts w:ascii="Century Gothic" w:hAnsi="Century Gothic"/>
          <w:sz w:val="19"/>
          <w:szCs w:val="19"/>
        </w:rPr>
        <w:t>,</w:t>
      </w:r>
      <w:r w:rsidR="00E82828" w:rsidRPr="009A501D">
        <w:rPr>
          <w:rFonts w:ascii="Century Gothic" w:hAnsi="Century Gothic"/>
          <w:sz w:val="19"/>
          <w:szCs w:val="19"/>
        </w:rPr>
        <w:t xml:space="preserve"> de acuerdo con las </w:t>
      </w:r>
      <w:r w:rsidRPr="009A501D">
        <w:rPr>
          <w:rFonts w:ascii="Century Gothic" w:hAnsi="Century Gothic"/>
          <w:i/>
          <w:sz w:val="19"/>
          <w:szCs w:val="19"/>
        </w:rPr>
        <w:t xml:space="preserve">Reglas para </w:t>
      </w:r>
      <w:r w:rsidR="00977CE4" w:rsidRPr="009A501D">
        <w:rPr>
          <w:rFonts w:ascii="Century Gothic" w:hAnsi="Century Gothic"/>
          <w:i/>
          <w:iCs/>
          <w:sz w:val="19"/>
          <w:szCs w:val="19"/>
        </w:rPr>
        <w:t>E</w:t>
      </w:r>
      <w:r w:rsidRPr="009A501D">
        <w:rPr>
          <w:rFonts w:ascii="Century Gothic" w:hAnsi="Century Gothic"/>
          <w:i/>
          <w:iCs/>
          <w:sz w:val="19"/>
          <w:szCs w:val="19"/>
        </w:rPr>
        <w:t>stablecer</w:t>
      </w:r>
      <w:r w:rsidRPr="009A501D">
        <w:rPr>
          <w:rFonts w:ascii="Century Gothic" w:hAnsi="Century Gothic"/>
          <w:i/>
          <w:sz w:val="19"/>
          <w:szCs w:val="19"/>
        </w:rPr>
        <w:t xml:space="preserve"> la Normativ</w:t>
      </w:r>
      <w:r w:rsidR="00E82828" w:rsidRPr="009A501D">
        <w:rPr>
          <w:rFonts w:ascii="Century Gothic" w:hAnsi="Century Gothic"/>
          <w:i/>
          <w:sz w:val="19"/>
          <w:szCs w:val="19"/>
        </w:rPr>
        <w:t>a</w:t>
      </w:r>
      <w:r w:rsidRPr="009A501D">
        <w:rPr>
          <w:rFonts w:ascii="Century Gothic" w:hAnsi="Century Gothic"/>
          <w:i/>
          <w:sz w:val="19"/>
          <w:szCs w:val="19"/>
        </w:rPr>
        <w:t xml:space="preserve"> del SNIEG</w:t>
      </w:r>
      <w:r w:rsidRPr="009A501D">
        <w:rPr>
          <w:rFonts w:ascii="Century Gothic" w:hAnsi="Century Gothic"/>
          <w:sz w:val="19"/>
          <w:szCs w:val="19"/>
        </w:rPr>
        <w:t>.</w:t>
      </w:r>
    </w:p>
    <w:p w14:paraId="59F40FD4" w14:textId="77777777" w:rsidR="00EC2059" w:rsidRPr="009A501D" w:rsidRDefault="00EC2059" w:rsidP="00AE5FA2">
      <w:pPr>
        <w:spacing w:before="40" w:after="40"/>
        <w:jc w:val="both"/>
        <w:rPr>
          <w:rFonts w:ascii="Century Gothic" w:hAnsi="Century Gothic"/>
          <w:sz w:val="19"/>
          <w:szCs w:val="19"/>
        </w:rPr>
      </w:pPr>
    </w:p>
    <w:p w14:paraId="45332F48" w14:textId="297E2D4B" w:rsidR="00AB39FA" w:rsidRPr="009A501D" w:rsidRDefault="006F28BF" w:rsidP="00664A1D">
      <w:pPr>
        <w:pStyle w:val="Ttulo2"/>
        <w:rPr>
          <w:rFonts w:ascii="Century Gothic" w:eastAsiaTheme="minorEastAsia" w:hAnsi="Century Gothic" w:cstheme="minorBidi"/>
          <w:color w:val="0079BF"/>
          <w:sz w:val="24"/>
          <w:szCs w:val="24"/>
        </w:rPr>
      </w:pPr>
      <w:bookmarkStart w:id="14" w:name="_Toc131161800"/>
      <w:r w:rsidRPr="009A501D">
        <w:rPr>
          <w:rFonts w:ascii="Century Gothic" w:eastAsiaTheme="minorEastAsia" w:hAnsi="Century Gothic" w:cstheme="minorBidi"/>
          <w:color w:val="0079BF"/>
          <w:sz w:val="24"/>
          <w:szCs w:val="24"/>
        </w:rPr>
        <w:lastRenderedPageBreak/>
        <w:t xml:space="preserve">III.4. </w:t>
      </w:r>
      <w:r w:rsidR="0004252C" w:rsidRPr="009A501D">
        <w:rPr>
          <w:rFonts w:ascii="Century Gothic" w:eastAsiaTheme="minorEastAsia" w:hAnsi="Century Gothic" w:cstheme="minorBidi"/>
          <w:color w:val="0079BF"/>
          <w:sz w:val="24"/>
          <w:szCs w:val="24"/>
        </w:rPr>
        <w:t>Indicadores de puntualidad</w:t>
      </w:r>
      <w:bookmarkEnd w:id="14"/>
      <w:r w:rsidR="006060C8" w:rsidRPr="009A501D">
        <w:rPr>
          <w:rFonts w:ascii="Century Gothic" w:eastAsiaTheme="minorEastAsia" w:hAnsi="Century Gothic" w:cstheme="minorBidi"/>
          <w:color w:val="0079BF"/>
          <w:sz w:val="24"/>
          <w:szCs w:val="24"/>
        </w:rPr>
        <w:t xml:space="preserve"> </w:t>
      </w:r>
    </w:p>
    <w:p w14:paraId="1F06A67C" w14:textId="2C6C9C4E" w:rsidR="00440D4B" w:rsidRPr="009A501D" w:rsidRDefault="003F4035" w:rsidP="005654C4">
      <w:pPr>
        <w:spacing w:before="40" w:after="40"/>
        <w:jc w:val="both"/>
        <w:rPr>
          <w:rFonts w:ascii="Century Gothic" w:hAnsi="Century Gothic"/>
          <w:sz w:val="19"/>
          <w:szCs w:val="19"/>
        </w:rPr>
      </w:pPr>
      <w:r w:rsidRPr="009A501D">
        <w:rPr>
          <w:rFonts w:ascii="Century Gothic" w:eastAsia="Calibri" w:hAnsi="Century Gothic"/>
          <w:spacing w:val="-1"/>
          <w:sz w:val="19"/>
          <w:szCs w:val="19"/>
        </w:rPr>
        <w:t xml:space="preserve">La puntualidad consiste en diseminar la información conforme a un calendario previamente establecido. La </w:t>
      </w:r>
      <w:r w:rsidR="007E756A" w:rsidRPr="009A501D">
        <w:rPr>
          <w:rFonts w:ascii="Century Gothic" w:eastAsia="Calibri" w:hAnsi="Century Gothic"/>
          <w:spacing w:val="-1"/>
          <w:sz w:val="19"/>
          <w:szCs w:val="19"/>
        </w:rPr>
        <w:t xml:space="preserve">Ley del </w:t>
      </w:r>
      <w:r w:rsidRPr="009A501D">
        <w:rPr>
          <w:rFonts w:ascii="Century Gothic" w:eastAsia="Calibri" w:hAnsi="Century Gothic"/>
          <w:spacing w:val="-1"/>
          <w:sz w:val="19"/>
          <w:szCs w:val="19"/>
        </w:rPr>
        <w:t>SNIEG</w:t>
      </w:r>
      <w:r w:rsidR="00DC2952" w:rsidRPr="009A501D">
        <w:rPr>
          <w:rFonts w:ascii="Century Gothic" w:eastAsia="Calibri" w:hAnsi="Century Gothic"/>
          <w:spacing w:val="-1"/>
          <w:sz w:val="19"/>
          <w:szCs w:val="19"/>
        </w:rPr>
        <w:t xml:space="preserve"> en la fracción XI del artículo 77,</w:t>
      </w:r>
      <w:r w:rsidRPr="009A501D">
        <w:rPr>
          <w:rFonts w:ascii="Century Gothic" w:eastAsia="Calibri" w:hAnsi="Century Gothic"/>
          <w:spacing w:val="-1"/>
          <w:sz w:val="19"/>
          <w:szCs w:val="19"/>
        </w:rPr>
        <w:t xml:space="preserve"> establece que en el mes de diciembre de cada año la Junta de Gobierno</w:t>
      </w:r>
      <w:r w:rsidRPr="009A501D">
        <w:rPr>
          <w:rFonts w:ascii="Century Gothic" w:hAnsi="Century Gothic"/>
          <w:sz w:val="19"/>
          <w:szCs w:val="19"/>
        </w:rPr>
        <w:t xml:space="preserve"> </w:t>
      </w:r>
      <w:r w:rsidR="005931FF" w:rsidRPr="009A501D">
        <w:rPr>
          <w:rFonts w:ascii="Century Gothic" w:hAnsi="Century Gothic"/>
          <w:sz w:val="19"/>
          <w:szCs w:val="19"/>
        </w:rPr>
        <w:t xml:space="preserve">debe aprobar </w:t>
      </w:r>
      <w:r w:rsidRPr="009A501D">
        <w:rPr>
          <w:rFonts w:ascii="Century Gothic" w:hAnsi="Century Gothic"/>
          <w:sz w:val="19"/>
          <w:szCs w:val="19"/>
        </w:rPr>
        <w:t xml:space="preserve">el Calendario de </w:t>
      </w:r>
      <w:r w:rsidR="00991C6B" w:rsidRPr="009A501D">
        <w:rPr>
          <w:rFonts w:ascii="Century Gothic" w:hAnsi="Century Gothic"/>
          <w:sz w:val="19"/>
          <w:szCs w:val="19"/>
        </w:rPr>
        <w:t>d</w:t>
      </w:r>
      <w:r w:rsidRPr="009A501D">
        <w:rPr>
          <w:rFonts w:ascii="Century Gothic" w:hAnsi="Century Gothic"/>
          <w:sz w:val="19"/>
          <w:szCs w:val="19"/>
        </w:rPr>
        <w:t>ifusión en el cual se establece la fecha y hora de publicación de la información estadística</w:t>
      </w:r>
      <w:r w:rsidR="00991C6B" w:rsidRPr="009A501D">
        <w:rPr>
          <w:rFonts w:ascii="Century Gothic" w:hAnsi="Century Gothic"/>
          <w:sz w:val="19"/>
          <w:szCs w:val="19"/>
        </w:rPr>
        <w:t>,</w:t>
      </w:r>
      <w:r w:rsidRPr="009A501D">
        <w:rPr>
          <w:rFonts w:ascii="Century Gothic" w:hAnsi="Century Gothic"/>
          <w:sz w:val="19"/>
          <w:szCs w:val="19"/>
        </w:rPr>
        <w:t xml:space="preserve"> geográfica </w:t>
      </w:r>
      <w:r w:rsidR="00991C6B" w:rsidRPr="009A501D">
        <w:rPr>
          <w:rFonts w:ascii="Century Gothic" w:hAnsi="Century Gothic"/>
          <w:sz w:val="19"/>
          <w:szCs w:val="19"/>
        </w:rPr>
        <w:t xml:space="preserve">y de Interés Nacional </w:t>
      </w:r>
      <w:r w:rsidRPr="009A501D">
        <w:rPr>
          <w:rFonts w:ascii="Century Gothic" w:hAnsi="Century Gothic"/>
          <w:sz w:val="19"/>
          <w:szCs w:val="19"/>
        </w:rPr>
        <w:t xml:space="preserve">para el año siguiente. </w:t>
      </w:r>
      <w:r w:rsidR="00474DDC" w:rsidRPr="009A501D">
        <w:rPr>
          <w:rFonts w:ascii="Century Gothic" w:hAnsi="Century Gothic"/>
          <w:sz w:val="19"/>
          <w:szCs w:val="19"/>
        </w:rPr>
        <w:t xml:space="preserve">El </w:t>
      </w:r>
      <w:r w:rsidR="00991C6B" w:rsidRPr="009A501D">
        <w:rPr>
          <w:rFonts w:ascii="Century Gothic" w:hAnsi="Century Gothic"/>
          <w:sz w:val="19"/>
          <w:szCs w:val="19"/>
        </w:rPr>
        <w:t>C</w:t>
      </w:r>
      <w:r w:rsidRPr="009A501D">
        <w:rPr>
          <w:rFonts w:ascii="Century Gothic" w:hAnsi="Century Gothic"/>
          <w:sz w:val="19"/>
          <w:szCs w:val="19"/>
        </w:rPr>
        <w:t xml:space="preserve">alendario </w:t>
      </w:r>
      <w:r w:rsidR="00991C6B" w:rsidRPr="009A501D">
        <w:rPr>
          <w:rFonts w:ascii="Century Gothic" w:hAnsi="Century Gothic"/>
          <w:sz w:val="19"/>
          <w:szCs w:val="19"/>
        </w:rPr>
        <w:t xml:space="preserve">de difusión </w:t>
      </w:r>
      <w:r w:rsidRPr="009A501D">
        <w:rPr>
          <w:rFonts w:ascii="Century Gothic" w:hAnsi="Century Gothic"/>
          <w:sz w:val="19"/>
          <w:szCs w:val="19"/>
        </w:rPr>
        <w:t xml:space="preserve">se distribuye vía correo electrónico a </w:t>
      </w:r>
      <w:r w:rsidR="005654C4" w:rsidRPr="009A501D">
        <w:rPr>
          <w:rFonts w:ascii="Century Gothic" w:hAnsi="Century Gothic"/>
          <w:sz w:val="19"/>
          <w:szCs w:val="19"/>
        </w:rPr>
        <w:t xml:space="preserve">las </w:t>
      </w:r>
      <w:r w:rsidR="006D1623">
        <w:rPr>
          <w:rFonts w:ascii="Century Gothic" w:hAnsi="Century Gothic"/>
          <w:sz w:val="19"/>
          <w:szCs w:val="19"/>
        </w:rPr>
        <w:t>personas</w:t>
      </w:r>
      <w:r w:rsidR="005654C4" w:rsidRPr="009A501D">
        <w:rPr>
          <w:rFonts w:ascii="Century Gothic" w:hAnsi="Century Gothic"/>
          <w:sz w:val="19"/>
          <w:szCs w:val="19"/>
        </w:rPr>
        <w:t xml:space="preserve"> </w:t>
      </w:r>
      <w:r w:rsidRPr="009A501D">
        <w:rPr>
          <w:rFonts w:ascii="Century Gothic" w:hAnsi="Century Gothic"/>
          <w:sz w:val="19"/>
          <w:szCs w:val="19"/>
        </w:rPr>
        <w:t>usuari</w:t>
      </w:r>
      <w:r w:rsidR="006D1623">
        <w:rPr>
          <w:rFonts w:ascii="Century Gothic" w:hAnsi="Century Gothic"/>
          <w:sz w:val="19"/>
          <w:szCs w:val="19"/>
        </w:rPr>
        <w:t>a</w:t>
      </w:r>
      <w:r w:rsidRPr="009A501D">
        <w:rPr>
          <w:rFonts w:ascii="Century Gothic" w:hAnsi="Century Gothic"/>
          <w:sz w:val="19"/>
          <w:szCs w:val="19"/>
        </w:rPr>
        <w:t>s estratégic</w:t>
      </w:r>
      <w:r w:rsidR="006D1623">
        <w:rPr>
          <w:rFonts w:ascii="Century Gothic" w:hAnsi="Century Gothic"/>
          <w:sz w:val="19"/>
          <w:szCs w:val="19"/>
        </w:rPr>
        <w:t>a</w:t>
      </w:r>
      <w:r w:rsidRPr="009A501D">
        <w:rPr>
          <w:rFonts w:ascii="Century Gothic" w:hAnsi="Century Gothic"/>
          <w:sz w:val="19"/>
          <w:szCs w:val="19"/>
        </w:rPr>
        <w:t>s</w:t>
      </w:r>
      <w:r w:rsidR="005654C4" w:rsidRPr="009A501D">
        <w:rPr>
          <w:rFonts w:ascii="Century Gothic" w:hAnsi="Century Gothic"/>
          <w:sz w:val="19"/>
          <w:szCs w:val="19"/>
        </w:rPr>
        <w:t>, tales</w:t>
      </w:r>
      <w:r w:rsidR="00474DDC" w:rsidRPr="009A501D">
        <w:rPr>
          <w:rFonts w:ascii="Century Gothic" w:hAnsi="Century Gothic"/>
          <w:sz w:val="19"/>
          <w:szCs w:val="19"/>
        </w:rPr>
        <w:t xml:space="preserve"> como</w:t>
      </w:r>
      <w:r w:rsidRPr="009A501D">
        <w:rPr>
          <w:rFonts w:ascii="Century Gothic" w:hAnsi="Century Gothic"/>
          <w:sz w:val="19"/>
          <w:szCs w:val="19"/>
        </w:rPr>
        <w:t xml:space="preserve"> periodistas, analistas, </w:t>
      </w:r>
      <w:r w:rsidR="00474DDC" w:rsidRPr="009A501D">
        <w:rPr>
          <w:rFonts w:ascii="Century Gothic" w:hAnsi="Century Gothic"/>
          <w:sz w:val="19"/>
          <w:szCs w:val="19"/>
        </w:rPr>
        <w:t xml:space="preserve">y </w:t>
      </w:r>
      <w:r w:rsidRPr="009A501D">
        <w:rPr>
          <w:rFonts w:ascii="Century Gothic" w:hAnsi="Century Gothic"/>
          <w:sz w:val="19"/>
          <w:szCs w:val="19"/>
        </w:rPr>
        <w:t>tomadores de decisiones, entre otros</w:t>
      </w:r>
      <w:r w:rsidR="0047766B" w:rsidRPr="009A501D">
        <w:rPr>
          <w:rFonts w:ascii="Century Gothic" w:hAnsi="Century Gothic"/>
          <w:sz w:val="19"/>
          <w:szCs w:val="19"/>
        </w:rPr>
        <w:t>,</w:t>
      </w:r>
      <w:r w:rsidRPr="009A501D">
        <w:rPr>
          <w:rFonts w:ascii="Century Gothic" w:hAnsi="Century Gothic"/>
          <w:sz w:val="19"/>
          <w:szCs w:val="19"/>
        </w:rPr>
        <w:t xml:space="preserve"> </w:t>
      </w:r>
      <w:r w:rsidR="00E6048E" w:rsidRPr="009A501D">
        <w:rPr>
          <w:rFonts w:ascii="Century Gothic" w:hAnsi="Century Gothic"/>
          <w:sz w:val="19"/>
          <w:szCs w:val="19"/>
        </w:rPr>
        <w:t>a</w:t>
      </w:r>
      <w:r w:rsidRPr="009A501D">
        <w:rPr>
          <w:rFonts w:ascii="Century Gothic" w:hAnsi="Century Gothic"/>
          <w:sz w:val="19"/>
          <w:szCs w:val="19"/>
        </w:rPr>
        <w:t>demás</w:t>
      </w:r>
      <w:r w:rsidR="00E6048E" w:rsidRPr="009A501D">
        <w:rPr>
          <w:rFonts w:ascii="Century Gothic" w:hAnsi="Century Gothic"/>
          <w:sz w:val="19"/>
          <w:szCs w:val="19"/>
        </w:rPr>
        <w:t xml:space="preserve"> de ser publicado </w:t>
      </w:r>
      <w:r w:rsidRPr="009A501D">
        <w:rPr>
          <w:rFonts w:ascii="Century Gothic" w:hAnsi="Century Gothic"/>
          <w:sz w:val="19"/>
          <w:szCs w:val="19"/>
        </w:rPr>
        <w:t xml:space="preserve">en </w:t>
      </w:r>
      <w:r w:rsidR="005654C4" w:rsidRPr="009A501D">
        <w:rPr>
          <w:rFonts w:ascii="Century Gothic" w:hAnsi="Century Gothic"/>
          <w:sz w:val="19"/>
          <w:szCs w:val="19"/>
        </w:rPr>
        <w:t>la página</w:t>
      </w:r>
      <w:r w:rsidRPr="009A501D">
        <w:rPr>
          <w:rFonts w:ascii="Century Gothic" w:hAnsi="Century Gothic"/>
          <w:sz w:val="19"/>
          <w:szCs w:val="19"/>
        </w:rPr>
        <w:t xml:space="preserve"> del INEGI</w:t>
      </w:r>
      <w:r w:rsidR="00E6048E" w:rsidRPr="009A501D">
        <w:rPr>
          <w:rFonts w:ascii="Century Gothic" w:hAnsi="Century Gothic"/>
          <w:sz w:val="19"/>
          <w:szCs w:val="19"/>
        </w:rPr>
        <w:t>. Este</w:t>
      </w:r>
      <w:r w:rsidRPr="009A501D">
        <w:rPr>
          <w:rFonts w:ascii="Century Gothic" w:hAnsi="Century Gothic"/>
          <w:sz w:val="19"/>
          <w:szCs w:val="19"/>
        </w:rPr>
        <w:t xml:space="preserve"> se revisa de manera semestral por la Junta de Gobierno del Instituto.</w:t>
      </w:r>
      <w:r w:rsidR="005654C4" w:rsidRPr="009A501D">
        <w:rPr>
          <w:rFonts w:ascii="Century Gothic" w:hAnsi="Century Gothic"/>
          <w:sz w:val="19"/>
          <w:szCs w:val="19"/>
        </w:rPr>
        <w:t xml:space="preserve"> </w:t>
      </w:r>
    </w:p>
    <w:p w14:paraId="5174687C" w14:textId="5BC28918" w:rsidR="003F4035" w:rsidRPr="009A501D" w:rsidRDefault="003F4035" w:rsidP="00664A1D">
      <w:pPr>
        <w:spacing w:before="240" w:after="40"/>
        <w:jc w:val="both"/>
        <w:rPr>
          <w:rFonts w:ascii="Century Gothic" w:hAnsi="Century Gothic"/>
          <w:sz w:val="19"/>
          <w:szCs w:val="19"/>
        </w:rPr>
      </w:pPr>
      <w:r w:rsidRPr="009A501D">
        <w:rPr>
          <w:rFonts w:ascii="Century Gothic" w:hAnsi="Century Gothic"/>
          <w:sz w:val="19"/>
          <w:szCs w:val="19"/>
        </w:rPr>
        <w:t>En 2022</w:t>
      </w:r>
      <w:r w:rsidR="005654C4" w:rsidRPr="009A501D">
        <w:rPr>
          <w:rFonts w:ascii="Century Gothic" w:hAnsi="Century Gothic"/>
          <w:sz w:val="19"/>
          <w:szCs w:val="19"/>
        </w:rPr>
        <w:t>,</w:t>
      </w:r>
      <w:r w:rsidRPr="009A501D">
        <w:rPr>
          <w:rFonts w:ascii="Century Gothic" w:hAnsi="Century Gothic"/>
          <w:sz w:val="19"/>
          <w:szCs w:val="19"/>
        </w:rPr>
        <w:t xml:space="preserve"> el </w:t>
      </w:r>
      <w:r w:rsidR="00991C6B" w:rsidRPr="009A501D">
        <w:rPr>
          <w:rFonts w:ascii="Century Gothic" w:hAnsi="Century Gothic"/>
          <w:sz w:val="19"/>
          <w:szCs w:val="19"/>
        </w:rPr>
        <w:t>C</w:t>
      </w:r>
      <w:r w:rsidRPr="009A501D">
        <w:rPr>
          <w:rFonts w:ascii="Century Gothic" w:hAnsi="Century Gothic"/>
          <w:sz w:val="19"/>
          <w:szCs w:val="19"/>
        </w:rPr>
        <w:t>alendario incluyó el 97% de la</w:t>
      </w:r>
      <w:r w:rsidR="00991C6B" w:rsidRPr="009A501D">
        <w:rPr>
          <w:rFonts w:ascii="Century Gothic" w:hAnsi="Century Gothic"/>
          <w:sz w:val="19"/>
          <w:szCs w:val="19"/>
        </w:rPr>
        <w:t xml:space="preserve"> </w:t>
      </w:r>
      <w:r w:rsidR="00D823E3" w:rsidRPr="009A501D">
        <w:rPr>
          <w:rFonts w:ascii="Century Gothic" w:hAnsi="Century Gothic"/>
          <w:sz w:val="19"/>
          <w:szCs w:val="19"/>
        </w:rPr>
        <w:t>información</w:t>
      </w:r>
      <w:r w:rsidR="00991C6B" w:rsidRPr="009A501D">
        <w:rPr>
          <w:rFonts w:ascii="Century Gothic" w:hAnsi="Century Gothic"/>
          <w:sz w:val="19"/>
          <w:szCs w:val="19"/>
        </w:rPr>
        <w:t xml:space="preserve"> publicad</w:t>
      </w:r>
      <w:r w:rsidR="00D823E3" w:rsidRPr="009A501D">
        <w:rPr>
          <w:rFonts w:ascii="Century Gothic" w:hAnsi="Century Gothic"/>
          <w:sz w:val="19"/>
          <w:szCs w:val="19"/>
        </w:rPr>
        <w:t>a</w:t>
      </w:r>
      <w:r w:rsidR="00991C6B" w:rsidRPr="009A501D">
        <w:rPr>
          <w:rFonts w:ascii="Century Gothic" w:hAnsi="Century Gothic"/>
          <w:sz w:val="19"/>
          <w:szCs w:val="19"/>
        </w:rPr>
        <w:t xml:space="preserve"> en el sitio del INEGI</w:t>
      </w:r>
      <w:r w:rsidR="005C559E" w:rsidRPr="009A501D">
        <w:rPr>
          <w:rFonts w:ascii="Century Gothic" w:hAnsi="Century Gothic"/>
          <w:sz w:val="19"/>
          <w:szCs w:val="19"/>
        </w:rPr>
        <w:t xml:space="preserve">, </w:t>
      </w:r>
      <w:r w:rsidR="005A7214" w:rsidRPr="009A501D">
        <w:rPr>
          <w:rFonts w:ascii="Century Gothic" w:hAnsi="Century Gothic"/>
          <w:sz w:val="19"/>
          <w:szCs w:val="19"/>
        </w:rPr>
        <w:t xml:space="preserve">destacando que </w:t>
      </w:r>
      <w:r w:rsidR="005C559E" w:rsidRPr="009A501D">
        <w:rPr>
          <w:rFonts w:ascii="Century Gothic" w:hAnsi="Century Gothic"/>
          <w:sz w:val="19"/>
          <w:szCs w:val="19"/>
        </w:rPr>
        <w:t>el 100%</w:t>
      </w:r>
      <w:r w:rsidR="001B1189" w:rsidRPr="009A501D">
        <w:rPr>
          <w:rFonts w:ascii="Century Gothic" w:hAnsi="Century Gothic"/>
          <w:sz w:val="19"/>
          <w:szCs w:val="19"/>
        </w:rPr>
        <w:t xml:space="preserve"> de esta</w:t>
      </w:r>
      <w:r w:rsidR="00C22748" w:rsidRPr="009A501D">
        <w:rPr>
          <w:rFonts w:ascii="Century Gothic" w:hAnsi="Century Gothic"/>
          <w:sz w:val="19"/>
          <w:szCs w:val="19"/>
        </w:rPr>
        <w:t xml:space="preserve"> </w:t>
      </w:r>
      <w:r w:rsidRPr="009A501D">
        <w:rPr>
          <w:rFonts w:ascii="Century Gothic" w:hAnsi="Century Gothic"/>
          <w:sz w:val="19"/>
          <w:szCs w:val="19"/>
        </w:rPr>
        <w:t>se public</w:t>
      </w:r>
      <w:r w:rsidR="00D823E3" w:rsidRPr="009A501D">
        <w:rPr>
          <w:rFonts w:ascii="Century Gothic" w:hAnsi="Century Gothic"/>
          <w:sz w:val="19"/>
          <w:szCs w:val="19"/>
        </w:rPr>
        <w:t>ó</w:t>
      </w:r>
      <w:r w:rsidRPr="009A501D">
        <w:rPr>
          <w:rFonts w:ascii="Century Gothic" w:hAnsi="Century Gothic"/>
          <w:sz w:val="19"/>
          <w:szCs w:val="19"/>
        </w:rPr>
        <w:t xml:space="preserve"> a tiempo (ver cuadro III.4.1).</w:t>
      </w:r>
      <w:r w:rsidR="009279A9" w:rsidRPr="009A501D">
        <w:rPr>
          <w:rFonts w:ascii="Century Gothic" w:hAnsi="Century Gothic"/>
          <w:sz w:val="19"/>
          <w:szCs w:val="19"/>
        </w:rPr>
        <w:t xml:space="preserve">  El 3% restante corresponde a </w:t>
      </w:r>
      <w:r w:rsidR="00C466C9" w:rsidRPr="009A501D">
        <w:rPr>
          <w:rFonts w:ascii="Century Gothic" w:hAnsi="Century Gothic"/>
          <w:sz w:val="19"/>
          <w:szCs w:val="19"/>
        </w:rPr>
        <w:t xml:space="preserve">21 </w:t>
      </w:r>
      <w:r w:rsidR="00F02AF7" w:rsidRPr="009A501D">
        <w:rPr>
          <w:rFonts w:ascii="Century Gothic" w:hAnsi="Century Gothic"/>
          <w:sz w:val="19"/>
          <w:szCs w:val="19"/>
        </w:rPr>
        <w:t xml:space="preserve">publicaciones </w:t>
      </w:r>
      <w:r w:rsidR="00BC1486" w:rsidRPr="009A501D">
        <w:rPr>
          <w:rFonts w:ascii="Century Gothic" w:hAnsi="Century Gothic"/>
          <w:sz w:val="19"/>
          <w:szCs w:val="19"/>
        </w:rPr>
        <w:t xml:space="preserve">que </w:t>
      </w:r>
      <w:r w:rsidR="00493F80" w:rsidRPr="009A501D">
        <w:rPr>
          <w:rFonts w:ascii="Century Gothic" w:hAnsi="Century Gothic"/>
          <w:sz w:val="19"/>
          <w:szCs w:val="19"/>
        </w:rPr>
        <w:t xml:space="preserve">no se incorporaron al </w:t>
      </w:r>
      <w:r w:rsidR="00397FA5" w:rsidRPr="009A501D">
        <w:rPr>
          <w:rFonts w:ascii="Century Gothic" w:hAnsi="Century Gothic"/>
          <w:sz w:val="19"/>
          <w:szCs w:val="19"/>
        </w:rPr>
        <w:t>C</w:t>
      </w:r>
      <w:r w:rsidR="00493F80" w:rsidRPr="009A501D">
        <w:rPr>
          <w:rFonts w:ascii="Century Gothic" w:hAnsi="Century Gothic"/>
          <w:sz w:val="19"/>
          <w:szCs w:val="19"/>
        </w:rPr>
        <w:t>alendari</w:t>
      </w:r>
      <w:r w:rsidR="00397FA5" w:rsidRPr="009A501D">
        <w:rPr>
          <w:rFonts w:ascii="Century Gothic" w:hAnsi="Century Gothic"/>
          <w:sz w:val="19"/>
          <w:szCs w:val="19"/>
        </w:rPr>
        <w:t>o.</w:t>
      </w:r>
    </w:p>
    <w:p w14:paraId="39DD9B68" w14:textId="4E74D822" w:rsidR="0051423B" w:rsidRPr="009A501D" w:rsidRDefault="0051423B" w:rsidP="00664A1D">
      <w:pPr>
        <w:spacing w:before="240"/>
        <w:jc w:val="center"/>
        <w:rPr>
          <w:rFonts w:ascii="Century Gothic" w:hAnsi="Century Gothic"/>
          <w:sz w:val="19"/>
          <w:szCs w:val="19"/>
        </w:rPr>
      </w:pPr>
      <w:r w:rsidRPr="009A501D">
        <w:rPr>
          <w:rFonts w:ascii="Century Gothic" w:hAnsi="Century Gothic"/>
          <w:b/>
          <w:sz w:val="19"/>
          <w:szCs w:val="19"/>
        </w:rPr>
        <w:t>III.4.1. Resultados de los indicadores de puntualidad</w:t>
      </w:r>
      <w:r w:rsidR="007A4A8F" w:rsidRPr="009A501D">
        <w:rPr>
          <w:rStyle w:val="Refdenotaalpie"/>
          <w:rFonts w:ascii="Century Gothic" w:hAnsi="Century Gothic"/>
          <w:b/>
          <w:sz w:val="19"/>
          <w:szCs w:val="19"/>
        </w:rPr>
        <w:footnoteReference w:id="7"/>
      </w:r>
    </w:p>
    <w:tbl>
      <w:tblPr>
        <w:tblW w:w="1076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377"/>
        <w:gridCol w:w="556"/>
        <w:gridCol w:w="709"/>
        <w:gridCol w:w="709"/>
        <w:gridCol w:w="709"/>
        <w:gridCol w:w="709"/>
      </w:tblGrid>
      <w:tr w:rsidR="0051423B" w:rsidRPr="009A501D" w14:paraId="0DF7BB36" w14:textId="77777777" w:rsidTr="00460BCB">
        <w:trPr>
          <w:trHeight w:val="284"/>
          <w:tblHeader/>
          <w:jc w:val="center"/>
        </w:trPr>
        <w:tc>
          <w:tcPr>
            <w:tcW w:w="7377" w:type="dxa"/>
            <w:shd w:val="clear" w:color="000000" w:fill="002060"/>
            <w:vAlign w:val="center"/>
            <w:hideMark/>
          </w:tcPr>
          <w:p w14:paraId="059FB1BD"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xml:space="preserve">Indicadores de puntualidad </w:t>
            </w:r>
          </w:p>
        </w:tc>
        <w:tc>
          <w:tcPr>
            <w:tcW w:w="556" w:type="dxa"/>
            <w:shd w:val="clear" w:color="000000" w:fill="002060"/>
            <w:vAlign w:val="center"/>
            <w:hideMark/>
          </w:tcPr>
          <w:p w14:paraId="5A7241AD"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2018</w:t>
            </w:r>
          </w:p>
        </w:tc>
        <w:tc>
          <w:tcPr>
            <w:tcW w:w="709" w:type="dxa"/>
            <w:shd w:val="clear" w:color="000000" w:fill="002060"/>
            <w:vAlign w:val="center"/>
          </w:tcPr>
          <w:p w14:paraId="6C4E7584"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2019</w:t>
            </w:r>
          </w:p>
        </w:tc>
        <w:tc>
          <w:tcPr>
            <w:tcW w:w="709" w:type="dxa"/>
            <w:shd w:val="clear" w:color="000000" w:fill="002060"/>
            <w:vAlign w:val="center"/>
          </w:tcPr>
          <w:p w14:paraId="18FF49D5"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2020</w:t>
            </w:r>
          </w:p>
        </w:tc>
        <w:tc>
          <w:tcPr>
            <w:tcW w:w="709" w:type="dxa"/>
            <w:shd w:val="clear" w:color="000000" w:fill="002060"/>
            <w:vAlign w:val="center"/>
          </w:tcPr>
          <w:p w14:paraId="14C0340B"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2021</w:t>
            </w:r>
          </w:p>
        </w:tc>
        <w:tc>
          <w:tcPr>
            <w:tcW w:w="709" w:type="dxa"/>
            <w:shd w:val="clear" w:color="000000" w:fill="002060"/>
            <w:vAlign w:val="center"/>
          </w:tcPr>
          <w:p w14:paraId="2C993E4C" w14:textId="77777777" w:rsidR="0051423B" w:rsidRPr="009A501D" w:rsidRDefault="0051423B" w:rsidP="00664A1D">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2022</w:t>
            </w:r>
          </w:p>
        </w:tc>
      </w:tr>
      <w:tr w:rsidR="0051423B" w:rsidRPr="009A501D" w14:paraId="5EF83CAA" w14:textId="77777777" w:rsidTr="00460BCB">
        <w:trPr>
          <w:trHeight w:val="284"/>
          <w:jc w:val="center"/>
        </w:trPr>
        <w:tc>
          <w:tcPr>
            <w:tcW w:w="7377" w:type="dxa"/>
            <w:shd w:val="clear" w:color="auto" w:fill="auto"/>
            <w:noWrap/>
            <w:vAlign w:val="center"/>
          </w:tcPr>
          <w:p w14:paraId="73D5B2AC" w14:textId="5BC14BC9" w:rsidR="0051423B" w:rsidRPr="009A501D" w:rsidRDefault="0051423B" w:rsidP="00664A1D">
            <w:pPr>
              <w:spacing w:after="0"/>
              <w:ind w:left="142"/>
              <w:rPr>
                <w:rFonts w:ascii="Century Gothic" w:eastAsia="Times New Roman" w:hAnsi="Century Gothic" w:cs="Calibri"/>
                <w:iCs/>
                <w:color w:val="000000"/>
                <w:sz w:val="16"/>
                <w:szCs w:val="16"/>
                <w:lang w:eastAsia="es-MX"/>
              </w:rPr>
            </w:pPr>
            <w:r w:rsidRPr="009A501D">
              <w:rPr>
                <w:rFonts w:ascii="Century Gothic" w:hAnsi="Century Gothic"/>
                <w:b/>
                <w:iCs/>
                <w:sz w:val="16"/>
                <w:szCs w:val="16"/>
              </w:rPr>
              <w:t>P1</w:t>
            </w:r>
            <w:r w:rsidRPr="009A501D">
              <w:rPr>
                <w:rFonts w:ascii="Century Gothic" w:hAnsi="Century Gothic"/>
                <w:iCs/>
                <w:sz w:val="16"/>
                <w:szCs w:val="16"/>
              </w:rPr>
              <w:t xml:space="preserve">. Porcentaje de </w:t>
            </w:r>
            <w:r w:rsidR="00D823E3" w:rsidRPr="009A501D">
              <w:rPr>
                <w:rFonts w:ascii="Century Gothic" w:hAnsi="Century Gothic"/>
                <w:iCs/>
                <w:sz w:val="16"/>
                <w:szCs w:val="16"/>
              </w:rPr>
              <w:t>información</w:t>
            </w:r>
            <w:r w:rsidRPr="009A501D">
              <w:rPr>
                <w:rFonts w:ascii="Century Gothic" w:hAnsi="Century Gothic"/>
                <w:iCs/>
                <w:sz w:val="16"/>
                <w:szCs w:val="16"/>
              </w:rPr>
              <w:t xml:space="preserve"> publicad</w:t>
            </w:r>
            <w:r w:rsidR="00D823E3" w:rsidRPr="009A501D">
              <w:rPr>
                <w:rFonts w:ascii="Century Gothic" w:hAnsi="Century Gothic"/>
                <w:iCs/>
                <w:sz w:val="16"/>
                <w:szCs w:val="16"/>
              </w:rPr>
              <w:t>a</w:t>
            </w:r>
            <w:r w:rsidRPr="009A501D">
              <w:rPr>
                <w:rFonts w:ascii="Century Gothic" w:hAnsi="Century Gothic"/>
                <w:iCs/>
                <w:sz w:val="16"/>
                <w:szCs w:val="16"/>
              </w:rPr>
              <w:t xml:space="preserve"> en el sitio del INEGI cuya fecha de publicación se comprometió en el Calendario de </w:t>
            </w:r>
            <w:r w:rsidR="00991C6B" w:rsidRPr="009A501D">
              <w:rPr>
                <w:rFonts w:ascii="Century Gothic" w:hAnsi="Century Gothic"/>
                <w:iCs/>
                <w:sz w:val="16"/>
                <w:szCs w:val="16"/>
              </w:rPr>
              <w:t>d</w:t>
            </w:r>
            <w:r w:rsidRPr="009A501D">
              <w:rPr>
                <w:rFonts w:ascii="Century Gothic" w:hAnsi="Century Gothic"/>
                <w:iCs/>
                <w:sz w:val="16"/>
                <w:szCs w:val="16"/>
              </w:rPr>
              <w:t>ifusión de información estadística y geográfica y de Interés Nacional.</w:t>
            </w:r>
          </w:p>
        </w:tc>
        <w:tc>
          <w:tcPr>
            <w:tcW w:w="556" w:type="dxa"/>
            <w:shd w:val="clear" w:color="auto" w:fill="auto"/>
            <w:noWrap/>
            <w:vAlign w:val="center"/>
          </w:tcPr>
          <w:p w14:paraId="68346931"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95%</w:t>
            </w:r>
          </w:p>
        </w:tc>
        <w:tc>
          <w:tcPr>
            <w:tcW w:w="709" w:type="dxa"/>
            <w:shd w:val="clear" w:color="auto" w:fill="auto"/>
            <w:vAlign w:val="center"/>
          </w:tcPr>
          <w:p w14:paraId="3DB46E9E"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p>
        </w:tc>
        <w:tc>
          <w:tcPr>
            <w:tcW w:w="709" w:type="dxa"/>
            <w:shd w:val="clear" w:color="auto" w:fill="auto"/>
            <w:vAlign w:val="center"/>
          </w:tcPr>
          <w:p w14:paraId="4E0479DD"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96.0%</w:t>
            </w:r>
          </w:p>
        </w:tc>
        <w:tc>
          <w:tcPr>
            <w:tcW w:w="709" w:type="dxa"/>
            <w:shd w:val="clear" w:color="auto" w:fill="auto"/>
            <w:vAlign w:val="center"/>
          </w:tcPr>
          <w:p w14:paraId="1CC404A7"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r w:rsidRPr="009A501D">
              <w:rPr>
                <w:rFonts w:ascii="Century Gothic" w:eastAsia="Times New Roman" w:hAnsi="Century Gothic" w:cs="Calibri"/>
                <w:sz w:val="16"/>
                <w:szCs w:val="16"/>
                <w:lang w:eastAsia="es-MX"/>
              </w:rPr>
              <w:t>%</w:t>
            </w:r>
          </w:p>
        </w:tc>
        <w:tc>
          <w:tcPr>
            <w:tcW w:w="709" w:type="dxa"/>
            <w:shd w:val="clear" w:color="auto" w:fill="auto"/>
            <w:vAlign w:val="center"/>
          </w:tcPr>
          <w:p w14:paraId="26F34DB1"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p>
        </w:tc>
      </w:tr>
      <w:tr w:rsidR="0051423B" w:rsidRPr="009A501D" w14:paraId="392DC1F3" w14:textId="77777777" w:rsidTr="00460BCB">
        <w:trPr>
          <w:trHeight w:val="284"/>
          <w:jc w:val="center"/>
        </w:trPr>
        <w:tc>
          <w:tcPr>
            <w:tcW w:w="7377" w:type="dxa"/>
            <w:shd w:val="clear" w:color="auto" w:fill="auto"/>
            <w:noWrap/>
            <w:vAlign w:val="center"/>
          </w:tcPr>
          <w:p w14:paraId="743C3CE4" w14:textId="2C93A485" w:rsidR="0051423B" w:rsidRPr="009A501D" w:rsidRDefault="0051423B" w:rsidP="00664A1D">
            <w:pPr>
              <w:spacing w:after="0"/>
              <w:ind w:left="142"/>
              <w:rPr>
                <w:rFonts w:ascii="Century Gothic" w:eastAsia="Times New Roman" w:hAnsi="Century Gothic" w:cs="Calibri"/>
                <w:iCs/>
                <w:color w:val="000000"/>
                <w:sz w:val="16"/>
                <w:szCs w:val="16"/>
                <w:lang w:eastAsia="es-MX"/>
              </w:rPr>
            </w:pPr>
            <w:r w:rsidRPr="009A501D">
              <w:rPr>
                <w:rFonts w:ascii="Century Gothic" w:hAnsi="Century Gothic"/>
                <w:b/>
                <w:iCs/>
                <w:sz w:val="16"/>
                <w:szCs w:val="16"/>
              </w:rPr>
              <w:t>P2.</w:t>
            </w:r>
            <w:r w:rsidRPr="009A501D">
              <w:rPr>
                <w:rFonts w:ascii="Century Gothic" w:hAnsi="Century Gothic"/>
                <w:iCs/>
                <w:sz w:val="16"/>
                <w:szCs w:val="16"/>
              </w:rPr>
              <w:t xml:space="preserve"> Porcentaje de </w:t>
            </w:r>
            <w:r w:rsidR="00D823E3" w:rsidRPr="009A501D">
              <w:rPr>
                <w:rFonts w:ascii="Century Gothic" w:hAnsi="Century Gothic"/>
                <w:iCs/>
                <w:sz w:val="16"/>
                <w:szCs w:val="16"/>
              </w:rPr>
              <w:t>información</w:t>
            </w:r>
            <w:r w:rsidRPr="009A501D">
              <w:rPr>
                <w:rFonts w:ascii="Century Gothic" w:hAnsi="Century Gothic"/>
                <w:iCs/>
                <w:sz w:val="16"/>
                <w:szCs w:val="16"/>
              </w:rPr>
              <w:t xml:space="preserve"> incluid</w:t>
            </w:r>
            <w:r w:rsidR="00D823E3" w:rsidRPr="009A501D">
              <w:rPr>
                <w:rFonts w:ascii="Century Gothic" w:hAnsi="Century Gothic"/>
                <w:iCs/>
                <w:sz w:val="16"/>
                <w:szCs w:val="16"/>
              </w:rPr>
              <w:t>a</w:t>
            </w:r>
            <w:r w:rsidRPr="009A501D">
              <w:rPr>
                <w:rFonts w:ascii="Century Gothic" w:hAnsi="Century Gothic"/>
                <w:iCs/>
                <w:sz w:val="16"/>
                <w:szCs w:val="16"/>
              </w:rPr>
              <w:t xml:space="preserve"> en el Calendario de </w:t>
            </w:r>
            <w:r w:rsidR="00991C6B" w:rsidRPr="009A501D">
              <w:rPr>
                <w:rFonts w:ascii="Century Gothic" w:hAnsi="Century Gothic"/>
                <w:iCs/>
                <w:sz w:val="16"/>
                <w:szCs w:val="16"/>
              </w:rPr>
              <w:t>d</w:t>
            </w:r>
            <w:r w:rsidRPr="009A501D">
              <w:rPr>
                <w:rFonts w:ascii="Century Gothic" w:hAnsi="Century Gothic"/>
                <w:iCs/>
                <w:sz w:val="16"/>
                <w:szCs w:val="16"/>
              </w:rPr>
              <w:t>ifusión de información estadística y geográfica y de Interés Nacional que fue publicad</w:t>
            </w:r>
            <w:r w:rsidR="00D823E3" w:rsidRPr="009A501D">
              <w:rPr>
                <w:rFonts w:ascii="Century Gothic" w:hAnsi="Century Gothic"/>
                <w:iCs/>
                <w:sz w:val="16"/>
                <w:szCs w:val="16"/>
              </w:rPr>
              <w:t>a</w:t>
            </w:r>
            <w:r w:rsidRPr="009A501D">
              <w:rPr>
                <w:rFonts w:ascii="Century Gothic" w:hAnsi="Century Gothic"/>
                <w:iCs/>
                <w:sz w:val="16"/>
                <w:szCs w:val="16"/>
              </w:rPr>
              <w:t xml:space="preserve"> puntualmente.</w:t>
            </w:r>
          </w:p>
        </w:tc>
        <w:tc>
          <w:tcPr>
            <w:tcW w:w="556" w:type="dxa"/>
            <w:shd w:val="clear" w:color="auto" w:fill="auto"/>
            <w:noWrap/>
            <w:vAlign w:val="center"/>
          </w:tcPr>
          <w:p w14:paraId="45F8EFB0"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709" w:type="dxa"/>
            <w:shd w:val="clear" w:color="auto" w:fill="auto"/>
            <w:vAlign w:val="center"/>
          </w:tcPr>
          <w:p w14:paraId="7A100C53"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709" w:type="dxa"/>
            <w:shd w:val="clear" w:color="auto" w:fill="auto"/>
            <w:vAlign w:val="center"/>
          </w:tcPr>
          <w:p w14:paraId="54B5C0BD" w14:textId="77777777" w:rsidR="0051423B" w:rsidRPr="009A501D" w:rsidRDefault="0051423B" w:rsidP="00664A1D">
            <w:pPr>
              <w:spacing w:after="0" w:line="240" w:lineRule="auto"/>
              <w:contextualSpacing/>
              <w:jc w:val="center"/>
              <w:rPr>
                <w:rFonts w:ascii="Century Gothic" w:eastAsia="Times New Roman" w:hAnsi="Century Gothic" w:cs="Calibri"/>
                <w:sz w:val="16"/>
                <w:szCs w:val="16"/>
                <w:lang w:eastAsia="es-MX"/>
              </w:rPr>
            </w:pPr>
            <w:r w:rsidRPr="009A501D">
              <w:rPr>
                <w:rFonts w:ascii="Century Gothic" w:eastAsia="Times New Roman" w:hAnsi="Century Gothic" w:cs="Calibri"/>
                <w:color w:val="000000"/>
                <w:sz w:val="16"/>
                <w:szCs w:val="16"/>
                <w:lang w:eastAsia="es-MX"/>
              </w:rPr>
              <w:t>96</w:t>
            </w:r>
            <w:r w:rsidRPr="009A501D">
              <w:rPr>
                <w:rFonts w:ascii="Century Gothic" w:eastAsia="Times New Roman" w:hAnsi="Century Gothic" w:cs="Calibri"/>
                <w:sz w:val="16"/>
                <w:szCs w:val="16"/>
                <w:lang w:eastAsia="es-MX"/>
              </w:rPr>
              <w:t>%</w:t>
            </w:r>
          </w:p>
        </w:tc>
        <w:tc>
          <w:tcPr>
            <w:tcW w:w="709" w:type="dxa"/>
            <w:shd w:val="clear" w:color="auto" w:fill="auto"/>
            <w:vAlign w:val="center"/>
          </w:tcPr>
          <w:p w14:paraId="5BB004C6"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w:t>
            </w:r>
            <w:r w:rsidRPr="009A501D">
              <w:rPr>
                <w:rFonts w:ascii="Century Gothic" w:eastAsia="Times New Roman" w:hAnsi="Century Gothic" w:cs="Calibri"/>
                <w:sz w:val="16"/>
                <w:szCs w:val="16"/>
                <w:lang w:eastAsia="es-MX"/>
              </w:rPr>
              <w:t>%</w:t>
            </w:r>
          </w:p>
        </w:tc>
        <w:tc>
          <w:tcPr>
            <w:tcW w:w="709" w:type="dxa"/>
            <w:shd w:val="clear" w:color="auto" w:fill="auto"/>
            <w:vAlign w:val="center"/>
          </w:tcPr>
          <w:p w14:paraId="0AB41246"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w:t>
            </w:r>
          </w:p>
        </w:tc>
      </w:tr>
      <w:tr w:rsidR="0051423B" w:rsidRPr="009A501D" w14:paraId="59B8399D" w14:textId="77777777" w:rsidTr="00664A1D">
        <w:trPr>
          <w:trHeight w:val="284"/>
          <w:jc w:val="center"/>
        </w:trPr>
        <w:tc>
          <w:tcPr>
            <w:tcW w:w="7377" w:type="dxa"/>
            <w:shd w:val="clear" w:color="auto" w:fill="F2F2F2" w:themeFill="background1" w:themeFillShade="F2"/>
            <w:noWrap/>
            <w:vAlign w:val="center"/>
          </w:tcPr>
          <w:p w14:paraId="2B765BCC" w14:textId="11882283" w:rsidR="0051423B" w:rsidRPr="009A501D" w:rsidRDefault="00E86001" w:rsidP="00664A1D">
            <w:pPr>
              <w:spacing w:after="0"/>
              <w:ind w:left="142"/>
              <w:rPr>
                <w:rFonts w:ascii="Century Gothic" w:hAnsi="Century Gothic"/>
                <w:b/>
                <w:iCs/>
                <w:sz w:val="16"/>
                <w:szCs w:val="16"/>
              </w:rPr>
            </w:pPr>
            <w:r w:rsidRPr="009A501D">
              <w:rPr>
                <w:rFonts w:ascii="Century Gothic" w:hAnsi="Century Gothic"/>
                <w:b/>
                <w:iCs/>
                <w:sz w:val="16"/>
                <w:szCs w:val="16"/>
              </w:rPr>
              <w:t>I</w:t>
            </w:r>
            <w:r w:rsidR="00D823E3" w:rsidRPr="009A501D">
              <w:rPr>
                <w:rFonts w:ascii="Century Gothic" w:hAnsi="Century Gothic"/>
                <w:b/>
                <w:iCs/>
                <w:sz w:val="16"/>
                <w:szCs w:val="16"/>
              </w:rPr>
              <w:t>nformación</w:t>
            </w:r>
            <w:r w:rsidR="0051423B" w:rsidRPr="009A501D">
              <w:rPr>
                <w:rFonts w:ascii="Century Gothic" w:hAnsi="Century Gothic"/>
                <w:b/>
                <w:iCs/>
                <w:sz w:val="16"/>
                <w:szCs w:val="16"/>
              </w:rPr>
              <w:t xml:space="preserve"> publicad</w:t>
            </w:r>
            <w:r w:rsidR="00D823E3" w:rsidRPr="009A501D">
              <w:rPr>
                <w:rFonts w:ascii="Century Gothic" w:hAnsi="Century Gothic"/>
                <w:b/>
                <w:iCs/>
                <w:sz w:val="16"/>
                <w:szCs w:val="16"/>
              </w:rPr>
              <w:t>a</w:t>
            </w:r>
            <w:r w:rsidR="0051423B" w:rsidRPr="009A501D">
              <w:rPr>
                <w:rFonts w:ascii="Century Gothic" w:hAnsi="Century Gothic"/>
                <w:b/>
                <w:iCs/>
                <w:sz w:val="16"/>
                <w:szCs w:val="16"/>
              </w:rPr>
              <w:t xml:space="preserve"> en </w:t>
            </w:r>
            <w:r w:rsidR="00C22748" w:rsidRPr="009A501D">
              <w:rPr>
                <w:rFonts w:ascii="Century Gothic" w:hAnsi="Century Gothic"/>
                <w:b/>
                <w:iCs/>
                <w:sz w:val="16"/>
                <w:szCs w:val="16"/>
              </w:rPr>
              <w:t>el sitio del</w:t>
            </w:r>
            <w:r w:rsidR="0051423B" w:rsidRPr="009A501D">
              <w:rPr>
                <w:rFonts w:ascii="Century Gothic" w:hAnsi="Century Gothic"/>
                <w:b/>
                <w:iCs/>
                <w:sz w:val="16"/>
                <w:szCs w:val="16"/>
              </w:rPr>
              <w:t xml:space="preserve"> INEGI no incluid</w:t>
            </w:r>
            <w:r w:rsidR="00D823E3" w:rsidRPr="009A501D">
              <w:rPr>
                <w:rFonts w:ascii="Century Gothic" w:hAnsi="Century Gothic"/>
                <w:b/>
                <w:iCs/>
                <w:sz w:val="16"/>
                <w:szCs w:val="16"/>
              </w:rPr>
              <w:t>a</w:t>
            </w:r>
            <w:r w:rsidR="0051423B" w:rsidRPr="009A501D">
              <w:rPr>
                <w:rFonts w:ascii="Century Gothic" w:hAnsi="Century Gothic"/>
                <w:b/>
                <w:iCs/>
                <w:sz w:val="16"/>
                <w:szCs w:val="16"/>
              </w:rPr>
              <w:t xml:space="preserve"> en </w:t>
            </w:r>
            <w:r w:rsidR="00C22748" w:rsidRPr="009A501D">
              <w:rPr>
                <w:rFonts w:ascii="Century Gothic" w:hAnsi="Century Gothic"/>
                <w:b/>
                <w:iCs/>
                <w:sz w:val="16"/>
                <w:szCs w:val="16"/>
              </w:rPr>
              <w:t>el C</w:t>
            </w:r>
            <w:r w:rsidR="0051423B" w:rsidRPr="009A501D">
              <w:rPr>
                <w:rFonts w:ascii="Century Gothic" w:hAnsi="Century Gothic"/>
                <w:b/>
                <w:iCs/>
                <w:sz w:val="16"/>
                <w:szCs w:val="16"/>
              </w:rPr>
              <w:t>alendario de difusión</w:t>
            </w:r>
          </w:p>
        </w:tc>
        <w:tc>
          <w:tcPr>
            <w:tcW w:w="556" w:type="dxa"/>
            <w:shd w:val="clear" w:color="auto" w:fill="F2F2F2" w:themeFill="background1" w:themeFillShade="F2"/>
            <w:noWrap/>
            <w:vAlign w:val="center"/>
          </w:tcPr>
          <w:p w14:paraId="76AC76C0" w14:textId="77777777" w:rsidR="0051423B" w:rsidRPr="009A501D" w:rsidRDefault="0051423B" w:rsidP="00664A1D">
            <w:pPr>
              <w:spacing w:after="0" w:line="240" w:lineRule="auto"/>
              <w:contextualSpacing/>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23</w:t>
            </w:r>
          </w:p>
        </w:tc>
        <w:tc>
          <w:tcPr>
            <w:tcW w:w="709" w:type="dxa"/>
            <w:shd w:val="clear" w:color="auto" w:fill="F2F2F2" w:themeFill="background1" w:themeFillShade="F2"/>
            <w:vAlign w:val="center"/>
          </w:tcPr>
          <w:p w14:paraId="51549531" w14:textId="77777777" w:rsidR="0051423B" w:rsidRPr="009A501D" w:rsidRDefault="0051423B" w:rsidP="00664A1D">
            <w:pPr>
              <w:spacing w:after="0" w:line="240" w:lineRule="auto"/>
              <w:contextualSpacing/>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18</w:t>
            </w:r>
          </w:p>
        </w:tc>
        <w:tc>
          <w:tcPr>
            <w:tcW w:w="709" w:type="dxa"/>
            <w:shd w:val="clear" w:color="auto" w:fill="F2F2F2" w:themeFill="background1" w:themeFillShade="F2"/>
            <w:vAlign w:val="center"/>
          </w:tcPr>
          <w:p w14:paraId="34EC52F1" w14:textId="77777777" w:rsidR="0051423B" w:rsidRPr="009A501D" w:rsidRDefault="0051423B" w:rsidP="00664A1D">
            <w:pPr>
              <w:spacing w:after="0" w:line="240" w:lineRule="auto"/>
              <w:contextualSpacing/>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23</w:t>
            </w:r>
          </w:p>
        </w:tc>
        <w:tc>
          <w:tcPr>
            <w:tcW w:w="709" w:type="dxa"/>
            <w:shd w:val="clear" w:color="auto" w:fill="F2F2F2" w:themeFill="background1" w:themeFillShade="F2"/>
            <w:vAlign w:val="center"/>
          </w:tcPr>
          <w:p w14:paraId="6936AEBB" w14:textId="77777777" w:rsidR="0051423B" w:rsidRPr="009A501D" w:rsidRDefault="0051423B" w:rsidP="00664A1D">
            <w:pPr>
              <w:spacing w:after="0" w:line="240" w:lineRule="auto"/>
              <w:contextualSpacing/>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14</w:t>
            </w:r>
          </w:p>
        </w:tc>
        <w:tc>
          <w:tcPr>
            <w:tcW w:w="709" w:type="dxa"/>
            <w:shd w:val="clear" w:color="auto" w:fill="F2F2F2" w:themeFill="background1" w:themeFillShade="F2"/>
            <w:vAlign w:val="center"/>
          </w:tcPr>
          <w:p w14:paraId="71DA2B33" w14:textId="77777777" w:rsidR="0051423B" w:rsidRPr="009A501D" w:rsidRDefault="0051423B" w:rsidP="00664A1D">
            <w:pPr>
              <w:spacing w:after="0" w:line="240" w:lineRule="auto"/>
              <w:contextualSpacing/>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21</w:t>
            </w:r>
          </w:p>
        </w:tc>
      </w:tr>
      <w:tr w:rsidR="0051423B" w:rsidRPr="009A501D" w14:paraId="4E304020" w14:textId="77777777" w:rsidTr="00664A1D">
        <w:trPr>
          <w:trHeight w:val="284"/>
          <w:jc w:val="center"/>
        </w:trPr>
        <w:tc>
          <w:tcPr>
            <w:tcW w:w="7377" w:type="dxa"/>
            <w:shd w:val="clear" w:color="auto" w:fill="F2F2F2" w:themeFill="background1" w:themeFillShade="F2"/>
            <w:noWrap/>
            <w:vAlign w:val="center"/>
          </w:tcPr>
          <w:p w14:paraId="0B872011" w14:textId="3C5FB70A" w:rsidR="0051423B" w:rsidRPr="009A501D" w:rsidRDefault="00D823E3" w:rsidP="00E86001">
            <w:pPr>
              <w:spacing w:after="0"/>
              <w:ind w:firstLine="204"/>
              <w:jc w:val="both"/>
              <w:rPr>
                <w:rFonts w:ascii="Century Gothic" w:hAnsi="Century Gothic"/>
                <w:bCs/>
                <w:iCs/>
                <w:sz w:val="16"/>
                <w:szCs w:val="16"/>
              </w:rPr>
            </w:pPr>
            <w:r w:rsidRPr="009A501D">
              <w:rPr>
                <w:rFonts w:ascii="Century Gothic" w:hAnsi="Century Gothic"/>
                <w:bCs/>
                <w:iCs/>
                <w:sz w:val="16"/>
                <w:szCs w:val="16"/>
              </w:rPr>
              <w:t>C</w:t>
            </w:r>
            <w:r w:rsidR="00C22748" w:rsidRPr="009A501D">
              <w:rPr>
                <w:rFonts w:ascii="Century Gothic" w:hAnsi="Century Gothic"/>
                <w:bCs/>
                <w:iCs/>
                <w:sz w:val="16"/>
                <w:szCs w:val="16"/>
              </w:rPr>
              <w:t>on financiamiento exclusivo</w:t>
            </w:r>
            <w:r w:rsidR="0051423B" w:rsidRPr="009A501D">
              <w:rPr>
                <w:rFonts w:ascii="Century Gothic" w:hAnsi="Century Gothic"/>
                <w:bCs/>
                <w:iCs/>
                <w:sz w:val="16"/>
                <w:szCs w:val="16"/>
              </w:rPr>
              <w:t xml:space="preserve"> del INEGI</w:t>
            </w:r>
          </w:p>
        </w:tc>
        <w:tc>
          <w:tcPr>
            <w:tcW w:w="556" w:type="dxa"/>
            <w:shd w:val="clear" w:color="auto" w:fill="F2F2F2" w:themeFill="background1" w:themeFillShade="F2"/>
            <w:noWrap/>
            <w:vAlign w:val="center"/>
          </w:tcPr>
          <w:p w14:paraId="59E5F275"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709" w:type="dxa"/>
            <w:shd w:val="clear" w:color="auto" w:fill="F2F2F2" w:themeFill="background1" w:themeFillShade="F2"/>
            <w:vAlign w:val="center"/>
          </w:tcPr>
          <w:p w14:paraId="65935AE1"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709" w:type="dxa"/>
            <w:shd w:val="clear" w:color="auto" w:fill="F2F2F2" w:themeFill="background1" w:themeFillShade="F2"/>
            <w:vAlign w:val="center"/>
          </w:tcPr>
          <w:p w14:paraId="6112448D"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709" w:type="dxa"/>
            <w:shd w:val="clear" w:color="auto" w:fill="F2F2F2" w:themeFill="background1" w:themeFillShade="F2"/>
            <w:vAlign w:val="center"/>
          </w:tcPr>
          <w:p w14:paraId="14DCB4C2"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709" w:type="dxa"/>
            <w:shd w:val="clear" w:color="auto" w:fill="F2F2F2" w:themeFill="background1" w:themeFillShade="F2"/>
            <w:vAlign w:val="center"/>
          </w:tcPr>
          <w:p w14:paraId="720F40A7" w14:textId="5AD2D162"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r w:rsidR="00A07E33">
              <w:rPr>
                <w:rFonts w:ascii="Century Gothic" w:eastAsia="Times New Roman" w:hAnsi="Century Gothic" w:cs="Calibri"/>
                <w:color w:val="000000"/>
                <w:sz w:val="16"/>
                <w:szCs w:val="16"/>
                <w:lang w:eastAsia="es-MX"/>
              </w:rPr>
              <w:t>6</w:t>
            </w:r>
          </w:p>
        </w:tc>
      </w:tr>
      <w:tr w:rsidR="0051423B" w:rsidRPr="009A501D" w14:paraId="67D6C3C6" w14:textId="77777777" w:rsidTr="00664A1D">
        <w:trPr>
          <w:trHeight w:val="284"/>
          <w:jc w:val="center"/>
        </w:trPr>
        <w:tc>
          <w:tcPr>
            <w:tcW w:w="7377" w:type="dxa"/>
            <w:shd w:val="clear" w:color="auto" w:fill="F2F2F2" w:themeFill="background1" w:themeFillShade="F2"/>
            <w:noWrap/>
            <w:vAlign w:val="center"/>
          </w:tcPr>
          <w:p w14:paraId="2C18F666" w14:textId="357FCE20" w:rsidR="0051423B" w:rsidRPr="009A501D" w:rsidRDefault="00D823E3" w:rsidP="00E86001">
            <w:pPr>
              <w:spacing w:after="0"/>
              <w:ind w:firstLine="204"/>
              <w:jc w:val="both"/>
              <w:rPr>
                <w:rFonts w:ascii="Century Gothic" w:hAnsi="Century Gothic"/>
                <w:bCs/>
                <w:iCs/>
                <w:sz w:val="16"/>
                <w:szCs w:val="16"/>
              </w:rPr>
            </w:pPr>
            <w:r w:rsidRPr="009A501D">
              <w:rPr>
                <w:rFonts w:ascii="Century Gothic" w:hAnsi="Century Gothic"/>
                <w:bCs/>
                <w:iCs/>
                <w:sz w:val="16"/>
                <w:szCs w:val="16"/>
              </w:rPr>
              <w:t>C</w:t>
            </w:r>
            <w:r w:rsidR="0051423B" w:rsidRPr="009A501D">
              <w:rPr>
                <w:rFonts w:ascii="Century Gothic" w:hAnsi="Century Gothic"/>
                <w:bCs/>
                <w:iCs/>
                <w:sz w:val="16"/>
                <w:szCs w:val="16"/>
              </w:rPr>
              <w:t>on cofinanciamiento o colaboración</w:t>
            </w:r>
            <w:r w:rsidR="00C22748" w:rsidRPr="009A501D">
              <w:rPr>
                <w:rFonts w:ascii="Century Gothic" w:hAnsi="Century Gothic"/>
                <w:bCs/>
                <w:iCs/>
                <w:sz w:val="16"/>
                <w:szCs w:val="16"/>
              </w:rPr>
              <w:t xml:space="preserve"> con otras UE</w:t>
            </w:r>
          </w:p>
        </w:tc>
        <w:tc>
          <w:tcPr>
            <w:tcW w:w="556" w:type="dxa"/>
            <w:shd w:val="clear" w:color="auto" w:fill="F2F2F2" w:themeFill="background1" w:themeFillShade="F2"/>
            <w:noWrap/>
            <w:vAlign w:val="center"/>
          </w:tcPr>
          <w:p w14:paraId="54B17AAC"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709" w:type="dxa"/>
            <w:shd w:val="clear" w:color="auto" w:fill="F2F2F2" w:themeFill="background1" w:themeFillShade="F2"/>
            <w:vAlign w:val="center"/>
          </w:tcPr>
          <w:p w14:paraId="37BC0D99"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709" w:type="dxa"/>
            <w:shd w:val="clear" w:color="auto" w:fill="F2F2F2" w:themeFill="background1" w:themeFillShade="F2"/>
            <w:vAlign w:val="center"/>
          </w:tcPr>
          <w:p w14:paraId="44627CC0"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709" w:type="dxa"/>
            <w:shd w:val="clear" w:color="auto" w:fill="F2F2F2" w:themeFill="background1" w:themeFillShade="F2"/>
            <w:vAlign w:val="center"/>
          </w:tcPr>
          <w:p w14:paraId="1158A73F" w14:textId="77777777" w:rsidR="0051423B" w:rsidRPr="009A501D" w:rsidRDefault="0051423B" w:rsidP="00664A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09" w:type="dxa"/>
            <w:shd w:val="clear" w:color="auto" w:fill="F2F2F2" w:themeFill="background1" w:themeFillShade="F2"/>
            <w:vAlign w:val="center"/>
          </w:tcPr>
          <w:p w14:paraId="1114D908" w14:textId="6CAF4593" w:rsidR="0051423B" w:rsidRPr="009A501D" w:rsidRDefault="00A07E33" w:rsidP="00664A1D">
            <w:pPr>
              <w:spacing w:after="0" w:line="240" w:lineRule="auto"/>
              <w:contextualSpacing/>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5</w:t>
            </w:r>
          </w:p>
        </w:tc>
      </w:tr>
    </w:tbl>
    <w:p w14:paraId="6CA598DB" w14:textId="77777777" w:rsidR="00397FA5" w:rsidRPr="009A501D" w:rsidRDefault="00397FA5" w:rsidP="002F344E">
      <w:pPr>
        <w:spacing w:before="40" w:after="40"/>
        <w:jc w:val="both"/>
        <w:rPr>
          <w:rFonts w:ascii="Century Gothic" w:hAnsi="Century Gothic"/>
          <w:sz w:val="19"/>
          <w:szCs w:val="19"/>
        </w:rPr>
      </w:pPr>
    </w:p>
    <w:p w14:paraId="51352D03" w14:textId="09E489D4" w:rsidR="001D5671" w:rsidRPr="009A501D" w:rsidRDefault="00440D4B" w:rsidP="002F344E">
      <w:pPr>
        <w:spacing w:before="40" w:after="40"/>
        <w:jc w:val="both"/>
        <w:rPr>
          <w:rFonts w:ascii="Century Gothic" w:hAnsi="Century Gothic"/>
          <w:sz w:val="19"/>
          <w:szCs w:val="19"/>
        </w:rPr>
      </w:pPr>
      <w:r w:rsidRPr="009A501D">
        <w:rPr>
          <w:rFonts w:ascii="Century Gothic" w:hAnsi="Century Gothic"/>
          <w:sz w:val="19"/>
          <w:szCs w:val="19"/>
        </w:rPr>
        <w:t xml:space="preserve">Respecto a la información </w:t>
      </w:r>
      <w:r w:rsidR="001D5671" w:rsidRPr="009A501D">
        <w:rPr>
          <w:rFonts w:ascii="Century Gothic" w:hAnsi="Century Gothic"/>
          <w:sz w:val="19"/>
          <w:szCs w:val="19"/>
        </w:rPr>
        <w:t>publica</w:t>
      </w:r>
      <w:r w:rsidR="009466FD" w:rsidRPr="009A501D">
        <w:rPr>
          <w:rFonts w:ascii="Century Gothic" w:hAnsi="Century Gothic"/>
          <w:sz w:val="19"/>
          <w:szCs w:val="19"/>
        </w:rPr>
        <w:t>da</w:t>
      </w:r>
      <w:r w:rsidR="001D5671" w:rsidRPr="009A501D">
        <w:rPr>
          <w:rFonts w:ascii="Century Gothic" w:hAnsi="Century Gothic"/>
          <w:sz w:val="19"/>
          <w:szCs w:val="19"/>
        </w:rPr>
        <w:t xml:space="preserve"> en 2022 </w:t>
      </w:r>
      <w:r w:rsidR="00B33E78" w:rsidRPr="009A501D">
        <w:rPr>
          <w:rFonts w:ascii="Century Gothic" w:hAnsi="Century Gothic"/>
          <w:sz w:val="19"/>
          <w:szCs w:val="19"/>
        </w:rPr>
        <w:t>que</w:t>
      </w:r>
      <w:r w:rsidR="001D5671" w:rsidRPr="009A501D">
        <w:rPr>
          <w:rFonts w:ascii="Century Gothic" w:hAnsi="Century Gothic"/>
          <w:sz w:val="19"/>
          <w:szCs w:val="19"/>
        </w:rPr>
        <w:t xml:space="preserve"> no fue incluid</w:t>
      </w:r>
      <w:r w:rsidR="009466FD" w:rsidRPr="009A501D">
        <w:rPr>
          <w:rFonts w:ascii="Century Gothic" w:hAnsi="Century Gothic"/>
          <w:sz w:val="19"/>
          <w:szCs w:val="19"/>
        </w:rPr>
        <w:t>a</w:t>
      </w:r>
      <w:r w:rsidR="001D5671" w:rsidRPr="009A501D">
        <w:rPr>
          <w:rFonts w:ascii="Century Gothic" w:hAnsi="Century Gothic"/>
          <w:sz w:val="19"/>
          <w:szCs w:val="19"/>
        </w:rPr>
        <w:t xml:space="preserve"> en el </w:t>
      </w:r>
      <w:r w:rsidR="00C22748" w:rsidRPr="009A501D">
        <w:rPr>
          <w:rFonts w:ascii="Century Gothic" w:hAnsi="Century Gothic"/>
          <w:sz w:val="19"/>
          <w:szCs w:val="19"/>
        </w:rPr>
        <w:t>C</w:t>
      </w:r>
      <w:r w:rsidR="001D5671" w:rsidRPr="009A501D">
        <w:rPr>
          <w:rFonts w:ascii="Century Gothic" w:hAnsi="Century Gothic"/>
          <w:sz w:val="19"/>
          <w:szCs w:val="19"/>
        </w:rPr>
        <w:t>alendario</w:t>
      </w:r>
      <w:r w:rsidR="00C22748" w:rsidRPr="009A501D">
        <w:rPr>
          <w:rFonts w:ascii="Century Gothic" w:hAnsi="Century Gothic"/>
          <w:sz w:val="19"/>
          <w:szCs w:val="19"/>
        </w:rPr>
        <w:t xml:space="preserve"> de difusión</w:t>
      </w:r>
      <w:r w:rsidR="00A15292" w:rsidRPr="009A501D">
        <w:rPr>
          <w:rFonts w:ascii="Century Gothic" w:hAnsi="Century Gothic"/>
          <w:sz w:val="19"/>
          <w:szCs w:val="19"/>
        </w:rPr>
        <w:t>, d</w:t>
      </w:r>
      <w:r w:rsidR="00B33E78" w:rsidRPr="009A501D">
        <w:rPr>
          <w:rFonts w:ascii="Century Gothic" w:hAnsi="Century Gothic"/>
          <w:sz w:val="19"/>
          <w:szCs w:val="19"/>
        </w:rPr>
        <w:t>estaca</w:t>
      </w:r>
      <w:r w:rsidR="009466FD" w:rsidRPr="009A501D">
        <w:rPr>
          <w:rFonts w:ascii="Century Gothic" w:hAnsi="Century Gothic"/>
          <w:sz w:val="19"/>
          <w:szCs w:val="19"/>
        </w:rPr>
        <w:t xml:space="preserve">n </w:t>
      </w:r>
      <w:r w:rsidR="001D5671" w:rsidRPr="009A501D">
        <w:rPr>
          <w:rFonts w:ascii="Century Gothic" w:hAnsi="Century Gothic"/>
          <w:sz w:val="19"/>
          <w:szCs w:val="19"/>
        </w:rPr>
        <w:t>1</w:t>
      </w:r>
      <w:r w:rsidR="001D5B7E">
        <w:rPr>
          <w:rFonts w:ascii="Century Gothic" w:hAnsi="Century Gothic"/>
          <w:sz w:val="19"/>
          <w:szCs w:val="19"/>
        </w:rPr>
        <w:t>7</w:t>
      </w:r>
      <w:r w:rsidR="001D5671" w:rsidRPr="009A501D">
        <w:rPr>
          <w:rFonts w:ascii="Century Gothic" w:hAnsi="Century Gothic"/>
          <w:sz w:val="19"/>
          <w:szCs w:val="19"/>
        </w:rPr>
        <w:t xml:space="preserve"> </w:t>
      </w:r>
      <w:r w:rsidR="009466FD" w:rsidRPr="009A501D">
        <w:rPr>
          <w:rFonts w:ascii="Century Gothic" w:hAnsi="Century Gothic"/>
          <w:sz w:val="19"/>
          <w:szCs w:val="19"/>
        </w:rPr>
        <w:t xml:space="preserve">elementos </w:t>
      </w:r>
      <w:r w:rsidR="001D5671" w:rsidRPr="009A501D">
        <w:rPr>
          <w:rFonts w:ascii="Century Gothic" w:hAnsi="Century Gothic"/>
          <w:sz w:val="19"/>
          <w:szCs w:val="19"/>
        </w:rPr>
        <w:t xml:space="preserve">de </w:t>
      </w:r>
      <w:r w:rsidR="009466FD" w:rsidRPr="009A501D">
        <w:rPr>
          <w:rFonts w:ascii="Century Gothic" w:hAnsi="Century Gothic"/>
          <w:sz w:val="19"/>
          <w:szCs w:val="19"/>
        </w:rPr>
        <w:t>información que</w:t>
      </w:r>
      <w:r w:rsidR="001D5671" w:rsidRPr="009A501D">
        <w:rPr>
          <w:rFonts w:ascii="Century Gothic" w:hAnsi="Century Gothic"/>
          <w:sz w:val="19"/>
          <w:szCs w:val="19"/>
        </w:rPr>
        <w:t xml:space="preserve"> corresponden a procesos con grado de madurez consolidado </w:t>
      </w:r>
      <w:r w:rsidR="009466FD" w:rsidRPr="009A501D">
        <w:rPr>
          <w:rFonts w:ascii="Century Gothic" w:hAnsi="Century Gothic"/>
          <w:sz w:val="19"/>
          <w:szCs w:val="19"/>
        </w:rPr>
        <w:t>o</w:t>
      </w:r>
      <w:r w:rsidR="001D5671" w:rsidRPr="009A501D">
        <w:rPr>
          <w:rFonts w:ascii="Century Gothic" w:hAnsi="Century Gothic"/>
          <w:sz w:val="19"/>
          <w:szCs w:val="19"/>
        </w:rPr>
        <w:t xml:space="preserve"> de </w:t>
      </w:r>
      <w:r w:rsidR="00C22748" w:rsidRPr="009A501D">
        <w:rPr>
          <w:rFonts w:ascii="Century Gothic" w:hAnsi="Century Gothic"/>
          <w:sz w:val="19"/>
          <w:szCs w:val="19"/>
        </w:rPr>
        <w:t>I</w:t>
      </w:r>
      <w:r w:rsidR="001D5671" w:rsidRPr="009A501D">
        <w:rPr>
          <w:rFonts w:ascii="Century Gothic" w:hAnsi="Century Gothic"/>
          <w:sz w:val="19"/>
          <w:szCs w:val="19"/>
        </w:rPr>
        <w:t xml:space="preserve">nterés </w:t>
      </w:r>
      <w:r w:rsidR="00C22748" w:rsidRPr="009A501D">
        <w:rPr>
          <w:rFonts w:ascii="Century Gothic" w:hAnsi="Century Gothic"/>
          <w:sz w:val="19"/>
          <w:szCs w:val="19"/>
        </w:rPr>
        <w:t>N</w:t>
      </w:r>
      <w:r w:rsidR="001D5671" w:rsidRPr="009A501D">
        <w:rPr>
          <w:rFonts w:ascii="Century Gothic" w:hAnsi="Century Gothic"/>
          <w:sz w:val="19"/>
          <w:szCs w:val="19"/>
        </w:rPr>
        <w:t>acional.</w:t>
      </w:r>
      <w:r w:rsidR="002F344E" w:rsidRPr="009A501D">
        <w:rPr>
          <w:rFonts w:ascii="Century Gothic" w:hAnsi="Century Gothic"/>
          <w:sz w:val="19"/>
          <w:szCs w:val="19"/>
        </w:rPr>
        <w:t xml:space="preserve"> Por lo anterior, e</w:t>
      </w:r>
      <w:r w:rsidRPr="009A501D">
        <w:rPr>
          <w:rFonts w:ascii="Century Gothic" w:hAnsi="Century Gothic"/>
          <w:sz w:val="19"/>
          <w:szCs w:val="19"/>
        </w:rPr>
        <w:t xml:space="preserve">s importante continuar los esfuerzos para que toda la información publicada en el sitio del INEGI se incluya en el Calendario de difusión, ya que es un elemento de transparencia hacia las </w:t>
      </w:r>
      <w:r w:rsidR="006D1623">
        <w:rPr>
          <w:rFonts w:ascii="Century Gothic" w:hAnsi="Century Gothic"/>
          <w:sz w:val="19"/>
          <w:szCs w:val="19"/>
        </w:rPr>
        <w:t>personas</w:t>
      </w:r>
      <w:r w:rsidRPr="009A501D">
        <w:rPr>
          <w:rFonts w:ascii="Century Gothic" w:hAnsi="Century Gothic"/>
          <w:sz w:val="19"/>
          <w:szCs w:val="19"/>
        </w:rPr>
        <w:t xml:space="preserve"> usuari</w:t>
      </w:r>
      <w:r w:rsidR="006D1623">
        <w:rPr>
          <w:rFonts w:ascii="Century Gothic" w:hAnsi="Century Gothic"/>
          <w:sz w:val="19"/>
          <w:szCs w:val="19"/>
        </w:rPr>
        <w:t>a</w:t>
      </w:r>
      <w:r w:rsidRPr="009A501D">
        <w:rPr>
          <w:rFonts w:ascii="Century Gothic" w:hAnsi="Century Gothic"/>
          <w:sz w:val="19"/>
          <w:szCs w:val="19"/>
        </w:rPr>
        <w:t>s</w:t>
      </w:r>
      <w:r w:rsidR="00101D3D" w:rsidRPr="009A501D">
        <w:rPr>
          <w:rFonts w:ascii="Century Gothic" w:hAnsi="Century Gothic"/>
          <w:sz w:val="19"/>
          <w:szCs w:val="19"/>
        </w:rPr>
        <w:t xml:space="preserve"> (ver cuadro III.4.2.).</w:t>
      </w:r>
    </w:p>
    <w:p w14:paraId="0D6CEDD2" w14:textId="26EC48F6" w:rsidR="009B6E22" w:rsidRPr="009A501D" w:rsidRDefault="009B6E22">
      <w:pPr>
        <w:rPr>
          <w:rFonts w:ascii="Century Gothic" w:hAnsi="Century Gothic"/>
          <w:sz w:val="19"/>
          <w:szCs w:val="19"/>
        </w:rPr>
      </w:pPr>
      <w:r w:rsidRPr="009A501D">
        <w:rPr>
          <w:rFonts w:ascii="Century Gothic" w:hAnsi="Century Gothic"/>
          <w:sz w:val="19"/>
          <w:szCs w:val="19"/>
        </w:rPr>
        <w:br w:type="page"/>
      </w:r>
    </w:p>
    <w:p w14:paraId="35E5A989" w14:textId="1FE86AEC" w:rsidR="003F4035" w:rsidRPr="009A501D" w:rsidRDefault="003F4035"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 xml:space="preserve">III.4.2. </w:t>
      </w:r>
      <w:r w:rsidR="00D823E3" w:rsidRPr="009A501D">
        <w:rPr>
          <w:rFonts w:ascii="Century Gothic" w:hAnsi="Century Gothic"/>
          <w:b/>
          <w:sz w:val="19"/>
          <w:szCs w:val="19"/>
        </w:rPr>
        <w:t>I</w:t>
      </w:r>
      <w:r w:rsidRPr="009A501D">
        <w:rPr>
          <w:rFonts w:ascii="Century Gothic" w:hAnsi="Century Gothic"/>
          <w:b/>
          <w:sz w:val="19"/>
          <w:szCs w:val="19"/>
        </w:rPr>
        <w:t xml:space="preserve">nformación estadística y geográfica </w:t>
      </w:r>
      <w:r w:rsidR="00D823E3" w:rsidRPr="009A501D">
        <w:rPr>
          <w:rFonts w:ascii="Century Gothic" w:hAnsi="Century Gothic"/>
          <w:b/>
          <w:sz w:val="19"/>
          <w:szCs w:val="19"/>
        </w:rPr>
        <w:t xml:space="preserve">publicada </w:t>
      </w:r>
      <w:r w:rsidRPr="009A501D">
        <w:rPr>
          <w:rFonts w:ascii="Century Gothic" w:hAnsi="Century Gothic"/>
          <w:b/>
          <w:sz w:val="19"/>
          <w:szCs w:val="19"/>
        </w:rPr>
        <w:t>en la página del INEGI que no fue incluid</w:t>
      </w:r>
      <w:r w:rsidR="00D823E3" w:rsidRPr="009A501D">
        <w:rPr>
          <w:rFonts w:ascii="Century Gothic" w:hAnsi="Century Gothic"/>
          <w:b/>
          <w:sz w:val="19"/>
          <w:szCs w:val="19"/>
        </w:rPr>
        <w:t>a</w:t>
      </w:r>
      <w:r w:rsidRPr="009A501D">
        <w:rPr>
          <w:rFonts w:ascii="Century Gothic" w:hAnsi="Century Gothic"/>
          <w:b/>
          <w:sz w:val="19"/>
          <w:szCs w:val="19"/>
        </w:rPr>
        <w:t xml:space="preserve"> en el Calendario de </w:t>
      </w:r>
      <w:r w:rsidR="00C22748" w:rsidRPr="009A501D">
        <w:rPr>
          <w:rFonts w:ascii="Century Gothic" w:hAnsi="Century Gothic"/>
          <w:b/>
          <w:sz w:val="19"/>
          <w:szCs w:val="19"/>
        </w:rPr>
        <w:t>d</w:t>
      </w:r>
      <w:r w:rsidRPr="009A501D">
        <w:rPr>
          <w:rFonts w:ascii="Century Gothic" w:hAnsi="Century Gothic"/>
          <w:b/>
          <w:sz w:val="19"/>
          <w:szCs w:val="19"/>
        </w:rPr>
        <w:t>ifusión 2022</w:t>
      </w:r>
    </w:p>
    <w:tbl>
      <w:tblPr>
        <w:tblW w:w="1048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870"/>
        <w:gridCol w:w="1200"/>
        <w:gridCol w:w="2863"/>
        <w:gridCol w:w="2547"/>
      </w:tblGrid>
      <w:tr w:rsidR="003F4035" w:rsidRPr="009A501D" w14:paraId="4BF3809A" w14:textId="77777777" w:rsidTr="002C59E3">
        <w:trPr>
          <w:trHeight w:val="284"/>
          <w:tblHeader/>
          <w:jc w:val="center"/>
        </w:trPr>
        <w:tc>
          <w:tcPr>
            <w:tcW w:w="3870" w:type="dxa"/>
            <w:shd w:val="clear" w:color="000000" w:fill="002060"/>
            <w:vAlign w:val="center"/>
            <w:hideMark/>
          </w:tcPr>
          <w:p w14:paraId="46A5BB25" w14:textId="54F71157" w:rsidR="003F4035" w:rsidRPr="009A501D" w:rsidRDefault="00D823E3" w:rsidP="00F0149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Información</w:t>
            </w:r>
            <w:r w:rsidR="00E86001" w:rsidRPr="009A501D">
              <w:rPr>
                <w:rFonts w:ascii="Century Gothic" w:eastAsia="Times New Roman" w:hAnsi="Century Gothic" w:cs="Calibri"/>
                <w:b/>
                <w:color w:val="FFFFFF"/>
                <w:sz w:val="16"/>
                <w:szCs w:val="16"/>
                <w:lang w:eastAsia="es-MX"/>
              </w:rPr>
              <w:t xml:space="preserve"> estadística y geográfica</w:t>
            </w:r>
          </w:p>
        </w:tc>
        <w:tc>
          <w:tcPr>
            <w:tcW w:w="1200" w:type="dxa"/>
            <w:shd w:val="clear" w:color="000000" w:fill="002060"/>
            <w:vAlign w:val="center"/>
            <w:hideMark/>
          </w:tcPr>
          <w:p w14:paraId="5F095421" w14:textId="77777777" w:rsidR="003F4035" w:rsidRPr="009A501D" w:rsidRDefault="003F4035" w:rsidP="00F0149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 xml:space="preserve">Acrónimo del proceso </w:t>
            </w:r>
          </w:p>
        </w:tc>
        <w:tc>
          <w:tcPr>
            <w:tcW w:w="2863" w:type="dxa"/>
            <w:shd w:val="clear" w:color="000000" w:fill="002060"/>
            <w:vAlign w:val="center"/>
            <w:hideMark/>
          </w:tcPr>
          <w:p w14:paraId="03ED6017" w14:textId="1D3E7B00" w:rsidR="003F4035" w:rsidRPr="009A501D" w:rsidRDefault="003F4035" w:rsidP="00F0149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Grado de madurez</w:t>
            </w:r>
            <w:r w:rsidR="006C3700" w:rsidRPr="009A501D">
              <w:rPr>
                <w:rFonts w:ascii="Century Gothic" w:eastAsia="Times New Roman" w:hAnsi="Century Gothic" w:cs="Calibri"/>
                <w:b/>
                <w:color w:val="FFFFFF"/>
                <w:sz w:val="16"/>
                <w:szCs w:val="16"/>
                <w:lang w:eastAsia="es-MX"/>
              </w:rPr>
              <w:t xml:space="preserve"> del proceso (IPI)</w:t>
            </w:r>
          </w:p>
        </w:tc>
        <w:tc>
          <w:tcPr>
            <w:tcW w:w="2547" w:type="dxa"/>
            <w:shd w:val="clear" w:color="000000" w:fill="002060"/>
            <w:vAlign w:val="center"/>
            <w:hideMark/>
          </w:tcPr>
          <w:p w14:paraId="448C0DA0" w14:textId="77777777" w:rsidR="003F4035" w:rsidRPr="009A501D" w:rsidRDefault="003F4035" w:rsidP="00F0149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Financiamiento</w:t>
            </w:r>
          </w:p>
        </w:tc>
      </w:tr>
      <w:tr w:rsidR="00BC774F" w:rsidRPr="009A501D" w14:paraId="6653BA1C" w14:textId="77777777" w:rsidTr="002C59E3">
        <w:trPr>
          <w:trHeight w:val="284"/>
          <w:jc w:val="center"/>
        </w:trPr>
        <w:tc>
          <w:tcPr>
            <w:tcW w:w="3870" w:type="dxa"/>
            <w:shd w:val="clear" w:color="auto" w:fill="FFFFFF" w:themeFill="background1"/>
            <w:vAlign w:val="center"/>
            <w:hideMark/>
          </w:tcPr>
          <w:p w14:paraId="579966BD" w14:textId="77279653"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Modo de transporte por aduana y capítulo </w:t>
            </w:r>
            <w:r w:rsidR="00E66406" w:rsidRPr="009A501D">
              <w:rPr>
                <w:rFonts w:ascii="Century Gothic" w:eastAsia="Times New Roman" w:hAnsi="Century Gothic" w:cs="Calibri"/>
                <w:color w:val="000000"/>
                <w:sz w:val="16"/>
                <w:szCs w:val="16"/>
                <w:lang w:eastAsia="es-MX"/>
              </w:rPr>
              <w:t>(</w:t>
            </w:r>
            <w:r w:rsidR="002E7081" w:rsidRPr="009A501D">
              <w:rPr>
                <w:rFonts w:ascii="Century Gothic" w:eastAsia="Times New Roman" w:hAnsi="Century Gothic" w:cs="Calibri"/>
                <w:color w:val="000000"/>
                <w:sz w:val="16"/>
                <w:szCs w:val="16"/>
                <w:lang w:eastAsia="es-MX"/>
              </w:rPr>
              <w:t>m</w:t>
            </w:r>
            <w:r w:rsidRPr="009A501D">
              <w:rPr>
                <w:rFonts w:ascii="Century Gothic" w:eastAsia="Times New Roman" w:hAnsi="Century Gothic" w:cs="Calibri"/>
                <w:color w:val="000000"/>
                <w:sz w:val="16"/>
                <w:szCs w:val="16"/>
                <w:lang w:eastAsia="es-MX"/>
              </w:rPr>
              <w:t>ensual</w:t>
            </w:r>
            <w:r w:rsidR="00E66406" w:rsidRPr="009A501D">
              <w:rPr>
                <w:rFonts w:ascii="Century Gothic" w:eastAsia="Times New Roman" w:hAnsi="Century Gothic" w:cs="Calibri"/>
                <w:color w:val="000000"/>
                <w:sz w:val="16"/>
                <w:szCs w:val="16"/>
                <w:lang w:eastAsia="es-MX"/>
              </w:rPr>
              <w:t>)</w:t>
            </w:r>
          </w:p>
        </w:tc>
        <w:tc>
          <w:tcPr>
            <w:tcW w:w="1200" w:type="dxa"/>
            <w:shd w:val="clear" w:color="auto" w:fill="FFFFFF" w:themeFill="background1"/>
            <w:vAlign w:val="center"/>
            <w:hideMark/>
          </w:tcPr>
          <w:p w14:paraId="330755D9"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BCMM</w:t>
            </w:r>
          </w:p>
        </w:tc>
        <w:tc>
          <w:tcPr>
            <w:tcW w:w="2863" w:type="dxa"/>
            <w:shd w:val="clear" w:color="auto" w:fill="FFFFFF" w:themeFill="background1"/>
            <w:vAlign w:val="center"/>
            <w:hideMark/>
          </w:tcPr>
          <w:p w14:paraId="3B7542F8" w14:textId="1A123412"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Información de Interés </w:t>
            </w:r>
            <w:r w:rsidR="00916328" w:rsidRPr="009A501D">
              <w:rPr>
                <w:rFonts w:ascii="Century Gothic" w:eastAsia="Times New Roman" w:hAnsi="Century Gothic" w:cs="Calibri"/>
                <w:color w:val="000000"/>
                <w:sz w:val="16"/>
                <w:szCs w:val="16"/>
                <w:lang w:eastAsia="es-MX"/>
              </w:rPr>
              <w:t>N</w:t>
            </w:r>
            <w:r w:rsidRPr="009A501D">
              <w:rPr>
                <w:rFonts w:ascii="Century Gothic" w:eastAsia="Times New Roman" w:hAnsi="Century Gothic" w:cs="Calibri"/>
                <w:color w:val="000000"/>
                <w:sz w:val="16"/>
                <w:szCs w:val="16"/>
                <w:lang w:eastAsia="es-MX"/>
              </w:rPr>
              <w:t>acional</w:t>
            </w:r>
          </w:p>
        </w:tc>
        <w:tc>
          <w:tcPr>
            <w:tcW w:w="2547" w:type="dxa"/>
            <w:shd w:val="clear" w:color="auto" w:fill="FFFFFF" w:themeFill="background1"/>
            <w:vAlign w:val="center"/>
            <w:hideMark/>
          </w:tcPr>
          <w:p w14:paraId="1C96F578" w14:textId="23F61A8E"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31E63322" w14:textId="77777777" w:rsidTr="002C59E3">
        <w:trPr>
          <w:trHeight w:val="284"/>
          <w:jc w:val="center"/>
        </w:trPr>
        <w:tc>
          <w:tcPr>
            <w:tcW w:w="3870" w:type="dxa"/>
            <w:shd w:val="clear" w:color="auto" w:fill="FFFFFF" w:themeFill="background1"/>
            <w:vAlign w:val="center"/>
            <w:hideMark/>
          </w:tcPr>
          <w:p w14:paraId="3517A2E2" w14:textId="10834ADD"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Exportaciones e Importaciones por países y zonas geográficas según tipo de bien </w:t>
            </w:r>
            <w:r w:rsidR="00E66406" w:rsidRPr="009A501D">
              <w:rPr>
                <w:rFonts w:ascii="Century Gothic" w:eastAsia="Times New Roman" w:hAnsi="Century Gothic" w:cs="Calibri"/>
                <w:color w:val="000000"/>
                <w:sz w:val="16"/>
                <w:szCs w:val="16"/>
                <w:lang w:eastAsia="es-MX"/>
              </w:rPr>
              <w:t>(</w:t>
            </w:r>
            <w:r w:rsidR="002E7081" w:rsidRPr="009A501D">
              <w:rPr>
                <w:rFonts w:ascii="Century Gothic" w:eastAsia="Times New Roman" w:hAnsi="Century Gothic" w:cs="Calibri"/>
                <w:color w:val="000000"/>
                <w:sz w:val="16"/>
                <w:szCs w:val="16"/>
                <w:lang w:eastAsia="es-MX"/>
              </w:rPr>
              <w:t>m</w:t>
            </w:r>
            <w:r w:rsidRPr="009A501D">
              <w:rPr>
                <w:rFonts w:ascii="Century Gothic" w:eastAsia="Times New Roman" w:hAnsi="Century Gothic" w:cs="Calibri"/>
                <w:color w:val="000000"/>
                <w:sz w:val="16"/>
                <w:szCs w:val="16"/>
                <w:lang w:eastAsia="es-MX"/>
              </w:rPr>
              <w:t>ensual</w:t>
            </w:r>
            <w:r w:rsidR="00E66406" w:rsidRPr="009A501D">
              <w:rPr>
                <w:rFonts w:ascii="Century Gothic" w:eastAsia="Times New Roman" w:hAnsi="Century Gothic" w:cs="Calibri"/>
                <w:color w:val="000000"/>
                <w:sz w:val="16"/>
                <w:szCs w:val="16"/>
                <w:lang w:eastAsia="es-MX"/>
              </w:rPr>
              <w:t>)</w:t>
            </w:r>
          </w:p>
        </w:tc>
        <w:tc>
          <w:tcPr>
            <w:tcW w:w="1200" w:type="dxa"/>
            <w:shd w:val="clear" w:color="auto" w:fill="FFFFFF" w:themeFill="background1"/>
            <w:vAlign w:val="center"/>
            <w:hideMark/>
          </w:tcPr>
          <w:p w14:paraId="66D0825A"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BCMM</w:t>
            </w:r>
          </w:p>
        </w:tc>
        <w:tc>
          <w:tcPr>
            <w:tcW w:w="2863" w:type="dxa"/>
            <w:shd w:val="clear" w:color="auto" w:fill="FFFFFF" w:themeFill="background1"/>
            <w:vAlign w:val="center"/>
            <w:hideMark/>
          </w:tcPr>
          <w:p w14:paraId="6825B71F" w14:textId="6F107AC2"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Información de Interés </w:t>
            </w:r>
            <w:r w:rsidR="00916328" w:rsidRPr="009A501D">
              <w:rPr>
                <w:rFonts w:ascii="Century Gothic" w:eastAsia="Times New Roman" w:hAnsi="Century Gothic" w:cs="Calibri"/>
                <w:color w:val="000000"/>
                <w:sz w:val="16"/>
                <w:szCs w:val="16"/>
                <w:lang w:eastAsia="es-MX"/>
              </w:rPr>
              <w:t>N</w:t>
            </w:r>
            <w:r w:rsidRPr="009A501D">
              <w:rPr>
                <w:rFonts w:ascii="Century Gothic" w:eastAsia="Times New Roman" w:hAnsi="Century Gothic" w:cs="Calibri"/>
                <w:color w:val="000000"/>
                <w:sz w:val="16"/>
                <w:szCs w:val="16"/>
                <w:lang w:eastAsia="es-MX"/>
              </w:rPr>
              <w:t>acional</w:t>
            </w:r>
          </w:p>
        </w:tc>
        <w:tc>
          <w:tcPr>
            <w:tcW w:w="2547" w:type="dxa"/>
            <w:shd w:val="clear" w:color="auto" w:fill="FFFFFF" w:themeFill="background1"/>
            <w:vAlign w:val="center"/>
            <w:hideMark/>
          </w:tcPr>
          <w:p w14:paraId="09EF06D8" w14:textId="7BC91271"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w:t>
            </w:r>
          </w:p>
        </w:tc>
      </w:tr>
      <w:tr w:rsidR="00260BB9" w:rsidRPr="009A501D" w14:paraId="73694A71" w14:textId="77777777" w:rsidTr="002C59E3">
        <w:trPr>
          <w:trHeight w:val="284"/>
          <w:jc w:val="center"/>
        </w:trPr>
        <w:tc>
          <w:tcPr>
            <w:tcW w:w="3870" w:type="dxa"/>
            <w:shd w:val="clear" w:color="auto" w:fill="FFFFFF" w:themeFill="background1"/>
            <w:vAlign w:val="center"/>
          </w:tcPr>
          <w:p w14:paraId="3301CDDE" w14:textId="4C49CCB6"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Oportuno del Consumo Privado</w:t>
            </w:r>
          </w:p>
        </w:tc>
        <w:tc>
          <w:tcPr>
            <w:tcW w:w="1200" w:type="dxa"/>
            <w:shd w:val="clear" w:color="auto" w:fill="FFFFFF" w:themeFill="background1"/>
            <w:vAlign w:val="center"/>
          </w:tcPr>
          <w:p w14:paraId="67439217" w14:textId="463F40FA"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CCP</w:t>
            </w:r>
          </w:p>
        </w:tc>
        <w:tc>
          <w:tcPr>
            <w:tcW w:w="2863" w:type="dxa"/>
            <w:shd w:val="clear" w:color="auto" w:fill="FFFFFF" w:themeFill="background1"/>
            <w:vAlign w:val="center"/>
          </w:tcPr>
          <w:p w14:paraId="26487165" w14:textId="03AC8F04"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Información de Interés Nacional</w:t>
            </w:r>
          </w:p>
        </w:tc>
        <w:tc>
          <w:tcPr>
            <w:tcW w:w="2547" w:type="dxa"/>
            <w:shd w:val="clear" w:color="auto" w:fill="FFFFFF" w:themeFill="background1"/>
            <w:vAlign w:val="center"/>
          </w:tcPr>
          <w:p w14:paraId="4432FEE4" w14:textId="0DF737EA"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INEGI</w:t>
            </w:r>
          </w:p>
        </w:tc>
      </w:tr>
      <w:tr w:rsidR="00260BB9" w:rsidRPr="009A501D" w14:paraId="79246E66" w14:textId="77777777" w:rsidTr="002C59E3">
        <w:trPr>
          <w:trHeight w:val="284"/>
          <w:jc w:val="center"/>
        </w:trPr>
        <w:tc>
          <w:tcPr>
            <w:tcW w:w="3870" w:type="dxa"/>
            <w:shd w:val="clear" w:color="auto" w:fill="FFFFFF" w:themeFill="background1"/>
            <w:vAlign w:val="center"/>
          </w:tcPr>
          <w:p w14:paraId="7E54146A" w14:textId="6028CCF8" w:rsidR="00260BB9" w:rsidRPr="009A501D" w:rsidRDefault="00260BB9" w:rsidP="00260BB9">
            <w:pPr>
              <w:spacing w:after="0" w:line="240" w:lineRule="auto"/>
              <w:rPr>
                <w:rFonts w:ascii="Century Gothic" w:eastAsia="Times New Roman" w:hAnsi="Century Gothic" w:cs="Calibri"/>
                <w:color w:val="000000"/>
                <w:sz w:val="16"/>
                <w:szCs w:val="16"/>
                <w:lang w:eastAsia="es-MX"/>
              </w:rPr>
            </w:pPr>
            <w:bookmarkStart w:id="15" w:name="RANGE!A18"/>
            <w:r w:rsidRPr="009A501D">
              <w:rPr>
                <w:rFonts w:ascii="Century Gothic" w:eastAsia="Times New Roman" w:hAnsi="Century Gothic" w:cs="Calibri"/>
                <w:color w:val="000000"/>
                <w:sz w:val="16"/>
                <w:szCs w:val="16"/>
                <w:lang w:eastAsia="es-MX"/>
              </w:rPr>
              <w:t>Demografía de los Negocios (DN) 2019-2021</w:t>
            </w:r>
            <w:bookmarkEnd w:id="15"/>
          </w:p>
        </w:tc>
        <w:tc>
          <w:tcPr>
            <w:tcW w:w="1200" w:type="dxa"/>
            <w:shd w:val="clear" w:color="auto" w:fill="FFFFFF" w:themeFill="background1"/>
            <w:vAlign w:val="center"/>
          </w:tcPr>
          <w:p w14:paraId="7AA01A32" w14:textId="184C3271"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RENEM</w:t>
            </w:r>
          </w:p>
        </w:tc>
        <w:tc>
          <w:tcPr>
            <w:tcW w:w="2863" w:type="dxa"/>
            <w:shd w:val="clear" w:color="auto" w:fill="FFFFFF" w:themeFill="background1"/>
            <w:vAlign w:val="center"/>
          </w:tcPr>
          <w:p w14:paraId="6B19E6EC" w14:textId="3E37E58E"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tcPr>
          <w:p w14:paraId="5BBCE830" w14:textId="016E3D86"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INEGI</w:t>
            </w:r>
          </w:p>
        </w:tc>
      </w:tr>
      <w:tr w:rsidR="00BC774F" w:rsidRPr="009A501D" w14:paraId="32A82F0B" w14:textId="77777777" w:rsidTr="002C59E3">
        <w:trPr>
          <w:trHeight w:val="284"/>
          <w:jc w:val="center"/>
        </w:trPr>
        <w:tc>
          <w:tcPr>
            <w:tcW w:w="3870" w:type="dxa"/>
            <w:shd w:val="clear" w:color="auto" w:fill="FFFFFF" w:themeFill="background1"/>
            <w:vAlign w:val="center"/>
            <w:hideMark/>
          </w:tcPr>
          <w:p w14:paraId="67446EB3"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Módulo sobre Ciberacoso  </w:t>
            </w:r>
          </w:p>
        </w:tc>
        <w:tc>
          <w:tcPr>
            <w:tcW w:w="1200" w:type="dxa"/>
            <w:shd w:val="clear" w:color="auto" w:fill="FFFFFF" w:themeFill="background1"/>
            <w:vAlign w:val="center"/>
            <w:hideMark/>
          </w:tcPr>
          <w:p w14:paraId="4757B094"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MOCIBA</w:t>
            </w:r>
          </w:p>
        </w:tc>
        <w:tc>
          <w:tcPr>
            <w:tcW w:w="2863" w:type="dxa"/>
            <w:shd w:val="clear" w:color="auto" w:fill="FFFFFF" w:themeFill="background1"/>
            <w:vAlign w:val="center"/>
            <w:hideMark/>
          </w:tcPr>
          <w:p w14:paraId="0A1DF8A8"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3AD9052C"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177030F0" w14:textId="77777777" w:rsidTr="002C59E3">
        <w:trPr>
          <w:trHeight w:val="284"/>
          <w:jc w:val="center"/>
        </w:trPr>
        <w:tc>
          <w:tcPr>
            <w:tcW w:w="3870" w:type="dxa"/>
            <w:shd w:val="clear" w:color="auto" w:fill="FFFFFF" w:themeFill="background1"/>
            <w:vAlign w:val="center"/>
            <w:hideMark/>
          </w:tcPr>
          <w:p w14:paraId="79218C77"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Gobierno Federal 2021</w:t>
            </w:r>
          </w:p>
        </w:tc>
        <w:tc>
          <w:tcPr>
            <w:tcW w:w="1200" w:type="dxa"/>
            <w:shd w:val="clear" w:color="auto" w:fill="FFFFFF" w:themeFill="background1"/>
            <w:vAlign w:val="center"/>
            <w:hideMark/>
          </w:tcPr>
          <w:p w14:paraId="17169869"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CNGF</w:t>
            </w:r>
          </w:p>
        </w:tc>
        <w:tc>
          <w:tcPr>
            <w:tcW w:w="2863" w:type="dxa"/>
            <w:shd w:val="clear" w:color="auto" w:fill="FFFFFF" w:themeFill="background1"/>
            <w:vAlign w:val="center"/>
            <w:hideMark/>
          </w:tcPr>
          <w:p w14:paraId="58E1AC44"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649A886A"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3B78DFAF" w14:textId="77777777" w:rsidTr="002C59E3">
        <w:trPr>
          <w:trHeight w:val="284"/>
          <w:jc w:val="center"/>
        </w:trPr>
        <w:tc>
          <w:tcPr>
            <w:tcW w:w="3870" w:type="dxa"/>
            <w:shd w:val="clear" w:color="auto" w:fill="FFFFFF" w:themeFill="background1"/>
            <w:vAlign w:val="center"/>
            <w:hideMark/>
          </w:tcPr>
          <w:p w14:paraId="46122647"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Seguridad Pública Federal 2020</w:t>
            </w:r>
          </w:p>
        </w:tc>
        <w:tc>
          <w:tcPr>
            <w:tcW w:w="1200" w:type="dxa"/>
            <w:shd w:val="clear" w:color="auto" w:fill="FFFFFF" w:themeFill="background1"/>
            <w:vAlign w:val="center"/>
            <w:hideMark/>
          </w:tcPr>
          <w:p w14:paraId="41534962"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CNSPF</w:t>
            </w:r>
          </w:p>
        </w:tc>
        <w:tc>
          <w:tcPr>
            <w:tcW w:w="2863" w:type="dxa"/>
            <w:shd w:val="clear" w:color="auto" w:fill="FFFFFF" w:themeFill="background1"/>
            <w:vAlign w:val="center"/>
            <w:hideMark/>
          </w:tcPr>
          <w:p w14:paraId="33331B67"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4AAF2059"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59AD175F" w14:textId="77777777" w:rsidTr="002C59E3">
        <w:trPr>
          <w:trHeight w:val="284"/>
          <w:jc w:val="center"/>
        </w:trPr>
        <w:tc>
          <w:tcPr>
            <w:tcW w:w="3870" w:type="dxa"/>
            <w:shd w:val="clear" w:color="auto" w:fill="FFFFFF" w:themeFill="background1"/>
            <w:vAlign w:val="center"/>
            <w:hideMark/>
          </w:tcPr>
          <w:p w14:paraId="2729FEE3"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Procuración de Justicia Federal 2022</w:t>
            </w:r>
          </w:p>
        </w:tc>
        <w:tc>
          <w:tcPr>
            <w:tcW w:w="1200" w:type="dxa"/>
            <w:shd w:val="clear" w:color="auto" w:fill="FFFFFF" w:themeFill="background1"/>
            <w:vAlign w:val="center"/>
            <w:hideMark/>
          </w:tcPr>
          <w:p w14:paraId="11241ACB"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CNPJF</w:t>
            </w:r>
          </w:p>
        </w:tc>
        <w:tc>
          <w:tcPr>
            <w:tcW w:w="2863" w:type="dxa"/>
            <w:shd w:val="clear" w:color="auto" w:fill="FFFFFF" w:themeFill="background1"/>
            <w:vAlign w:val="center"/>
            <w:hideMark/>
          </w:tcPr>
          <w:p w14:paraId="3124866F"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61461C00"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2F6F6928" w14:textId="77777777" w:rsidTr="002C59E3">
        <w:trPr>
          <w:trHeight w:val="284"/>
          <w:jc w:val="center"/>
        </w:trPr>
        <w:tc>
          <w:tcPr>
            <w:tcW w:w="3870" w:type="dxa"/>
            <w:shd w:val="clear" w:color="auto" w:fill="FFFFFF" w:themeFill="background1"/>
            <w:vAlign w:val="center"/>
            <w:hideMark/>
          </w:tcPr>
          <w:p w14:paraId="60667C83"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Seguridad Pública Federal 2021</w:t>
            </w:r>
          </w:p>
        </w:tc>
        <w:tc>
          <w:tcPr>
            <w:tcW w:w="1200" w:type="dxa"/>
            <w:shd w:val="clear" w:color="auto" w:fill="FFFFFF" w:themeFill="background1"/>
            <w:vAlign w:val="center"/>
            <w:hideMark/>
          </w:tcPr>
          <w:p w14:paraId="56C3A819"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CNSPF</w:t>
            </w:r>
          </w:p>
        </w:tc>
        <w:tc>
          <w:tcPr>
            <w:tcW w:w="2863" w:type="dxa"/>
            <w:shd w:val="clear" w:color="auto" w:fill="FFFFFF" w:themeFill="background1"/>
            <w:vAlign w:val="center"/>
            <w:hideMark/>
          </w:tcPr>
          <w:p w14:paraId="2B14A040"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51547092"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5EBD2075" w14:textId="77777777" w:rsidTr="002C59E3">
        <w:trPr>
          <w:trHeight w:val="284"/>
          <w:jc w:val="center"/>
        </w:trPr>
        <w:tc>
          <w:tcPr>
            <w:tcW w:w="3870" w:type="dxa"/>
            <w:shd w:val="clear" w:color="auto" w:fill="FFFFFF" w:themeFill="background1"/>
            <w:vAlign w:val="center"/>
            <w:hideMark/>
          </w:tcPr>
          <w:p w14:paraId="6021EE62" w14:textId="6986E8F0"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Confianza del Consumidor</w:t>
            </w:r>
            <w:r w:rsidR="00E66406" w:rsidRPr="009A501D">
              <w:rPr>
                <w:rFonts w:ascii="Century Gothic" w:eastAsia="Times New Roman" w:hAnsi="Century Gothic" w:cs="Calibri"/>
                <w:color w:val="000000"/>
                <w:sz w:val="16"/>
                <w:szCs w:val="16"/>
                <w:lang w:eastAsia="es-MX"/>
              </w:rPr>
              <w:t xml:space="preserve"> (a</w:t>
            </w:r>
            <w:r w:rsidRPr="009A501D">
              <w:rPr>
                <w:rFonts w:ascii="Century Gothic" w:eastAsia="Times New Roman" w:hAnsi="Century Gothic" w:cs="Calibri"/>
                <w:color w:val="000000"/>
                <w:sz w:val="16"/>
                <w:szCs w:val="16"/>
                <w:lang w:eastAsia="es-MX"/>
              </w:rPr>
              <w:t>mpliada</w:t>
            </w:r>
            <w:r w:rsidR="00E66406" w:rsidRPr="009A501D">
              <w:rPr>
                <w:rFonts w:ascii="Century Gothic" w:eastAsia="Times New Roman" w:hAnsi="Century Gothic" w:cs="Calibri"/>
                <w:color w:val="000000"/>
                <w:sz w:val="16"/>
                <w:szCs w:val="16"/>
                <w:lang w:eastAsia="es-MX"/>
              </w:rPr>
              <w:t>)</w:t>
            </w:r>
          </w:p>
        </w:tc>
        <w:tc>
          <w:tcPr>
            <w:tcW w:w="1200" w:type="dxa"/>
            <w:shd w:val="clear" w:color="auto" w:fill="FFFFFF" w:themeFill="background1"/>
            <w:vAlign w:val="center"/>
            <w:hideMark/>
          </w:tcPr>
          <w:p w14:paraId="10C3110D"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ENCO</w:t>
            </w:r>
          </w:p>
        </w:tc>
        <w:tc>
          <w:tcPr>
            <w:tcW w:w="2863" w:type="dxa"/>
            <w:shd w:val="clear" w:color="auto" w:fill="FFFFFF" w:themeFill="background1"/>
            <w:vAlign w:val="center"/>
            <w:hideMark/>
          </w:tcPr>
          <w:p w14:paraId="2671E555"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7A77BDE6"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 Banco de México </w:t>
            </w:r>
          </w:p>
        </w:tc>
      </w:tr>
      <w:tr w:rsidR="00BC774F" w:rsidRPr="009A501D" w14:paraId="61658C59" w14:textId="77777777" w:rsidTr="002C59E3">
        <w:trPr>
          <w:trHeight w:val="284"/>
          <w:jc w:val="center"/>
        </w:trPr>
        <w:tc>
          <w:tcPr>
            <w:tcW w:w="3870" w:type="dxa"/>
            <w:shd w:val="clear" w:color="auto" w:fill="FFFFFF" w:themeFill="background1"/>
            <w:vAlign w:val="center"/>
            <w:hideMark/>
          </w:tcPr>
          <w:p w14:paraId="189304BE"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Disponibilidad y Uso de Tecnologías de la Información en los Hogares</w:t>
            </w:r>
          </w:p>
        </w:tc>
        <w:tc>
          <w:tcPr>
            <w:tcW w:w="1200" w:type="dxa"/>
            <w:shd w:val="clear" w:color="auto" w:fill="FFFFFF" w:themeFill="background1"/>
            <w:vAlign w:val="center"/>
            <w:hideMark/>
          </w:tcPr>
          <w:p w14:paraId="5B29B780"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ENDUTIH</w:t>
            </w:r>
          </w:p>
        </w:tc>
        <w:tc>
          <w:tcPr>
            <w:tcW w:w="2863" w:type="dxa"/>
            <w:shd w:val="clear" w:color="auto" w:fill="FFFFFF" w:themeFill="background1"/>
            <w:vAlign w:val="center"/>
            <w:hideMark/>
          </w:tcPr>
          <w:p w14:paraId="6A719877"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hideMark/>
          </w:tcPr>
          <w:p w14:paraId="22F30DCF" w14:textId="47ED5DAA"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w:t>
            </w:r>
            <w:r w:rsidR="002C59E3">
              <w:rPr>
                <w:rFonts w:ascii="Century Gothic" w:eastAsia="Times New Roman" w:hAnsi="Century Gothic" w:cs="Calibri"/>
                <w:color w:val="000000"/>
                <w:sz w:val="16"/>
                <w:szCs w:val="16"/>
                <w:lang w:eastAsia="es-MX"/>
              </w:rPr>
              <w:t>/ Instituto Federal de Telecomunicaciones</w:t>
            </w:r>
          </w:p>
        </w:tc>
      </w:tr>
      <w:tr w:rsidR="00C74D2F" w:rsidRPr="009A501D" w14:paraId="40B8E236" w14:textId="77777777" w:rsidTr="002C59E3">
        <w:trPr>
          <w:trHeight w:val="284"/>
          <w:jc w:val="center"/>
        </w:trPr>
        <w:tc>
          <w:tcPr>
            <w:tcW w:w="3870" w:type="dxa"/>
            <w:shd w:val="clear" w:color="auto" w:fill="FFFFFF" w:themeFill="background1"/>
            <w:vAlign w:val="center"/>
          </w:tcPr>
          <w:p w14:paraId="00B57DF0" w14:textId="6E8745E1" w:rsidR="00C74D2F" w:rsidRPr="009A501D" w:rsidRDefault="00C74D2F" w:rsidP="00C74D2F">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Indicadores Laborales para los Municipios de México 2021. Estimación en áreas pequeñas</w:t>
            </w:r>
          </w:p>
        </w:tc>
        <w:tc>
          <w:tcPr>
            <w:tcW w:w="1200" w:type="dxa"/>
            <w:shd w:val="clear" w:color="auto" w:fill="FFFFFF" w:themeFill="background1"/>
            <w:vAlign w:val="center"/>
          </w:tcPr>
          <w:p w14:paraId="4DAD1563" w14:textId="5690C724" w:rsidR="00C74D2F" w:rsidRPr="009A501D" w:rsidRDefault="00C74D2F" w:rsidP="00C74D2F">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ECSAP-IL</w:t>
            </w:r>
          </w:p>
        </w:tc>
        <w:tc>
          <w:tcPr>
            <w:tcW w:w="2863" w:type="dxa"/>
            <w:shd w:val="clear" w:color="auto" w:fill="FFFFFF" w:themeFill="background1"/>
            <w:vAlign w:val="center"/>
          </w:tcPr>
          <w:p w14:paraId="041A6675" w14:textId="0B349A68" w:rsidR="00C74D2F" w:rsidRPr="009A501D" w:rsidRDefault="00C74D2F" w:rsidP="00C74D2F">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 y regular</w:t>
            </w:r>
          </w:p>
        </w:tc>
        <w:tc>
          <w:tcPr>
            <w:tcW w:w="2547" w:type="dxa"/>
            <w:shd w:val="clear" w:color="auto" w:fill="FFFFFF" w:themeFill="background1"/>
            <w:vAlign w:val="center"/>
          </w:tcPr>
          <w:p w14:paraId="03D941AB" w14:textId="7C143197" w:rsidR="00C74D2F" w:rsidRPr="009A501D" w:rsidRDefault="00C74D2F" w:rsidP="00C74D2F">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C74D2F" w:rsidRPr="009A501D" w14:paraId="06CAAFF6" w14:textId="77777777" w:rsidTr="002C59E3">
        <w:trPr>
          <w:trHeight w:val="284"/>
          <w:jc w:val="center"/>
        </w:trPr>
        <w:tc>
          <w:tcPr>
            <w:tcW w:w="3870" w:type="dxa"/>
            <w:shd w:val="clear" w:color="auto" w:fill="FFFFFF" w:themeFill="background1"/>
            <w:vAlign w:val="center"/>
          </w:tcPr>
          <w:p w14:paraId="6C1446F0" w14:textId="2DBF5555" w:rsidR="00C74D2F" w:rsidRPr="009A501D" w:rsidRDefault="00C74D2F" w:rsidP="00C74D2F">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Accidentes de tránsito terrestre en zonas urbanas y suburbanas. Georreferenciados</w:t>
            </w:r>
          </w:p>
        </w:tc>
        <w:tc>
          <w:tcPr>
            <w:tcW w:w="1200" w:type="dxa"/>
            <w:shd w:val="clear" w:color="auto" w:fill="FFFFFF" w:themeFill="background1"/>
            <w:vAlign w:val="center"/>
          </w:tcPr>
          <w:p w14:paraId="60F255BA" w14:textId="203971E0" w:rsidR="00C74D2F" w:rsidRPr="009A501D" w:rsidRDefault="00C74D2F" w:rsidP="00C74D2F">
            <w:pPr>
              <w:spacing w:after="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ATUS</w:t>
            </w:r>
          </w:p>
        </w:tc>
        <w:tc>
          <w:tcPr>
            <w:tcW w:w="2863" w:type="dxa"/>
            <w:shd w:val="clear" w:color="auto" w:fill="FFFFFF" w:themeFill="background1"/>
            <w:vAlign w:val="center"/>
          </w:tcPr>
          <w:p w14:paraId="4BCFBA2E" w14:textId="56D2699A" w:rsidR="00C74D2F" w:rsidRPr="009A501D" w:rsidRDefault="00C74D2F" w:rsidP="00C74D2F">
            <w:pPr>
              <w:spacing w:after="0" w:line="240" w:lineRule="auto"/>
              <w:jc w:val="center"/>
              <w:rPr>
                <w:rFonts w:ascii="Century Gothic" w:eastAsia="Times New Roman" w:hAnsi="Century Gothic" w:cs="Calibri"/>
                <w:color w:val="000000"/>
                <w:sz w:val="16"/>
                <w:szCs w:val="16"/>
                <w:lang w:eastAsia="es-MX"/>
              </w:rPr>
            </w:pPr>
            <w:r w:rsidRPr="00A73268">
              <w:rPr>
                <w:rFonts w:ascii="Century Gothic" w:eastAsia="Times New Roman" w:hAnsi="Century Gothic" w:cs="Calibri"/>
                <w:color w:val="000000"/>
                <w:sz w:val="17"/>
                <w:szCs w:val="17"/>
                <w:lang w:eastAsia="es-MX"/>
              </w:rPr>
              <w:t>Consolidado y regular</w:t>
            </w:r>
          </w:p>
        </w:tc>
        <w:tc>
          <w:tcPr>
            <w:tcW w:w="2547" w:type="dxa"/>
            <w:shd w:val="clear" w:color="auto" w:fill="FFFFFF" w:themeFill="background1"/>
            <w:vAlign w:val="center"/>
          </w:tcPr>
          <w:p w14:paraId="7B2648FB" w14:textId="612A20DF" w:rsidR="00C74D2F" w:rsidRPr="009A501D" w:rsidRDefault="00C74D2F" w:rsidP="00C74D2F">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668C48DB" w14:textId="77777777" w:rsidTr="002C59E3">
        <w:trPr>
          <w:trHeight w:val="284"/>
          <w:jc w:val="center"/>
        </w:trPr>
        <w:tc>
          <w:tcPr>
            <w:tcW w:w="3870" w:type="dxa"/>
            <w:shd w:val="clear" w:color="auto" w:fill="FFFFFF" w:themeFill="background1"/>
            <w:vAlign w:val="center"/>
            <w:hideMark/>
          </w:tcPr>
          <w:p w14:paraId="0FC61D7C"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Inclusión Financiera 2021</w:t>
            </w:r>
          </w:p>
        </w:tc>
        <w:tc>
          <w:tcPr>
            <w:tcW w:w="1200" w:type="dxa"/>
            <w:shd w:val="clear" w:color="auto" w:fill="FFFFFF" w:themeFill="background1"/>
            <w:vAlign w:val="center"/>
            <w:hideMark/>
          </w:tcPr>
          <w:p w14:paraId="3E65C7C8"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ENIF</w:t>
            </w:r>
          </w:p>
        </w:tc>
        <w:tc>
          <w:tcPr>
            <w:tcW w:w="2863" w:type="dxa"/>
            <w:shd w:val="clear" w:color="auto" w:fill="FFFFFF" w:themeFill="background1"/>
            <w:vAlign w:val="center"/>
            <w:hideMark/>
          </w:tcPr>
          <w:p w14:paraId="61AE242A"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w:t>
            </w:r>
          </w:p>
        </w:tc>
        <w:tc>
          <w:tcPr>
            <w:tcW w:w="2547" w:type="dxa"/>
            <w:shd w:val="clear" w:color="auto" w:fill="FFFFFF" w:themeFill="background1"/>
            <w:vAlign w:val="center"/>
            <w:hideMark/>
          </w:tcPr>
          <w:p w14:paraId="70AE374C"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548796B8" w14:textId="77777777" w:rsidTr="002C59E3">
        <w:trPr>
          <w:trHeight w:val="284"/>
          <w:jc w:val="center"/>
        </w:trPr>
        <w:tc>
          <w:tcPr>
            <w:tcW w:w="3870" w:type="dxa"/>
            <w:shd w:val="clear" w:color="auto" w:fill="FFFFFF" w:themeFill="background1"/>
            <w:vAlign w:val="center"/>
            <w:hideMark/>
          </w:tcPr>
          <w:p w14:paraId="2ED3E947"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Diversidad Sexual y de Género 2021</w:t>
            </w:r>
          </w:p>
        </w:tc>
        <w:tc>
          <w:tcPr>
            <w:tcW w:w="1200" w:type="dxa"/>
            <w:shd w:val="clear" w:color="auto" w:fill="FFFFFF" w:themeFill="background1"/>
            <w:vAlign w:val="center"/>
            <w:hideMark/>
          </w:tcPr>
          <w:p w14:paraId="12A91BF7"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ENDISEG</w:t>
            </w:r>
          </w:p>
        </w:tc>
        <w:tc>
          <w:tcPr>
            <w:tcW w:w="2863" w:type="dxa"/>
            <w:shd w:val="clear" w:color="auto" w:fill="FFFFFF" w:themeFill="background1"/>
            <w:vAlign w:val="center"/>
            <w:hideMark/>
          </w:tcPr>
          <w:p w14:paraId="7CA29E08"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w:t>
            </w:r>
          </w:p>
        </w:tc>
        <w:tc>
          <w:tcPr>
            <w:tcW w:w="2547" w:type="dxa"/>
            <w:shd w:val="clear" w:color="auto" w:fill="FFFFFF" w:themeFill="background1"/>
            <w:vAlign w:val="center"/>
            <w:hideMark/>
          </w:tcPr>
          <w:p w14:paraId="059587CE"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7DEEC230" w14:textId="77777777" w:rsidTr="002C59E3">
        <w:trPr>
          <w:trHeight w:val="284"/>
          <w:jc w:val="center"/>
        </w:trPr>
        <w:tc>
          <w:tcPr>
            <w:tcW w:w="3870" w:type="dxa"/>
            <w:shd w:val="clear" w:color="auto" w:fill="FFFFFF" w:themeFill="background1"/>
            <w:vAlign w:val="center"/>
            <w:hideMark/>
          </w:tcPr>
          <w:p w14:paraId="70ADE31D"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Acceso y Permanencia en la Educación (ENAPE) 2021</w:t>
            </w:r>
          </w:p>
        </w:tc>
        <w:tc>
          <w:tcPr>
            <w:tcW w:w="1200" w:type="dxa"/>
            <w:shd w:val="clear" w:color="auto" w:fill="FFFFFF" w:themeFill="background1"/>
            <w:vAlign w:val="center"/>
            <w:hideMark/>
          </w:tcPr>
          <w:p w14:paraId="59EEBA4F"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ENAPE</w:t>
            </w:r>
          </w:p>
        </w:tc>
        <w:tc>
          <w:tcPr>
            <w:tcW w:w="2863" w:type="dxa"/>
            <w:shd w:val="clear" w:color="auto" w:fill="FFFFFF" w:themeFill="background1"/>
            <w:vAlign w:val="center"/>
            <w:hideMark/>
          </w:tcPr>
          <w:p w14:paraId="366E3C65"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w:t>
            </w:r>
          </w:p>
        </w:tc>
        <w:tc>
          <w:tcPr>
            <w:tcW w:w="2547" w:type="dxa"/>
            <w:shd w:val="clear" w:color="auto" w:fill="FFFFFF" w:themeFill="background1"/>
            <w:vAlign w:val="center"/>
            <w:hideMark/>
          </w:tcPr>
          <w:p w14:paraId="3E0FC469"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32177570" w14:textId="77777777" w:rsidTr="002C59E3">
        <w:trPr>
          <w:trHeight w:val="284"/>
          <w:jc w:val="center"/>
        </w:trPr>
        <w:tc>
          <w:tcPr>
            <w:tcW w:w="3870" w:type="dxa"/>
            <w:shd w:val="clear" w:color="auto" w:fill="FFFFFF" w:themeFill="background1"/>
            <w:vAlign w:val="center"/>
            <w:hideMark/>
          </w:tcPr>
          <w:p w14:paraId="4B9CA7AB"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Financiamiento de las Empresas 2021</w:t>
            </w:r>
          </w:p>
        </w:tc>
        <w:tc>
          <w:tcPr>
            <w:tcW w:w="1200" w:type="dxa"/>
            <w:shd w:val="clear" w:color="auto" w:fill="FFFFFF" w:themeFill="background1"/>
            <w:vAlign w:val="center"/>
            <w:hideMark/>
          </w:tcPr>
          <w:p w14:paraId="53D92B41"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ENAFIN</w:t>
            </w:r>
          </w:p>
        </w:tc>
        <w:tc>
          <w:tcPr>
            <w:tcW w:w="2863" w:type="dxa"/>
            <w:shd w:val="clear" w:color="auto" w:fill="FFFFFF" w:themeFill="background1"/>
            <w:vAlign w:val="center"/>
            <w:hideMark/>
          </w:tcPr>
          <w:p w14:paraId="4D5D382D"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Consolidado</w:t>
            </w:r>
          </w:p>
        </w:tc>
        <w:tc>
          <w:tcPr>
            <w:tcW w:w="2547" w:type="dxa"/>
            <w:shd w:val="clear" w:color="auto" w:fill="FFFFFF" w:themeFill="background1"/>
            <w:vAlign w:val="center"/>
            <w:hideMark/>
          </w:tcPr>
          <w:p w14:paraId="0C40EED7"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 Comisión Nacional Bancaria y de Valores </w:t>
            </w:r>
          </w:p>
        </w:tc>
      </w:tr>
      <w:tr w:rsidR="00BC774F" w:rsidRPr="009A501D" w14:paraId="02CBFA28" w14:textId="77777777" w:rsidTr="002C59E3">
        <w:trPr>
          <w:trHeight w:val="284"/>
          <w:jc w:val="center"/>
        </w:trPr>
        <w:tc>
          <w:tcPr>
            <w:tcW w:w="3870" w:type="dxa"/>
            <w:shd w:val="clear" w:color="auto" w:fill="FFFFFF" w:themeFill="background1"/>
            <w:vAlign w:val="center"/>
            <w:hideMark/>
          </w:tcPr>
          <w:p w14:paraId="49012087"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de Comercio Internacional de Servicios 2021</w:t>
            </w:r>
          </w:p>
        </w:tc>
        <w:tc>
          <w:tcPr>
            <w:tcW w:w="1200" w:type="dxa"/>
            <w:shd w:val="clear" w:color="auto" w:fill="FFFFFF" w:themeFill="background1"/>
            <w:vAlign w:val="center"/>
            <w:hideMark/>
          </w:tcPr>
          <w:p w14:paraId="4B49C8E3"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ECIS</w:t>
            </w:r>
          </w:p>
        </w:tc>
        <w:tc>
          <w:tcPr>
            <w:tcW w:w="2863" w:type="dxa"/>
            <w:shd w:val="clear" w:color="auto" w:fill="FFFFFF" w:themeFill="background1"/>
            <w:vAlign w:val="center"/>
            <w:hideMark/>
          </w:tcPr>
          <w:p w14:paraId="68AC913E"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Experimental</w:t>
            </w:r>
          </w:p>
        </w:tc>
        <w:tc>
          <w:tcPr>
            <w:tcW w:w="2547" w:type="dxa"/>
            <w:shd w:val="clear" w:color="auto" w:fill="FFFFFF" w:themeFill="background1"/>
            <w:vAlign w:val="center"/>
            <w:hideMark/>
          </w:tcPr>
          <w:p w14:paraId="3F4CDD20" w14:textId="77777777"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r w:rsidR="00BC774F" w:rsidRPr="009A501D" w14:paraId="5FEADF02" w14:textId="77777777" w:rsidTr="002C59E3">
        <w:trPr>
          <w:trHeight w:val="284"/>
          <w:jc w:val="center"/>
        </w:trPr>
        <w:tc>
          <w:tcPr>
            <w:tcW w:w="3870" w:type="dxa"/>
            <w:shd w:val="clear" w:color="auto" w:fill="FFFFFF" w:themeFill="background1"/>
            <w:vAlign w:val="center"/>
            <w:hideMark/>
          </w:tcPr>
          <w:p w14:paraId="664888BA" w14:textId="77777777" w:rsidR="003F4035" w:rsidRPr="009A501D" w:rsidRDefault="003F4035" w:rsidP="00664A1D">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para Caracterizar a la población en situación de Desplazamiento Forzado Interno en el Estado de Chihuahua 2021</w:t>
            </w:r>
          </w:p>
        </w:tc>
        <w:tc>
          <w:tcPr>
            <w:tcW w:w="1200" w:type="dxa"/>
            <w:shd w:val="clear" w:color="auto" w:fill="FFFFFF" w:themeFill="background1"/>
            <w:vAlign w:val="center"/>
            <w:hideMark/>
          </w:tcPr>
          <w:p w14:paraId="07B22A42"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ECADEFI-CHIH</w:t>
            </w:r>
          </w:p>
        </w:tc>
        <w:tc>
          <w:tcPr>
            <w:tcW w:w="2863" w:type="dxa"/>
            <w:shd w:val="clear" w:color="auto" w:fill="FFFFFF" w:themeFill="background1"/>
            <w:vAlign w:val="center"/>
            <w:hideMark/>
          </w:tcPr>
          <w:p w14:paraId="590BD28F" w14:textId="77777777" w:rsidR="003F4035" w:rsidRPr="009A501D" w:rsidRDefault="003F4035" w:rsidP="00F0149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Experimental</w:t>
            </w:r>
          </w:p>
        </w:tc>
        <w:tc>
          <w:tcPr>
            <w:tcW w:w="2547" w:type="dxa"/>
            <w:shd w:val="clear" w:color="auto" w:fill="FFFFFF" w:themeFill="background1"/>
            <w:vAlign w:val="center"/>
            <w:hideMark/>
          </w:tcPr>
          <w:p w14:paraId="359994B6" w14:textId="706DD988" w:rsidR="003F4035" w:rsidRPr="009A501D" w:rsidRDefault="003F4035" w:rsidP="00F01498">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 Oficina del alto comisionado de </w:t>
            </w:r>
            <w:r w:rsidR="00C22748" w:rsidRPr="009A501D">
              <w:rPr>
                <w:rFonts w:ascii="Century Gothic" w:eastAsia="Times New Roman" w:hAnsi="Century Gothic" w:cs="Calibri"/>
                <w:color w:val="000000"/>
                <w:sz w:val="16"/>
                <w:szCs w:val="16"/>
                <w:lang w:eastAsia="es-MX"/>
              </w:rPr>
              <w:t xml:space="preserve">la </w:t>
            </w:r>
            <w:r w:rsidRPr="009A501D">
              <w:rPr>
                <w:rFonts w:ascii="Century Gothic" w:eastAsia="Times New Roman" w:hAnsi="Century Gothic" w:cs="Calibri"/>
                <w:color w:val="000000"/>
                <w:sz w:val="16"/>
                <w:szCs w:val="16"/>
                <w:lang w:eastAsia="es-MX"/>
              </w:rPr>
              <w:t>ONU para los refugiados (ACNUR) / Comisión ejecutiva de atención a víctimas del Estado de Chihuahua (CAVE)</w:t>
            </w:r>
          </w:p>
        </w:tc>
      </w:tr>
      <w:tr w:rsidR="00260BB9" w:rsidRPr="009A501D" w14:paraId="24676ABD" w14:textId="77777777" w:rsidTr="002C59E3">
        <w:trPr>
          <w:trHeight w:val="284"/>
          <w:jc w:val="center"/>
        </w:trPr>
        <w:tc>
          <w:tcPr>
            <w:tcW w:w="3870" w:type="dxa"/>
            <w:shd w:val="clear" w:color="auto" w:fill="FFFFFF" w:themeFill="background1"/>
            <w:vAlign w:val="center"/>
            <w:hideMark/>
          </w:tcPr>
          <w:p w14:paraId="507A4836" w14:textId="77777777"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Mensual Oportuno de la Actividad Manufacturera</w:t>
            </w:r>
          </w:p>
        </w:tc>
        <w:tc>
          <w:tcPr>
            <w:tcW w:w="4063" w:type="dxa"/>
            <w:gridSpan w:val="2"/>
            <w:shd w:val="clear" w:color="auto" w:fill="FFFFFF" w:themeFill="background1"/>
            <w:vAlign w:val="center"/>
            <w:hideMark/>
          </w:tcPr>
          <w:p w14:paraId="3D1D6A01" w14:textId="486EB052"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Proceso no identificado</w:t>
            </w:r>
          </w:p>
        </w:tc>
        <w:tc>
          <w:tcPr>
            <w:tcW w:w="2547" w:type="dxa"/>
            <w:shd w:val="clear" w:color="auto" w:fill="FFFFFF" w:themeFill="background1"/>
            <w:vAlign w:val="center"/>
            <w:hideMark/>
          </w:tcPr>
          <w:p w14:paraId="2C787684" w14:textId="77777777"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INEGI / Comisión Federal de Electricidad </w:t>
            </w:r>
          </w:p>
        </w:tc>
      </w:tr>
      <w:tr w:rsidR="00260BB9" w:rsidRPr="009A501D" w14:paraId="3E00AFCE" w14:textId="77777777" w:rsidTr="002C59E3">
        <w:trPr>
          <w:trHeight w:val="284"/>
          <w:jc w:val="center"/>
        </w:trPr>
        <w:tc>
          <w:tcPr>
            <w:tcW w:w="3870" w:type="dxa"/>
            <w:shd w:val="clear" w:color="auto" w:fill="FFFFFF" w:themeFill="background1"/>
            <w:vAlign w:val="center"/>
            <w:hideMark/>
          </w:tcPr>
          <w:p w14:paraId="607387AA" w14:textId="77777777"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Estudio de caso de la economía social de México, 2013 y 2018</w:t>
            </w:r>
          </w:p>
        </w:tc>
        <w:tc>
          <w:tcPr>
            <w:tcW w:w="4063" w:type="dxa"/>
            <w:gridSpan w:val="2"/>
            <w:shd w:val="clear" w:color="auto" w:fill="FFFFFF" w:themeFill="background1"/>
            <w:hideMark/>
          </w:tcPr>
          <w:p w14:paraId="6B9044E7" w14:textId="7F33CCF1" w:rsidR="00260BB9" w:rsidRPr="009A501D" w:rsidRDefault="00260BB9" w:rsidP="00260BB9">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Proceso no identificado</w:t>
            </w:r>
          </w:p>
        </w:tc>
        <w:tc>
          <w:tcPr>
            <w:tcW w:w="2547" w:type="dxa"/>
            <w:shd w:val="clear" w:color="auto" w:fill="FFFFFF" w:themeFill="background1"/>
            <w:vAlign w:val="center"/>
            <w:hideMark/>
          </w:tcPr>
          <w:p w14:paraId="18B04982" w14:textId="77777777" w:rsidR="00260BB9" w:rsidRPr="009A501D" w:rsidRDefault="00260BB9" w:rsidP="00260BB9">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INEGI</w:t>
            </w:r>
          </w:p>
        </w:tc>
      </w:tr>
    </w:tbl>
    <w:p w14:paraId="74888286" w14:textId="77777777" w:rsidR="00FB5E23" w:rsidRDefault="00FB5E23">
      <w:pPr>
        <w:rPr>
          <w:rFonts w:ascii="Century Gothic" w:hAnsi="Century Gothic"/>
          <w:bCs/>
          <w:color w:val="0079BF"/>
          <w:sz w:val="24"/>
          <w:szCs w:val="24"/>
        </w:rPr>
      </w:pPr>
    </w:p>
    <w:p w14:paraId="35AA3D88" w14:textId="6AD12515" w:rsidR="009B6E22" w:rsidRPr="009A501D" w:rsidRDefault="009B6E22">
      <w:pPr>
        <w:rPr>
          <w:rFonts w:ascii="Century Gothic" w:hAnsi="Century Gothic"/>
          <w:bCs/>
          <w:color w:val="0079BF"/>
          <w:sz w:val="24"/>
          <w:szCs w:val="24"/>
        </w:rPr>
      </w:pPr>
      <w:r w:rsidRPr="009A501D">
        <w:rPr>
          <w:rFonts w:ascii="Century Gothic" w:hAnsi="Century Gothic"/>
          <w:bCs/>
          <w:color w:val="0079BF"/>
          <w:sz w:val="24"/>
          <w:szCs w:val="24"/>
        </w:rPr>
        <w:br w:type="page"/>
      </w:r>
    </w:p>
    <w:p w14:paraId="7B588737" w14:textId="648226C3" w:rsidR="00840A53" w:rsidRPr="009A501D" w:rsidRDefault="006F28BF" w:rsidP="009B6E22">
      <w:pPr>
        <w:pStyle w:val="Ttulo2"/>
        <w:spacing w:before="240"/>
        <w:rPr>
          <w:rFonts w:ascii="Century Gothic" w:eastAsiaTheme="minorHAnsi" w:hAnsi="Century Gothic" w:cstheme="minorBidi"/>
          <w:bCs/>
          <w:color w:val="0079BF"/>
          <w:sz w:val="24"/>
          <w:szCs w:val="24"/>
        </w:rPr>
      </w:pPr>
      <w:bookmarkStart w:id="16" w:name="_Toc131161801"/>
      <w:r w:rsidRPr="009A501D">
        <w:rPr>
          <w:rFonts w:ascii="Century Gothic" w:eastAsiaTheme="minorHAnsi" w:hAnsi="Century Gothic" w:cstheme="minorBidi"/>
          <w:bCs/>
          <w:color w:val="0079BF"/>
          <w:sz w:val="24"/>
          <w:szCs w:val="24"/>
        </w:rPr>
        <w:lastRenderedPageBreak/>
        <w:t xml:space="preserve">III.5. </w:t>
      </w:r>
      <w:r w:rsidR="0004252C" w:rsidRPr="009A501D">
        <w:rPr>
          <w:rFonts w:ascii="Century Gothic" w:eastAsiaTheme="minorHAnsi" w:hAnsi="Century Gothic" w:cstheme="minorBidi"/>
          <w:bCs/>
          <w:color w:val="0079BF"/>
          <w:sz w:val="24"/>
          <w:szCs w:val="24"/>
        </w:rPr>
        <w:t>Indicadores de precisión</w:t>
      </w:r>
      <w:bookmarkEnd w:id="16"/>
    </w:p>
    <w:p w14:paraId="4A670BFA" w14:textId="6885868B" w:rsidR="00840A53" w:rsidRPr="009A501D" w:rsidRDefault="00F06364" w:rsidP="00664A1D">
      <w:pPr>
        <w:spacing w:before="240"/>
        <w:jc w:val="both"/>
        <w:rPr>
          <w:rFonts w:ascii="Century Gothic" w:hAnsi="Century Gothic"/>
          <w:sz w:val="19"/>
          <w:szCs w:val="19"/>
        </w:rPr>
      </w:pPr>
      <w:r w:rsidRPr="009A501D">
        <w:rPr>
          <w:rFonts w:ascii="Century Gothic" w:hAnsi="Century Gothic"/>
          <w:sz w:val="19"/>
          <w:szCs w:val="19"/>
        </w:rPr>
        <w:t xml:space="preserve">A partir de la implementación </w:t>
      </w:r>
      <w:r w:rsidR="009466FD" w:rsidRPr="009A501D">
        <w:rPr>
          <w:rFonts w:ascii="Century Gothic" w:hAnsi="Century Gothic"/>
          <w:sz w:val="19"/>
          <w:szCs w:val="19"/>
        </w:rPr>
        <w:t xml:space="preserve">en 2022 </w:t>
      </w:r>
      <w:r w:rsidRPr="009A501D">
        <w:rPr>
          <w:rFonts w:ascii="Century Gothic" w:hAnsi="Century Gothic"/>
          <w:sz w:val="19"/>
          <w:szCs w:val="19"/>
        </w:rPr>
        <w:t xml:space="preserve">del sistema para el reporte de </w:t>
      </w:r>
      <w:r w:rsidR="00B33E78" w:rsidRPr="009A501D">
        <w:rPr>
          <w:rFonts w:ascii="Century Gothic" w:hAnsi="Century Gothic"/>
          <w:sz w:val="19"/>
          <w:szCs w:val="19"/>
        </w:rPr>
        <w:t>i</w:t>
      </w:r>
      <w:r w:rsidRPr="009A501D">
        <w:rPr>
          <w:rFonts w:ascii="Century Gothic" w:hAnsi="Century Gothic"/>
          <w:sz w:val="19"/>
          <w:szCs w:val="19"/>
        </w:rPr>
        <w:t xml:space="preserve">ndicadores de </w:t>
      </w:r>
      <w:r w:rsidR="00B33E78" w:rsidRPr="009A501D">
        <w:rPr>
          <w:rFonts w:ascii="Century Gothic" w:hAnsi="Century Gothic"/>
          <w:sz w:val="19"/>
          <w:szCs w:val="19"/>
        </w:rPr>
        <w:t>p</w:t>
      </w:r>
      <w:r w:rsidRPr="009A501D">
        <w:rPr>
          <w:rFonts w:ascii="Century Gothic" w:hAnsi="Century Gothic"/>
          <w:sz w:val="19"/>
          <w:szCs w:val="19"/>
        </w:rPr>
        <w:t xml:space="preserve">recisión, </w:t>
      </w:r>
      <w:r w:rsidR="00B33E78" w:rsidRPr="009A501D">
        <w:rPr>
          <w:rFonts w:ascii="Century Gothic" w:hAnsi="Century Gothic"/>
          <w:sz w:val="19"/>
          <w:szCs w:val="19"/>
        </w:rPr>
        <w:t>se ha mejorado la puntualidad en el reporte de estos indicadore</w:t>
      </w:r>
      <w:r w:rsidR="00B37403" w:rsidRPr="009A501D">
        <w:rPr>
          <w:rFonts w:ascii="Century Gothic" w:hAnsi="Century Gothic"/>
          <w:sz w:val="19"/>
          <w:szCs w:val="19"/>
        </w:rPr>
        <w:t>s</w:t>
      </w:r>
      <w:r w:rsidR="00DE57FD" w:rsidRPr="009A501D">
        <w:rPr>
          <w:rFonts w:ascii="Century Gothic" w:hAnsi="Century Gothic"/>
          <w:sz w:val="19"/>
          <w:szCs w:val="19"/>
        </w:rPr>
        <w:t xml:space="preserve">. </w:t>
      </w:r>
      <w:r w:rsidR="00B334F6" w:rsidRPr="009A501D">
        <w:rPr>
          <w:rFonts w:ascii="Century Gothic" w:hAnsi="Century Gothic"/>
          <w:sz w:val="19"/>
          <w:szCs w:val="19"/>
        </w:rPr>
        <w:t>El</w:t>
      </w:r>
      <w:r w:rsidRPr="009A501D">
        <w:rPr>
          <w:rFonts w:ascii="Century Gothic" w:hAnsi="Century Gothic"/>
          <w:sz w:val="19"/>
          <w:szCs w:val="19"/>
        </w:rPr>
        <w:t xml:space="preserve"> cuadro III.5.1</w:t>
      </w:r>
      <w:r w:rsidR="00DE57FD" w:rsidRPr="009A501D">
        <w:rPr>
          <w:rFonts w:ascii="Century Gothic" w:hAnsi="Century Gothic"/>
          <w:sz w:val="19"/>
          <w:szCs w:val="19"/>
        </w:rPr>
        <w:t xml:space="preserve"> </w:t>
      </w:r>
      <w:r w:rsidR="00B334F6" w:rsidRPr="009A501D">
        <w:rPr>
          <w:rFonts w:ascii="Century Gothic" w:hAnsi="Century Gothic"/>
          <w:sz w:val="19"/>
          <w:szCs w:val="19"/>
        </w:rPr>
        <w:t>muestra</w:t>
      </w:r>
      <w:r w:rsidR="00DE57FD" w:rsidRPr="009A501D">
        <w:rPr>
          <w:rFonts w:ascii="Century Gothic" w:hAnsi="Century Gothic"/>
          <w:sz w:val="19"/>
          <w:szCs w:val="19"/>
        </w:rPr>
        <w:t xml:space="preserve"> </w:t>
      </w:r>
      <w:r w:rsidR="00FC4BF4" w:rsidRPr="009A501D">
        <w:rPr>
          <w:rFonts w:ascii="Century Gothic" w:hAnsi="Century Gothic"/>
          <w:sz w:val="19"/>
          <w:szCs w:val="19"/>
        </w:rPr>
        <w:t xml:space="preserve">que </w:t>
      </w:r>
      <w:r w:rsidR="00F13B56">
        <w:rPr>
          <w:rFonts w:ascii="Century Gothic" w:hAnsi="Century Gothic"/>
          <w:sz w:val="19"/>
          <w:szCs w:val="19"/>
        </w:rPr>
        <w:t>se reportaron a tiempo el 100% de los indicadores correspondientes a los procesos de producción de</w:t>
      </w:r>
      <w:r w:rsidR="00DE57FD" w:rsidRPr="009A501D">
        <w:rPr>
          <w:rFonts w:ascii="Century Gothic" w:hAnsi="Century Gothic"/>
          <w:sz w:val="19"/>
          <w:szCs w:val="19"/>
        </w:rPr>
        <w:t xml:space="preserve"> aprovechamiento de registros administrativos</w:t>
      </w:r>
      <w:r w:rsidR="00F13B56">
        <w:rPr>
          <w:rFonts w:ascii="Century Gothic" w:hAnsi="Century Gothic"/>
          <w:sz w:val="19"/>
          <w:szCs w:val="19"/>
        </w:rPr>
        <w:t>,</w:t>
      </w:r>
      <w:r w:rsidR="001C7EA6" w:rsidRPr="009A501D">
        <w:rPr>
          <w:rFonts w:ascii="Century Gothic" w:hAnsi="Century Gothic"/>
          <w:sz w:val="19"/>
          <w:szCs w:val="19"/>
        </w:rPr>
        <w:t xml:space="preserve"> 84% </w:t>
      </w:r>
      <w:r w:rsidR="00F13B56">
        <w:rPr>
          <w:rFonts w:ascii="Century Gothic" w:hAnsi="Century Gothic"/>
          <w:sz w:val="19"/>
          <w:szCs w:val="19"/>
        </w:rPr>
        <w:t xml:space="preserve">en el caso de encuestas </w:t>
      </w:r>
      <w:r w:rsidR="001C7EA6" w:rsidRPr="009A501D">
        <w:rPr>
          <w:rFonts w:ascii="Century Gothic" w:hAnsi="Century Gothic"/>
          <w:sz w:val="19"/>
          <w:szCs w:val="19"/>
        </w:rPr>
        <w:t xml:space="preserve">y 5% </w:t>
      </w:r>
      <w:r w:rsidR="00F13B56">
        <w:rPr>
          <w:rFonts w:ascii="Century Gothic" w:hAnsi="Century Gothic"/>
          <w:sz w:val="19"/>
          <w:szCs w:val="19"/>
        </w:rPr>
        <w:t>de censos</w:t>
      </w:r>
      <w:r w:rsidR="001C7EA6" w:rsidRPr="009A501D">
        <w:rPr>
          <w:rFonts w:ascii="Century Gothic" w:hAnsi="Century Gothic"/>
          <w:sz w:val="19"/>
          <w:szCs w:val="19"/>
        </w:rPr>
        <w:t>.  Cabe señalar que el 70% de los indicadores</w:t>
      </w:r>
      <w:r w:rsidR="00F13B56">
        <w:rPr>
          <w:rFonts w:ascii="Century Gothic" w:hAnsi="Century Gothic"/>
          <w:sz w:val="19"/>
          <w:szCs w:val="19"/>
        </w:rPr>
        <w:t xml:space="preserve"> de precisión relativos a</w:t>
      </w:r>
      <w:r w:rsidR="001C7EA6" w:rsidRPr="009A501D">
        <w:rPr>
          <w:rFonts w:ascii="Century Gothic" w:hAnsi="Century Gothic"/>
          <w:sz w:val="19"/>
          <w:szCs w:val="19"/>
        </w:rPr>
        <w:t xml:space="preserve"> censos aún no han sido </w:t>
      </w:r>
      <w:r w:rsidR="00F13B56">
        <w:rPr>
          <w:rFonts w:ascii="Century Gothic" w:hAnsi="Century Gothic"/>
          <w:sz w:val="19"/>
          <w:szCs w:val="19"/>
        </w:rPr>
        <w:t>reportados</w:t>
      </w:r>
      <w:r w:rsidR="001C7EA6" w:rsidRPr="009A501D">
        <w:rPr>
          <w:rFonts w:ascii="Century Gothic" w:hAnsi="Century Gothic"/>
          <w:sz w:val="19"/>
          <w:szCs w:val="19"/>
        </w:rPr>
        <w:t>.</w:t>
      </w:r>
    </w:p>
    <w:p w14:paraId="2E6C04C3" w14:textId="4F49A914" w:rsidR="00F06364" w:rsidRPr="009A501D" w:rsidRDefault="00F06364" w:rsidP="00664A1D">
      <w:pPr>
        <w:spacing w:before="240"/>
        <w:ind w:left="1843" w:right="2011"/>
        <w:jc w:val="center"/>
        <w:rPr>
          <w:rFonts w:ascii="Century Gothic" w:hAnsi="Century Gothic"/>
        </w:rPr>
      </w:pPr>
      <w:r w:rsidRPr="009A501D">
        <w:rPr>
          <w:rFonts w:ascii="Century Gothic" w:hAnsi="Century Gothic"/>
          <w:b/>
          <w:sz w:val="19"/>
          <w:szCs w:val="19"/>
        </w:rPr>
        <w:t>III.5.</w:t>
      </w:r>
      <w:r w:rsidR="004E50B4" w:rsidRPr="009A501D">
        <w:rPr>
          <w:rFonts w:ascii="Century Gothic" w:hAnsi="Century Gothic"/>
          <w:b/>
          <w:sz w:val="19"/>
          <w:szCs w:val="19"/>
        </w:rPr>
        <w:t>1</w:t>
      </w:r>
      <w:r w:rsidRPr="009A501D">
        <w:rPr>
          <w:rFonts w:ascii="Century Gothic" w:hAnsi="Century Gothic"/>
          <w:b/>
          <w:sz w:val="19"/>
          <w:szCs w:val="19"/>
        </w:rPr>
        <w:t xml:space="preserve">. Porcentaje de reporte de </w:t>
      </w:r>
      <w:r w:rsidR="002A61BC" w:rsidRPr="009A501D">
        <w:rPr>
          <w:rFonts w:ascii="Century Gothic" w:hAnsi="Century Gothic"/>
          <w:b/>
          <w:sz w:val="19"/>
          <w:szCs w:val="19"/>
        </w:rPr>
        <w:t>indicadores de precisión</w:t>
      </w:r>
      <w:r w:rsidRPr="009A501D">
        <w:rPr>
          <w:rFonts w:ascii="Century Gothic" w:hAnsi="Century Gothic"/>
          <w:b/>
          <w:sz w:val="19"/>
          <w:szCs w:val="19"/>
        </w:rPr>
        <w:t xml:space="preserve"> por tiempo de entrega, del total esperado conforme a publicaciones en el año</w:t>
      </w:r>
    </w:p>
    <w:tbl>
      <w:tblPr>
        <w:tblW w:w="81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317"/>
        <w:gridCol w:w="1240"/>
        <w:gridCol w:w="1240"/>
        <w:gridCol w:w="1320"/>
      </w:tblGrid>
      <w:tr w:rsidR="00F06364" w:rsidRPr="009A501D" w14:paraId="36EFFCD9" w14:textId="77777777" w:rsidTr="009744F1">
        <w:trPr>
          <w:trHeight w:hRule="exact" w:val="284"/>
          <w:jc w:val="center"/>
        </w:trPr>
        <w:tc>
          <w:tcPr>
            <w:tcW w:w="4317" w:type="dxa"/>
            <w:vMerge w:val="restart"/>
            <w:shd w:val="clear" w:color="auto" w:fill="002060"/>
            <w:vAlign w:val="center"/>
            <w:hideMark/>
          </w:tcPr>
          <w:p w14:paraId="26895594" w14:textId="77777777" w:rsidR="00F06364" w:rsidRPr="009A501D" w:rsidRDefault="00F06364">
            <w:pPr>
              <w:spacing w:after="0"/>
              <w:jc w:val="center"/>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Método de generación</w:t>
            </w:r>
          </w:p>
        </w:tc>
        <w:tc>
          <w:tcPr>
            <w:tcW w:w="3800" w:type="dxa"/>
            <w:gridSpan w:val="3"/>
            <w:shd w:val="clear" w:color="auto" w:fill="002060"/>
            <w:noWrap/>
            <w:vAlign w:val="center"/>
            <w:hideMark/>
          </w:tcPr>
          <w:p w14:paraId="7DA4D0ED" w14:textId="77777777" w:rsidR="00F06364" w:rsidRPr="009A501D" w:rsidRDefault="00246796">
            <w:pPr>
              <w:spacing w:after="0"/>
              <w:jc w:val="center"/>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 xml:space="preserve">Procesos </w:t>
            </w:r>
            <w:r w:rsidR="00FF5EF0" w:rsidRPr="009A501D">
              <w:rPr>
                <w:rFonts w:ascii="Century Gothic" w:hAnsi="Century Gothic" w:cs="Calibri"/>
                <w:b/>
                <w:color w:val="FFFFFF" w:themeColor="background1"/>
                <w:sz w:val="16"/>
                <w:szCs w:val="16"/>
              </w:rPr>
              <w:t xml:space="preserve">reportados </w:t>
            </w:r>
            <w:r w:rsidR="00F06364" w:rsidRPr="009A501D">
              <w:rPr>
                <w:rFonts w:ascii="Century Gothic" w:hAnsi="Century Gothic" w:cs="Calibri"/>
                <w:b/>
                <w:color w:val="FFFFFF" w:themeColor="background1"/>
                <w:sz w:val="16"/>
                <w:szCs w:val="16"/>
              </w:rPr>
              <w:t>en 2022</w:t>
            </w:r>
          </w:p>
        </w:tc>
      </w:tr>
      <w:tr w:rsidR="00F06364" w:rsidRPr="009A501D" w14:paraId="6A172D4F" w14:textId="77777777" w:rsidTr="009744F1">
        <w:trPr>
          <w:trHeight w:val="284"/>
          <w:jc w:val="center"/>
        </w:trPr>
        <w:tc>
          <w:tcPr>
            <w:tcW w:w="4317" w:type="dxa"/>
            <w:vMerge/>
            <w:shd w:val="clear" w:color="auto" w:fill="002060"/>
            <w:vAlign w:val="center"/>
            <w:hideMark/>
          </w:tcPr>
          <w:p w14:paraId="2FC3E846" w14:textId="77777777" w:rsidR="00F06364" w:rsidRPr="009A501D" w:rsidRDefault="00F06364">
            <w:pPr>
              <w:spacing w:after="0"/>
              <w:rPr>
                <w:rFonts w:ascii="Century Gothic" w:hAnsi="Century Gothic" w:cs="Calibri"/>
                <w:b/>
                <w:color w:val="FFFFFF" w:themeColor="background1"/>
                <w:sz w:val="16"/>
                <w:szCs w:val="16"/>
              </w:rPr>
            </w:pPr>
          </w:p>
        </w:tc>
        <w:tc>
          <w:tcPr>
            <w:tcW w:w="1240" w:type="dxa"/>
            <w:shd w:val="clear" w:color="auto" w:fill="002060"/>
            <w:vAlign w:val="center"/>
            <w:hideMark/>
          </w:tcPr>
          <w:p w14:paraId="09B29E4C" w14:textId="77777777" w:rsidR="00F06364" w:rsidRPr="009A501D" w:rsidRDefault="00F06364">
            <w:pPr>
              <w:spacing w:after="0"/>
              <w:jc w:val="center"/>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En Tiempo</w:t>
            </w:r>
          </w:p>
        </w:tc>
        <w:tc>
          <w:tcPr>
            <w:tcW w:w="1240" w:type="dxa"/>
            <w:shd w:val="clear" w:color="auto" w:fill="002060"/>
            <w:vAlign w:val="center"/>
            <w:hideMark/>
          </w:tcPr>
          <w:p w14:paraId="246F8D6C" w14:textId="77777777" w:rsidR="00F06364" w:rsidRPr="009A501D" w:rsidRDefault="00F06364">
            <w:pPr>
              <w:spacing w:after="0"/>
              <w:jc w:val="center"/>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Retraso</w:t>
            </w:r>
          </w:p>
        </w:tc>
        <w:tc>
          <w:tcPr>
            <w:tcW w:w="1320" w:type="dxa"/>
            <w:shd w:val="clear" w:color="auto" w:fill="002060"/>
            <w:vAlign w:val="center"/>
            <w:hideMark/>
          </w:tcPr>
          <w:p w14:paraId="66912A78" w14:textId="77777777" w:rsidR="00F06364" w:rsidRPr="009A501D" w:rsidRDefault="00F06364">
            <w:pPr>
              <w:spacing w:after="0"/>
              <w:jc w:val="center"/>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No Entregado</w:t>
            </w:r>
          </w:p>
        </w:tc>
      </w:tr>
      <w:tr w:rsidR="00F06364" w:rsidRPr="009A501D" w14:paraId="3B087B73" w14:textId="77777777" w:rsidTr="009744F1">
        <w:trPr>
          <w:trHeight w:hRule="exact" w:val="284"/>
          <w:jc w:val="center"/>
        </w:trPr>
        <w:tc>
          <w:tcPr>
            <w:tcW w:w="4317" w:type="dxa"/>
            <w:shd w:val="clear" w:color="auto" w:fill="auto"/>
            <w:noWrap/>
            <w:vAlign w:val="center"/>
            <w:hideMark/>
          </w:tcPr>
          <w:p w14:paraId="1632293C" w14:textId="77777777" w:rsidR="00F06364" w:rsidRPr="009A501D" w:rsidRDefault="009466FD">
            <w:pPr>
              <w:spacing w:after="0"/>
              <w:rPr>
                <w:rFonts w:ascii="Century Gothic" w:hAnsi="Century Gothic" w:cs="Calibri"/>
                <w:color w:val="000000"/>
                <w:sz w:val="16"/>
                <w:szCs w:val="16"/>
              </w:rPr>
            </w:pPr>
            <w:r w:rsidRPr="009A501D">
              <w:rPr>
                <w:rFonts w:ascii="Century Gothic" w:hAnsi="Century Gothic" w:cs="Calibri"/>
                <w:color w:val="000000"/>
                <w:sz w:val="16"/>
                <w:szCs w:val="16"/>
              </w:rPr>
              <w:t xml:space="preserve">Aprovechamiento de </w:t>
            </w:r>
            <w:r w:rsidR="00F06364" w:rsidRPr="009A501D">
              <w:rPr>
                <w:rFonts w:ascii="Century Gothic" w:hAnsi="Century Gothic" w:cs="Calibri"/>
                <w:color w:val="000000"/>
                <w:sz w:val="16"/>
                <w:szCs w:val="16"/>
              </w:rPr>
              <w:t>Registros Administrativos</w:t>
            </w:r>
          </w:p>
        </w:tc>
        <w:tc>
          <w:tcPr>
            <w:tcW w:w="1240" w:type="dxa"/>
            <w:shd w:val="clear" w:color="auto" w:fill="auto"/>
            <w:noWrap/>
            <w:vAlign w:val="center"/>
            <w:hideMark/>
          </w:tcPr>
          <w:p w14:paraId="1D64AE1A" w14:textId="77777777" w:rsidR="00F06364" w:rsidRPr="009A501D" w:rsidRDefault="00F06364">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1240" w:type="dxa"/>
            <w:shd w:val="clear" w:color="auto" w:fill="auto"/>
            <w:noWrap/>
            <w:vAlign w:val="center"/>
            <w:hideMark/>
          </w:tcPr>
          <w:p w14:paraId="3A77E3FA" w14:textId="77777777" w:rsidR="00F06364" w:rsidRPr="009A501D" w:rsidRDefault="00F06364">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320" w:type="dxa"/>
            <w:shd w:val="clear" w:color="auto" w:fill="auto"/>
            <w:noWrap/>
            <w:vAlign w:val="center"/>
            <w:hideMark/>
          </w:tcPr>
          <w:p w14:paraId="2471C111" w14:textId="77777777" w:rsidR="00F06364" w:rsidRPr="009A501D" w:rsidRDefault="00F06364">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F06364" w:rsidRPr="009A501D" w14:paraId="44D3CA29" w14:textId="77777777" w:rsidTr="009744F1">
        <w:trPr>
          <w:trHeight w:hRule="exact" w:val="284"/>
          <w:jc w:val="center"/>
        </w:trPr>
        <w:tc>
          <w:tcPr>
            <w:tcW w:w="4317" w:type="dxa"/>
            <w:shd w:val="clear" w:color="auto" w:fill="D9D9D9" w:themeFill="background1" w:themeFillShade="D9"/>
            <w:noWrap/>
            <w:vAlign w:val="center"/>
            <w:hideMark/>
          </w:tcPr>
          <w:p w14:paraId="4F74AF30" w14:textId="77777777" w:rsidR="00F06364" w:rsidRPr="009A501D" w:rsidRDefault="00F06364">
            <w:pPr>
              <w:spacing w:after="0"/>
              <w:rPr>
                <w:rFonts w:ascii="Century Gothic" w:hAnsi="Century Gothic" w:cs="Calibri"/>
                <w:color w:val="000000"/>
                <w:sz w:val="16"/>
                <w:szCs w:val="16"/>
              </w:rPr>
            </w:pPr>
            <w:r w:rsidRPr="009A501D">
              <w:rPr>
                <w:rFonts w:ascii="Century Gothic" w:hAnsi="Century Gothic" w:cs="Calibri"/>
                <w:color w:val="000000"/>
                <w:sz w:val="16"/>
                <w:szCs w:val="16"/>
              </w:rPr>
              <w:t>Encuestas</w:t>
            </w:r>
          </w:p>
        </w:tc>
        <w:tc>
          <w:tcPr>
            <w:tcW w:w="1240" w:type="dxa"/>
            <w:shd w:val="clear" w:color="auto" w:fill="D9D9D9" w:themeFill="background1" w:themeFillShade="D9"/>
            <w:noWrap/>
            <w:vAlign w:val="center"/>
            <w:hideMark/>
          </w:tcPr>
          <w:p w14:paraId="4A71980F"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84%</w:t>
            </w:r>
          </w:p>
        </w:tc>
        <w:tc>
          <w:tcPr>
            <w:tcW w:w="1240" w:type="dxa"/>
            <w:shd w:val="clear" w:color="auto" w:fill="D9D9D9" w:themeFill="background1" w:themeFillShade="D9"/>
            <w:noWrap/>
            <w:vAlign w:val="center"/>
            <w:hideMark/>
          </w:tcPr>
          <w:p w14:paraId="02E34634"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16%</w:t>
            </w:r>
          </w:p>
        </w:tc>
        <w:tc>
          <w:tcPr>
            <w:tcW w:w="1320" w:type="dxa"/>
            <w:shd w:val="clear" w:color="auto" w:fill="D9D9D9" w:themeFill="background1" w:themeFillShade="D9"/>
            <w:noWrap/>
            <w:vAlign w:val="center"/>
            <w:hideMark/>
          </w:tcPr>
          <w:p w14:paraId="6408E8B1"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F06364" w:rsidRPr="009A501D" w14:paraId="497DFC23" w14:textId="77777777" w:rsidTr="009744F1">
        <w:trPr>
          <w:trHeight w:hRule="exact" w:val="284"/>
          <w:jc w:val="center"/>
        </w:trPr>
        <w:tc>
          <w:tcPr>
            <w:tcW w:w="4317" w:type="dxa"/>
            <w:shd w:val="clear" w:color="auto" w:fill="auto"/>
            <w:noWrap/>
            <w:vAlign w:val="center"/>
            <w:hideMark/>
          </w:tcPr>
          <w:p w14:paraId="0BFF5B0B" w14:textId="77777777" w:rsidR="00F06364" w:rsidRPr="009A501D" w:rsidRDefault="00F06364">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Censos</w:t>
            </w:r>
          </w:p>
        </w:tc>
        <w:tc>
          <w:tcPr>
            <w:tcW w:w="1240" w:type="dxa"/>
            <w:shd w:val="clear" w:color="auto" w:fill="auto"/>
            <w:noWrap/>
            <w:vAlign w:val="center"/>
            <w:hideMark/>
          </w:tcPr>
          <w:p w14:paraId="5E5467CC"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5%</w:t>
            </w:r>
          </w:p>
        </w:tc>
        <w:tc>
          <w:tcPr>
            <w:tcW w:w="1240" w:type="dxa"/>
            <w:shd w:val="clear" w:color="auto" w:fill="auto"/>
            <w:noWrap/>
            <w:vAlign w:val="center"/>
            <w:hideMark/>
          </w:tcPr>
          <w:p w14:paraId="671EDCCA"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25%</w:t>
            </w:r>
          </w:p>
        </w:tc>
        <w:tc>
          <w:tcPr>
            <w:tcW w:w="1320" w:type="dxa"/>
            <w:shd w:val="clear" w:color="auto" w:fill="auto"/>
            <w:noWrap/>
            <w:vAlign w:val="center"/>
            <w:hideMark/>
          </w:tcPr>
          <w:p w14:paraId="26092FDD" w14:textId="77777777" w:rsidR="00F06364" w:rsidRPr="009A501D" w:rsidRDefault="00F06364">
            <w:pPr>
              <w:spacing w:after="0"/>
              <w:jc w:val="center"/>
              <w:rPr>
                <w:rFonts w:ascii="Century Gothic" w:hAnsi="Century Gothic" w:cs="Calibri"/>
                <w:sz w:val="16"/>
                <w:szCs w:val="16"/>
              </w:rPr>
            </w:pPr>
            <w:r w:rsidRPr="009A501D">
              <w:rPr>
                <w:rFonts w:ascii="Century Gothic" w:hAnsi="Century Gothic" w:cs="Calibri"/>
                <w:sz w:val="16"/>
                <w:szCs w:val="16"/>
              </w:rPr>
              <w:t>70%</w:t>
            </w:r>
          </w:p>
        </w:tc>
      </w:tr>
    </w:tbl>
    <w:p w14:paraId="59E0837E" w14:textId="7C6A0113" w:rsidR="00F06364" w:rsidRPr="009A501D" w:rsidRDefault="00D3030C"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Los </w:t>
      </w:r>
      <w:r w:rsidRPr="009A501D">
        <w:rPr>
          <w:rFonts w:ascii="Century Gothic" w:hAnsi="Century Gothic" w:cstheme="minorHAnsi"/>
          <w:i/>
          <w:iCs/>
          <w:sz w:val="19"/>
          <w:szCs w:val="19"/>
        </w:rPr>
        <w:t>Lineamientos de Cambios a la Información Divulgada en las Publicaciones Estadísticas y Geográficas</w:t>
      </w:r>
      <w:r w:rsidRPr="009A501D">
        <w:rPr>
          <w:rFonts w:ascii="Century Gothic" w:hAnsi="Century Gothic" w:cstheme="minorHAnsi"/>
          <w:sz w:val="19"/>
          <w:szCs w:val="19"/>
        </w:rPr>
        <w:t xml:space="preserve">, establecen las características de los </w:t>
      </w:r>
      <w:r w:rsidR="006031FD" w:rsidRPr="009A501D">
        <w:rPr>
          <w:rFonts w:ascii="Century Gothic" w:hAnsi="Century Gothic" w:cstheme="minorHAnsi"/>
          <w:sz w:val="19"/>
          <w:szCs w:val="19"/>
        </w:rPr>
        <w:t>cambios</w:t>
      </w:r>
      <w:r w:rsidRPr="009A501D">
        <w:rPr>
          <w:rFonts w:ascii="Century Gothic" w:hAnsi="Century Gothic" w:cstheme="minorHAnsi"/>
          <w:sz w:val="19"/>
          <w:szCs w:val="19"/>
        </w:rPr>
        <w:t xml:space="preserve"> de información </w:t>
      </w:r>
      <w:r w:rsidR="006031FD" w:rsidRPr="009A501D">
        <w:rPr>
          <w:rFonts w:ascii="Century Gothic" w:hAnsi="Century Gothic" w:cstheme="minorHAnsi"/>
          <w:sz w:val="19"/>
          <w:szCs w:val="19"/>
        </w:rPr>
        <w:t>divulgada</w:t>
      </w:r>
      <w:r w:rsidR="008F13B9" w:rsidRPr="009A501D">
        <w:rPr>
          <w:rFonts w:ascii="Century Gothic" w:hAnsi="Century Gothic" w:cstheme="minorHAnsi"/>
          <w:sz w:val="19"/>
          <w:szCs w:val="19"/>
        </w:rPr>
        <w:t xml:space="preserve"> </w:t>
      </w:r>
      <w:r w:rsidRPr="009A501D">
        <w:rPr>
          <w:rFonts w:ascii="Century Gothic" w:hAnsi="Century Gothic" w:cstheme="minorHAnsi"/>
          <w:sz w:val="19"/>
          <w:szCs w:val="19"/>
        </w:rPr>
        <w:t xml:space="preserve">conforme a su naturaleza. </w:t>
      </w:r>
      <w:r w:rsidR="00CE4F26" w:rsidRPr="009A501D">
        <w:rPr>
          <w:rFonts w:ascii="Century Gothic" w:hAnsi="Century Gothic" w:cstheme="minorHAnsi"/>
          <w:sz w:val="19"/>
          <w:szCs w:val="19"/>
        </w:rPr>
        <w:t>D</w:t>
      </w:r>
      <w:r w:rsidR="009C1EED" w:rsidRPr="009A501D">
        <w:rPr>
          <w:rFonts w:ascii="Century Gothic" w:hAnsi="Century Gothic" w:cstheme="minorHAnsi"/>
          <w:sz w:val="19"/>
          <w:szCs w:val="19"/>
        </w:rPr>
        <w:t>ado</w:t>
      </w:r>
      <w:r w:rsidR="00CE4F26" w:rsidRPr="009A501D">
        <w:rPr>
          <w:rFonts w:ascii="Century Gothic" w:hAnsi="Century Gothic" w:cstheme="minorHAnsi"/>
          <w:sz w:val="19"/>
          <w:szCs w:val="19"/>
        </w:rPr>
        <w:t xml:space="preserve"> que</w:t>
      </w:r>
      <w:r w:rsidRPr="009A501D">
        <w:rPr>
          <w:rFonts w:ascii="Century Gothic" w:hAnsi="Century Gothic" w:cstheme="minorHAnsi"/>
          <w:sz w:val="19"/>
          <w:szCs w:val="19"/>
        </w:rPr>
        <w:t xml:space="preserve"> los indicadores de precisión deben ser publicados cada vez que se modifica la información publicada,</w:t>
      </w:r>
      <w:r w:rsidR="00B33E78" w:rsidRPr="009A501D">
        <w:rPr>
          <w:rFonts w:ascii="Century Gothic" w:hAnsi="Century Gothic" w:cstheme="minorHAnsi"/>
          <w:sz w:val="19"/>
          <w:szCs w:val="19"/>
        </w:rPr>
        <w:t xml:space="preserve"> </w:t>
      </w:r>
      <w:r w:rsidR="009466FD" w:rsidRPr="009A501D">
        <w:rPr>
          <w:rFonts w:ascii="Century Gothic" w:hAnsi="Century Gothic" w:cstheme="minorHAnsi"/>
          <w:sz w:val="19"/>
          <w:szCs w:val="19"/>
        </w:rPr>
        <w:t xml:space="preserve">éstos </w:t>
      </w:r>
      <w:r w:rsidR="00B33E78" w:rsidRPr="009A501D">
        <w:rPr>
          <w:rFonts w:ascii="Century Gothic" w:hAnsi="Century Gothic" w:cstheme="minorHAnsi"/>
          <w:sz w:val="19"/>
          <w:szCs w:val="19"/>
        </w:rPr>
        <w:t>también</w:t>
      </w:r>
      <w:r w:rsidRPr="009A501D">
        <w:rPr>
          <w:rFonts w:ascii="Century Gothic" w:hAnsi="Century Gothic" w:cstheme="minorHAnsi"/>
          <w:sz w:val="19"/>
          <w:szCs w:val="19"/>
        </w:rPr>
        <w:t xml:space="preserve"> se </w:t>
      </w:r>
      <w:r w:rsidR="008F13B9" w:rsidRPr="009A501D">
        <w:rPr>
          <w:rFonts w:ascii="Century Gothic" w:hAnsi="Century Gothic" w:cstheme="minorHAnsi"/>
          <w:sz w:val="19"/>
          <w:szCs w:val="19"/>
        </w:rPr>
        <w:t>deben cambiar</w:t>
      </w:r>
      <w:r w:rsidRPr="009A501D">
        <w:rPr>
          <w:rFonts w:ascii="Century Gothic" w:hAnsi="Century Gothic" w:cstheme="minorHAnsi"/>
          <w:sz w:val="19"/>
          <w:szCs w:val="19"/>
        </w:rPr>
        <w:t xml:space="preserve"> en el sistema.  En los cuadros III.5.2 y III.5.3, puede observarse el número de </w:t>
      </w:r>
      <w:r w:rsidR="009051A8" w:rsidRPr="009A501D">
        <w:rPr>
          <w:rFonts w:ascii="Century Gothic" w:hAnsi="Century Gothic" w:cstheme="minorHAnsi"/>
          <w:sz w:val="19"/>
          <w:szCs w:val="19"/>
        </w:rPr>
        <w:t>cambios</w:t>
      </w:r>
      <w:r w:rsidR="004E50B4" w:rsidRPr="009A501D">
        <w:rPr>
          <w:rFonts w:ascii="Century Gothic" w:hAnsi="Century Gothic" w:cstheme="minorHAnsi"/>
          <w:sz w:val="19"/>
          <w:szCs w:val="19"/>
        </w:rPr>
        <w:t xml:space="preserve"> en la</w:t>
      </w:r>
      <w:r w:rsidR="003F38D0" w:rsidRPr="009A501D">
        <w:rPr>
          <w:rFonts w:ascii="Century Gothic" w:hAnsi="Century Gothic" w:cstheme="minorHAnsi"/>
          <w:sz w:val="19"/>
          <w:szCs w:val="19"/>
        </w:rPr>
        <w:t xml:space="preserve"> información proveniente de </w:t>
      </w:r>
      <w:r w:rsidR="004E50B4" w:rsidRPr="009A501D">
        <w:rPr>
          <w:rFonts w:ascii="Century Gothic" w:hAnsi="Century Gothic" w:cstheme="minorHAnsi"/>
          <w:sz w:val="19"/>
          <w:szCs w:val="19"/>
        </w:rPr>
        <w:t xml:space="preserve">encuestas y </w:t>
      </w:r>
      <w:r w:rsidR="00B33E78" w:rsidRPr="009A501D">
        <w:rPr>
          <w:rFonts w:ascii="Century Gothic" w:hAnsi="Century Gothic" w:cstheme="minorHAnsi"/>
          <w:sz w:val="19"/>
          <w:szCs w:val="19"/>
        </w:rPr>
        <w:t>aprovechamiento de</w:t>
      </w:r>
      <w:r w:rsidR="004E50B4" w:rsidRPr="009A501D">
        <w:rPr>
          <w:rFonts w:ascii="Century Gothic" w:hAnsi="Century Gothic" w:cstheme="minorHAnsi"/>
          <w:sz w:val="19"/>
          <w:szCs w:val="19"/>
        </w:rPr>
        <w:t xml:space="preserve"> registros administrativos</w:t>
      </w:r>
      <w:r w:rsidR="00F06364" w:rsidRPr="009A501D">
        <w:rPr>
          <w:rFonts w:ascii="Century Gothic" w:hAnsi="Century Gothic" w:cstheme="minorHAnsi"/>
          <w:sz w:val="19"/>
          <w:szCs w:val="19"/>
        </w:rPr>
        <w:t>.</w:t>
      </w:r>
      <w:r w:rsidR="009051A8" w:rsidRPr="009A501D">
        <w:rPr>
          <w:rFonts w:ascii="Century Gothic" w:hAnsi="Century Gothic" w:cstheme="minorHAnsi"/>
          <w:sz w:val="19"/>
          <w:szCs w:val="19"/>
        </w:rPr>
        <w:t xml:space="preserve">  Los cambios reportados en estos cuadros corresponden a los cambios en el estatus de la información (preliminar, revisados, definitivos</w:t>
      </w:r>
      <w:r w:rsidR="001B4F3D" w:rsidRPr="009A501D">
        <w:rPr>
          <w:rFonts w:ascii="Century Gothic" w:hAnsi="Century Gothic" w:cstheme="minorHAnsi"/>
          <w:sz w:val="19"/>
          <w:szCs w:val="19"/>
        </w:rPr>
        <w:t>), a cambios derivados de modificaciones metodológicas o errores en el proceso de generación de resultados (</w:t>
      </w:r>
      <w:r w:rsidR="009051A8" w:rsidRPr="009A501D">
        <w:rPr>
          <w:rFonts w:ascii="Century Gothic" w:hAnsi="Century Gothic" w:cstheme="minorHAnsi"/>
          <w:sz w:val="19"/>
          <w:szCs w:val="19"/>
        </w:rPr>
        <w:t>ajustados y corregidos)</w:t>
      </w:r>
      <w:r w:rsidR="001B4F3D" w:rsidRPr="009A501D">
        <w:rPr>
          <w:rFonts w:ascii="Century Gothic" w:hAnsi="Century Gothic" w:cstheme="minorHAnsi"/>
          <w:sz w:val="19"/>
          <w:szCs w:val="19"/>
        </w:rPr>
        <w:t xml:space="preserve"> y cambios derivados de errores en el cálculo de los indicadores de precisión que no se debieron a cambios en la información publicada.</w:t>
      </w:r>
      <w:r w:rsidR="009051A8" w:rsidRPr="009A501D">
        <w:rPr>
          <w:rFonts w:ascii="Century Gothic" w:hAnsi="Century Gothic" w:cstheme="minorHAnsi"/>
          <w:sz w:val="19"/>
          <w:szCs w:val="19"/>
        </w:rPr>
        <w:t xml:space="preserve"> </w:t>
      </w:r>
    </w:p>
    <w:p w14:paraId="40D4535A" w14:textId="71A0F9A1" w:rsidR="009E3DA4" w:rsidRPr="009A501D" w:rsidRDefault="009E3DA4">
      <w:pPr>
        <w:rPr>
          <w:rFonts w:ascii="Century Gothic" w:hAnsi="Century Gothic" w:cstheme="minorHAnsi"/>
          <w:sz w:val="19"/>
          <w:szCs w:val="19"/>
        </w:rPr>
      </w:pPr>
      <w:r w:rsidRPr="009A501D">
        <w:rPr>
          <w:rFonts w:ascii="Century Gothic" w:hAnsi="Century Gothic" w:cstheme="minorHAnsi"/>
          <w:sz w:val="19"/>
          <w:szCs w:val="19"/>
        </w:rPr>
        <w:br w:type="page"/>
      </w:r>
    </w:p>
    <w:p w14:paraId="58BBC644" w14:textId="7A8ECDC4" w:rsidR="00F06364" w:rsidRPr="009A501D" w:rsidRDefault="00F06364" w:rsidP="00664A1D">
      <w:pPr>
        <w:spacing w:before="240"/>
        <w:ind w:left="993" w:right="1019"/>
        <w:jc w:val="center"/>
        <w:rPr>
          <w:rFonts w:ascii="Century Gothic" w:hAnsi="Century Gothic"/>
          <w:b/>
          <w:sz w:val="19"/>
          <w:szCs w:val="19"/>
        </w:rPr>
      </w:pPr>
      <w:r w:rsidRPr="009A501D">
        <w:rPr>
          <w:rFonts w:ascii="Century Gothic" w:hAnsi="Century Gothic"/>
          <w:b/>
          <w:sz w:val="19"/>
          <w:szCs w:val="19"/>
        </w:rPr>
        <w:lastRenderedPageBreak/>
        <w:t>III.5.</w:t>
      </w:r>
      <w:r w:rsidR="004E50B4" w:rsidRPr="009A501D">
        <w:rPr>
          <w:rFonts w:ascii="Century Gothic" w:hAnsi="Century Gothic"/>
          <w:b/>
          <w:sz w:val="19"/>
          <w:szCs w:val="19"/>
        </w:rPr>
        <w:t>2</w:t>
      </w:r>
      <w:r w:rsidRPr="009A501D">
        <w:rPr>
          <w:rFonts w:ascii="Century Gothic" w:hAnsi="Century Gothic"/>
          <w:b/>
          <w:sz w:val="19"/>
          <w:szCs w:val="19"/>
        </w:rPr>
        <w:t xml:space="preserve">. </w:t>
      </w:r>
      <w:r w:rsidR="002C15EA" w:rsidRPr="009A501D">
        <w:rPr>
          <w:rFonts w:ascii="Century Gothic" w:hAnsi="Century Gothic"/>
          <w:b/>
          <w:sz w:val="19"/>
          <w:szCs w:val="19"/>
        </w:rPr>
        <w:t>N</w:t>
      </w:r>
      <w:r w:rsidRPr="009A501D">
        <w:rPr>
          <w:rFonts w:ascii="Century Gothic" w:hAnsi="Century Gothic"/>
          <w:b/>
          <w:sz w:val="19"/>
          <w:szCs w:val="19"/>
        </w:rPr>
        <w:t xml:space="preserve">úmero </w:t>
      </w:r>
      <w:r w:rsidR="008F13B9" w:rsidRPr="009A501D">
        <w:rPr>
          <w:rFonts w:ascii="Century Gothic" w:hAnsi="Century Gothic"/>
          <w:b/>
          <w:sz w:val="19"/>
          <w:szCs w:val="19"/>
        </w:rPr>
        <w:t>cambios</w:t>
      </w:r>
      <w:r w:rsidR="006A30BC" w:rsidRPr="009A501D">
        <w:rPr>
          <w:rFonts w:ascii="Century Gothic" w:hAnsi="Century Gothic"/>
          <w:b/>
          <w:sz w:val="19"/>
          <w:szCs w:val="19"/>
        </w:rPr>
        <w:t xml:space="preserve"> </w:t>
      </w:r>
      <w:r w:rsidRPr="009A501D">
        <w:rPr>
          <w:rFonts w:ascii="Century Gothic" w:hAnsi="Century Gothic"/>
          <w:b/>
          <w:sz w:val="19"/>
          <w:szCs w:val="19"/>
        </w:rPr>
        <w:t>de</w:t>
      </w:r>
      <w:r w:rsidR="00304B7B" w:rsidRPr="009A501D">
        <w:rPr>
          <w:rFonts w:ascii="Century Gothic" w:hAnsi="Century Gothic"/>
          <w:b/>
          <w:sz w:val="19"/>
          <w:szCs w:val="19"/>
        </w:rPr>
        <w:t xml:space="preserve"> indicadores de precisión estadística (IPE)</w:t>
      </w:r>
      <w:r w:rsidR="00692204" w:rsidRPr="009A501D">
        <w:rPr>
          <w:rFonts w:ascii="Century Gothic" w:hAnsi="Century Gothic"/>
          <w:b/>
          <w:sz w:val="19"/>
          <w:szCs w:val="19"/>
        </w:rPr>
        <w:t xml:space="preserve"> en </w:t>
      </w:r>
      <w:r w:rsidR="00DC441A" w:rsidRPr="009A501D">
        <w:rPr>
          <w:rFonts w:ascii="Century Gothic" w:hAnsi="Century Gothic"/>
          <w:b/>
          <w:sz w:val="19"/>
          <w:szCs w:val="19"/>
        </w:rPr>
        <w:t>encuestas</w:t>
      </w:r>
    </w:p>
    <w:tbl>
      <w:tblPr>
        <w:tblW w:w="8240" w:type="dxa"/>
        <w:jc w:val="center"/>
        <w:tblCellMar>
          <w:left w:w="70" w:type="dxa"/>
          <w:right w:w="70" w:type="dxa"/>
        </w:tblCellMar>
        <w:tblLook w:val="04A0" w:firstRow="1" w:lastRow="0" w:firstColumn="1" w:lastColumn="0" w:noHBand="0" w:noVBand="1"/>
      </w:tblPr>
      <w:tblGrid>
        <w:gridCol w:w="1200"/>
        <w:gridCol w:w="1200"/>
        <w:gridCol w:w="1200"/>
        <w:gridCol w:w="1200"/>
        <w:gridCol w:w="1600"/>
        <w:gridCol w:w="1840"/>
      </w:tblGrid>
      <w:tr w:rsidR="002118EC" w:rsidRPr="009A501D" w14:paraId="59598B6E" w14:textId="77777777" w:rsidTr="00664A1D">
        <w:trPr>
          <w:trHeight w:val="284"/>
          <w:tblHeader/>
          <w:jc w:val="center"/>
        </w:trPr>
        <w:tc>
          <w:tcPr>
            <w:tcW w:w="12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9BA4EF4"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UA</w:t>
            </w:r>
          </w:p>
        </w:tc>
        <w:tc>
          <w:tcPr>
            <w:tcW w:w="12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0B73CA86"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Proceso</w:t>
            </w:r>
          </w:p>
        </w:tc>
        <w:tc>
          <w:tcPr>
            <w:tcW w:w="24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0471E9CD"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2022</w:t>
            </w:r>
          </w:p>
        </w:tc>
        <w:tc>
          <w:tcPr>
            <w:tcW w:w="3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21231140" w14:textId="29589143" w:rsidR="002118EC" w:rsidRPr="009A501D" w:rsidRDefault="008F13B9"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Cambios</w:t>
            </w:r>
            <w:r w:rsidR="002118EC" w:rsidRPr="009A501D">
              <w:rPr>
                <w:rFonts w:ascii="Century Gothic" w:eastAsia="Times New Roman" w:hAnsi="Century Gothic" w:cs="Calibri"/>
                <w:b/>
                <w:color w:val="FFFFFF" w:themeColor="background1"/>
                <w:sz w:val="16"/>
                <w:szCs w:val="16"/>
                <w:lang w:eastAsia="es-MX"/>
              </w:rPr>
              <w:t xml:space="preserve"> de años anteriores</w:t>
            </w:r>
            <w:r w:rsidR="00B3613F" w:rsidRPr="009A501D">
              <w:rPr>
                <w:rFonts w:ascii="Century Gothic" w:eastAsia="Times New Roman" w:hAnsi="Century Gothic" w:cs="Calibri"/>
                <w:b/>
                <w:color w:val="FFFFFF" w:themeColor="background1"/>
                <w:sz w:val="16"/>
                <w:szCs w:val="16"/>
                <w:lang w:eastAsia="es-MX"/>
              </w:rPr>
              <w:t>,</w:t>
            </w:r>
            <w:r w:rsidR="002118EC" w:rsidRPr="009A501D">
              <w:rPr>
                <w:rFonts w:ascii="Century Gothic" w:eastAsia="Times New Roman" w:hAnsi="Century Gothic" w:cs="Calibri"/>
                <w:b/>
                <w:color w:val="FFFFFF" w:themeColor="background1"/>
                <w:sz w:val="16"/>
                <w:szCs w:val="16"/>
                <w:lang w:eastAsia="es-MX"/>
              </w:rPr>
              <w:t xml:space="preserve"> realizados en 2022 </w:t>
            </w:r>
          </w:p>
        </w:tc>
      </w:tr>
      <w:tr w:rsidR="002118EC" w:rsidRPr="009A501D" w14:paraId="1F342B67" w14:textId="77777777" w:rsidTr="00664A1D">
        <w:trPr>
          <w:trHeight w:val="284"/>
          <w:tblHeader/>
          <w:jc w:val="center"/>
        </w:trPr>
        <w:tc>
          <w:tcPr>
            <w:tcW w:w="120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5B46EA3A" w14:textId="77777777" w:rsidR="002118EC" w:rsidRPr="009A501D" w:rsidRDefault="002118EC" w:rsidP="009B6E22">
            <w:pPr>
              <w:spacing w:after="0" w:line="240" w:lineRule="auto"/>
              <w:contextualSpacing/>
              <w:rPr>
                <w:rFonts w:ascii="Century Gothic" w:eastAsia="Times New Roman" w:hAnsi="Century Gothic" w:cs="Calibri"/>
                <w:b/>
                <w:color w:val="FFFFFF" w:themeColor="background1"/>
                <w:sz w:val="16"/>
                <w:szCs w:val="16"/>
                <w:lang w:eastAsia="es-MX"/>
              </w:rPr>
            </w:pPr>
          </w:p>
        </w:tc>
        <w:tc>
          <w:tcPr>
            <w:tcW w:w="120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4A94A928" w14:textId="77777777" w:rsidR="002118EC" w:rsidRPr="009A501D" w:rsidRDefault="002118EC" w:rsidP="009B6E22">
            <w:pPr>
              <w:spacing w:after="0" w:line="240" w:lineRule="auto"/>
              <w:contextualSpacing/>
              <w:rPr>
                <w:rFonts w:ascii="Century Gothic" w:eastAsia="Times New Roman" w:hAnsi="Century Gothic" w:cs="Calibri"/>
                <w:b/>
                <w:color w:val="FFFFFF" w:themeColor="background1"/>
                <w:sz w:val="16"/>
                <w:szCs w:val="16"/>
                <w:lang w:eastAsia="es-MX"/>
              </w:rPr>
            </w:pP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44972098"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IPE externos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74CA4207"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IPE Internos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0E540C71"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IPE externos</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496E154E" w14:textId="77777777" w:rsidR="002118EC" w:rsidRPr="009A501D" w:rsidRDefault="002118EC" w:rsidP="009B6E22">
            <w:pPr>
              <w:spacing w:after="0" w:line="240" w:lineRule="auto"/>
              <w:contextualSpacing/>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IPE Internos</w:t>
            </w:r>
          </w:p>
        </w:tc>
      </w:tr>
      <w:tr w:rsidR="00FF5EF0" w:rsidRPr="009A501D" w14:paraId="1EBE35D1"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F71CEA2" w14:textId="3C3B8C92"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C10E9E1" w14:textId="50E7458B"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EMEC</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F25C289" w14:textId="34C9F6C0"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6A4CFD8" w14:textId="3E2BFA1B"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BC675A7" w14:textId="3F4399C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30</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79C3586" w14:textId="0DB77DC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0289C566"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2234821" w14:textId="415A01F2"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E92CC1E" w14:textId="49B998A3"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EMIM</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4BA0B92" w14:textId="4EB27DAA"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27</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05AD126" w14:textId="7CF9FDCD"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7164638" w14:textId="695B07C0"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30</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C909AA6" w14:textId="4E0982CF"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3133B688"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A668D87" w14:textId="4718F454"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B506C14" w14:textId="050714FC"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EMOE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B6F90E" w14:textId="11A4CF4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27</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07D5A5D" w14:textId="4A8E156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50</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400782D" w14:textId="49D6D4D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10F40BF" w14:textId="708DB9CD"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2A6F74E2"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7EE3C66" w14:textId="7C53F8B3"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98FE959" w14:textId="03FF3E1E"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EMS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74F9F11" w14:textId="511CCD44"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12</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496395A" w14:textId="44E9720C"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22F3EF" w14:textId="1D0F56C1"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60</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1F4E12F" w14:textId="78A34AA4"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215327DC"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0E3CD69" w14:textId="03EDF446"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E4BEE51" w14:textId="335E3253"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ENEC</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519CE1E" w14:textId="6015201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A05218E" w14:textId="4B7CDB44"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1E4FC98" w14:textId="361216E7"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66</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8BB37A9" w14:textId="3C502A0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212AE8CD"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E2CF81E" w14:textId="403BAE79"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E375E87" w14:textId="5D344579"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EAC</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3AFD5E3" w14:textId="4FAC7424"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BAD5F60" w14:textId="13E70DD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530ADBC" w14:textId="09BB237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785C031" w14:textId="4DC8F93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794B71A7"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631C184" w14:textId="53BF56D0"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DD98B8B" w14:textId="31FAC7CC"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EAEC</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DE742E0" w14:textId="44857E29"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BFD4F09" w14:textId="2000AD51"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FCDE6EF" w14:textId="56EC3A9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921306C" w14:textId="0C968FB0"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61FC54E2"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E540C60" w14:textId="7F93A60E"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96BB0B1" w14:textId="34FBC5AA"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EAIM</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6CF700F" w14:textId="1B054FD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F0AD32E" w14:textId="3744FDC7"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D545C7B" w14:textId="6598305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86CD38B" w14:textId="266ABCD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530A44E4"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85156B1" w14:textId="4A9A9685"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377900D" w14:textId="724D7840"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EASPNF</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6B08C30" w14:textId="456D43C9"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DFEBCB8" w14:textId="0281B7A0"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09AA9EB" w14:textId="309F308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8759CB8" w14:textId="597F4C87"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4E6E8AB1"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C01B705" w14:textId="53399FC6"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8D70CA3" w14:textId="4CEA4004"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EAT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0193D22" w14:textId="011CAE3C"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34B0923" w14:textId="09476DF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0AA37A5" w14:textId="1EF3AF3E"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4</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D2563B2" w14:textId="7F89F909"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5343544D"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1CB78DA" w14:textId="56253B9B"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5E800C9" w14:textId="767D1FA6"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ENDUTIH</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CE030A0" w14:textId="1C2CB30D"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FB6745E" w14:textId="49D9DD39"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59B18EF" w14:textId="4A847F69" w:rsidR="00FF5EF0" w:rsidRPr="009A501D" w:rsidRDefault="00D72961"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A185A0C" w14:textId="7943656A"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2</w:t>
            </w:r>
          </w:p>
        </w:tc>
      </w:tr>
      <w:tr w:rsidR="00FF5EF0" w:rsidRPr="009A501D" w14:paraId="5BCDDC18"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905F4EC" w14:textId="0FFB46E3"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DGEGSPJ</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491F19A" w14:textId="32514B7A"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ENVIPE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85E792A" w14:textId="0BCCFFAC"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B5AED10" w14:textId="092B342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A45707A" w14:textId="78183511"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4F8E74B" w14:textId="7075B8F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5C167462"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381793C" w14:textId="6B34D664"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DGEGSPJ</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914B795" w14:textId="73984BE0"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MOCIBA</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30989CE" w14:textId="0A1E3FC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FF88E15" w14:textId="729998EC"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D6FAB32" w14:textId="721BC17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00788C3" w14:textId="0640069F"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2E13BD8A"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47BC1BF" w14:textId="0A42D4E5"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AC496AC" w14:textId="08FA20D6"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MOPRADEF</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EF95BF2" w14:textId="3712761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F495643" w14:textId="2C6CE021"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B7F3236" w14:textId="74C156CB"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9B634C9" w14:textId="7B3282E7"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460BCB" w:rsidRPr="009A501D" w14:paraId="0A83ED61"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65B2BA7" w14:textId="1142BA1E"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A67B50" w14:textId="12B91CDB"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ENCO</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E7FBDC8" w14:textId="7C80E1A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5A0992A" w14:textId="4C7339B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D20D598" w14:textId="16BE900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FAF134A" w14:textId="5B408F98"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w:t>
            </w:r>
          </w:p>
        </w:tc>
      </w:tr>
      <w:tr w:rsidR="00FF5EF0" w:rsidRPr="009A501D" w14:paraId="270BAAAF"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2366082" w14:textId="40BC9A09"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B210C87" w14:textId="02F9F031"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ENOE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3788788" w14:textId="58211C73"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1F45263" w14:textId="7370C0DA"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8</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5095B9C" w14:textId="63255C2F"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27</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30C39A1" w14:textId="76AE10BD"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r>
      <w:tr w:rsidR="00FF5EF0" w:rsidRPr="009A501D" w14:paraId="3B4D4B37"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59FC336" w14:textId="38425336"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D10949B" w14:textId="1F52A13D"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ENTI</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E42C193" w14:textId="6740287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08DDE0" w14:textId="30D5C211"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9349A11" w14:textId="1C6EC6EF"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3</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20740CA" w14:textId="04F3601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5</w:t>
            </w:r>
          </w:p>
        </w:tc>
      </w:tr>
      <w:tr w:rsidR="00FF5EF0" w:rsidRPr="009A501D" w14:paraId="60646892"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F4B61E9" w14:textId="02DE17D4"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DGES</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9F7F4D3" w14:textId="72A38F44"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ENOE-NE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50130C1" w14:textId="570DD4C9"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9B83B92" w14:textId="1982CCDC"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BD2399E" w14:textId="0F40BBC6"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9</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AF91341" w14:textId="6FE1A061" w:rsidR="00FF5EF0" w:rsidRPr="009A501D" w:rsidRDefault="005B7D5E"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r>
      <w:tr w:rsidR="00FF5EF0" w:rsidRPr="009A501D" w14:paraId="1D8BB893" w14:textId="77777777" w:rsidTr="00664A1D">
        <w:trPr>
          <w:trHeight w:val="284"/>
          <w:jc w:val="center"/>
        </w:trPr>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70C9F94" w14:textId="7C1E963A"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DGIAI</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A52B1E2" w14:textId="1CAD0601" w:rsidR="00FF5EF0" w:rsidRPr="009A501D" w:rsidRDefault="00FF5EF0" w:rsidP="009B6E22">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BIARE</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975E5B7" w14:textId="150495DF"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AFA7478" w14:textId="62BD3B42" w:rsidR="00FF5EF0" w:rsidRPr="009A501D" w:rsidRDefault="00FF5EF0"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5531B5F" w14:textId="410886D4" w:rsidR="00FF5EF0" w:rsidRPr="009A501D" w:rsidRDefault="006A164F"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04E0E6A" w14:textId="09A0D8FB" w:rsidR="00FF5EF0" w:rsidRPr="009A501D" w:rsidRDefault="006A164F" w:rsidP="009B6E22">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hAnsi="Century Gothic" w:cs="Calibri"/>
                <w:color w:val="000000"/>
                <w:sz w:val="16"/>
                <w:szCs w:val="16"/>
              </w:rPr>
              <w:t>17</w:t>
            </w:r>
          </w:p>
        </w:tc>
      </w:tr>
    </w:tbl>
    <w:p w14:paraId="69A1DAD4" w14:textId="27A12F5C" w:rsidR="002118EC" w:rsidRPr="009A501D" w:rsidRDefault="009C1EED" w:rsidP="00664A1D">
      <w:pPr>
        <w:spacing w:after="0"/>
        <w:ind w:left="1276" w:right="1302"/>
        <w:jc w:val="both"/>
        <w:rPr>
          <w:rFonts w:ascii="Century Gothic" w:hAnsi="Century Gothic" w:cstheme="minorHAnsi"/>
          <w:color w:val="000000" w:themeColor="text1"/>
          <w:sz w:val="14"/>
          <w:szCs w:val="14"/>
        </w:rPr>
      </w:pPr>
      <w:r w:rsidRPr="009A501D">
        <w:rPr>
          <w:rFonts w:ascii="Century Gothic" w:hAnsi="Century Gothic" w:cstheme="minorHAnsi"/>
          <w:color w:val="000000" w:themeColor="text1"/>
          <w:sz w:val="14"/>
          <w:szCs w:val="14"/>
        </w:rPr>
        <w:t xml:space="preserve">Nota: en </w:t>
      </w:r>
      <w:r w:rsidR="002118EC" w:rsidRPr="009A501D">
        <w:rPr>
          <w:rFonts w:ascii="Century Gothic" w:hAnsi="Century Gothic" w:cstheme="minorHAnsi"/>
          <w:color w:val="000000" w:themeColor="text1"/>
          <w:sz w:val="14"/>
          <w:szCs w:val="14"/>
        </w:rPr>
        <w:t xml:space="preserve">2021 las encuestas MOPRADEF y ENCO reemplazaron IPE Internos a excepción de la </w:t>
      </w:r>
      <w:r w:rsidR="00DE22C9" w:rsidRPr="009A501D">
        <w:rPr>
          <w:rFonts w:ascii="Century Gothic" w:hAnsi="Century Gothic" w:cstheme="minorHAnsi"/>
          <w:color w:val="000000" w:themeColor="text1"/>
          <w:sz w:val="14"/>
          <w:szCs w:val="14"/>
        </w:rPr>
        <w:t>Tasa de Imputación (</w:t>
      </w:r>
      <w:r w:rsidR="002118EC" w:rsidRPr="009A501D">
        <w:rPr>
          <w:rFonts w:ascii="Century Gothic" w:hAnsi="Century Gothic" w:cstheme="minorHAnsi"/>
          <w:color w:val="000000" w:themeColor="text1"/>
          <w:sz w:val="14"/>
          <w:szCs w:val="14"/>
        </w:rPr>
        <w:t>TI</w:t>
      </w:r>
      <w:r w:rsidR="00DE22C9" w:rsidRPr="009A501D">
        <w:rPr>
          <w:rFonts w:ascii="Century Gothic" w:hAnsi="Century Gothic" w:cstheme="minorHAnsi"/>
          <w:color w:val="000000" w:themeColor="text1"/>
          <w:sz w:val="14"/>
          <w:szCs w:val="14"/>
        </w:rPr>
        <w:t>)</w:t>
      </w:r>
      <w:r w:rsidR="002118EC" w:rsidRPr="009A501D">
        <w:rPr>
          <w:rFonts w:ascii="Century Gothic" w:hAnsi="Century Gothic" w:cstheme="minorHAnsi"/>
          <w:color w:val="000000" w:themeColor="text1"/>
          <w:sz w:val="14"/>
          <w:szCs w:val="14"/>
        </w:rPr>
        <w:t xml:space="preserve"> y </w:t>
      </w:r>
      <w:r w:rsidR="00DE22C9" w:rsidRPr="009A501D">
        <w:rPr>
          <w:rFonts w:ascii="Century Gothic" w:hAnsi="Century Gothic" w:cstheme="minorHAnsi"/>
          <w:color w:val="000000" w:themeColor="text1"/>
          <w:sz w:val="14"/>
          <w:szCs w:val="14"/>
        </w:rPr>
        <w:t xml:space="preserve">Tasa de </w:t>
      </w:r>
      <w:r w:rsidR="00291B16" w:rsidRPr="009A501D">
        <w:rPr>
          <w:rFonts w:ascii="Century Gothic" w:hAnsi="Century Gothic" w:cstheme="minorHAnsi"/>
          <w:color w:val="000000" w:themeColor="text1"/>
          <w:sz w:val="14"/>
          <w:szCs w:val="14"/>
        </w:rPr>
        <w:t>No Respuesta Después de Imputación (</w:t>
      </w:r>
      <w:r w:rsidR="002118EC" w:rsidRPr="009A501D">
        <w:rPr>
          <w:rFonts w:ascii="Century Gothic" w:hAnsi="Century Gothic" w:cstheme="minorHAnsi"/>
          <w:color w:val="000000" w:themeColor="text1"/>
          <w:sz w:val="14"/>
          <w:szCs w:val="14"/>
        </w:rPr>
        <w:t>TNRDI</w:t>
      </w:r>
      <w:r w:rsidR="00291B16" w:rsidRPr="009A501D">
        <w:rPr>
          <w:rFonts w:ascii="Century Gothic" w:hAnsi="Century Gothic" w:cstheme="minorHAnsi"/>
          <w:color w:val="000000" w:themeColor="text1"/>
          <w:sz w:val="14"/>
          <w:szCs w:val="14"/>
        </w:rPr>
        <w:t>)</w:t>
      </w:r>
      <w:r w:rsidR="002118EC" w:rsidRPr="009A501D">
        <w:rPr>
          <w:rFonts w:ascii="Century Gothic" w:hAnsi="Century Gothic" w:cstheme="minorHAnsi"/>
          <w:color w:val="000000" w:themeColor="text1"/>
          <w:sz w:val="14"/>
          <w:szCs w:val="14"/>
        </w:rPr>
        <w:t>.</w:t>
      </w:r>
      <w:r w:rsidRPr="009A501D">
        <w:rPr>
          <w:rFonts w:ascii="Century Gothic" w:hAnsi="Century Gothic" w:cstheme="minorHAnsi"/>
          <w:color w:val="000000" w:themeColor="text1"/>
          <w:sz w:val="14"/>
          <w:szCs w:val="14"/>
        </w:rPr>
        <w:t xml:space="preserve"> En</w:t>
      </w:r>
      <w:r w:rsidR="002118EC" w:rsidRPr="009A501D">
        <w:rPr>
          <w:rFonts w:ascii="Century Gothic" w:hAnsi="Century Gothic" w:cstheme="minorHAnsi"/>
          <w:color w:val="000000" w:themeColor="text1"/>
          <w:sz w:val="14"/>
          <w:szCs w:val="14"/>
        </w:rPr>
        <w:t xml:space="preserve"> 2022 la encuesta ENOE reemplazó IPE Internos a excepción de la </w:t>
      </w:r>
      <w:r w:rsidR="009E14FE" w:rsidRPr="009A501D">
        <w:rPr>
          <w:rFonts w:ascii="Century Gothic" w:hAnsi="Century Gothic" w:cstheme="minorHAnsi"/>
          <w:color w:val="000000" w:themeColor="text1"/>
          <w:sz w:val="14"/>
          <w:szCs w:val="14"/>
        </w:rPr>
        <w:t>Tasa de Cumplimiento de la Muestra Mínima (</w:t>
      </w:r>
      <w:r w:rsidR="002118EC" w:rsidRPr="009A501D">
        <w:rPr>
          <w:rFonts w:ascii="Century Gothic" w:hAnsi="Century Gothic" w:cstheme="minorHAnsi"/>
          <w:color w:val="000000" w:themeColor="text1"/>
          <w:sz w:val="14"/>
          <w:szCs w:val="14"/>
        </w:rPr>
        <w:t>TCMM</w:t>
      </w:r>
      <w:r w:rsidR="009E14FE" w:rsidRPr="009A501D">
        <w:rPr>
          <w:rFonts w:ascii="Century Gothic" w:hAnsi="Century Gothic" w:cstheme="minorHAnsi"/>
          <w:color w:val="000000" w:themeColor="text1"/>
          <w:sz w:val="14"/>
          <w:szCs w:val="14"/>
        </w:rPr>
        <w:t>)</w:t>
      </w:r>
      <w:r w:rsidR="00C74DEC" w:rsidRPr="009A501D">
        <w:rPr>
          <w:rFonts w:ascii="Century Gothic" w:hAnsi="Century Gothic" w:cstheme="minorHAnsi"/>
          <w:color w:val="000000" w:themeColor="text1"/>
          <w:sz w:val="14"/>
          <w:szCs w:val="14"/>
        </w:rPr>
        <w:t>; la</w:t>
      </w:r>
      <w:r w:rsidR="002118EC" w:rsidRPr="009A501D">
        <w:rPr>
          <w:rFonts w:ascii="Century Gothic" w:hAnsi="Century Gothic" w:cstheme="minorHAnsi"/>
          <w:color w:val="000000" w:themeColor="text1"/>
          <w:sz w:val="14"/>
          <w:szCs w:val="14"/>
        </w:rPr>
        <w:t xml:space="preserve"> encuesta ENVIPE reemplazó los IPE </w:t>
      </w:r>
      <w:r w:rsidR="007201B6" w:rsidRPr="009A501D">
        <w:rPr>
          <w:rFonts w:ascii="Century Gothic" w:hAnsi="Century Gothic" w:cstheme="minorHAnsi"/>
          <w:color w:val="000000" w:themeColor="text1"/>
          <w:sz w:val="14"/>
          <w:szCs w:val="14"/>
        </w:rPr>
        <w:t>Coeficiente de Variación (</w:t>
      </w:r>
      <w:r w:rsidR="002118EC" w:rsidRPr="009A501D">
        <w:rPr>
          <w:rFonts w:ascii="Century Gothic" w:hAnsi="Century Gothic" w:cstheme="minorHAnsi"/>
          <w:color w:val="000000" w:themeColor="text1"/>
          <w:sz w:val="14"/>
          <w:szCs w:val="14"/>
        </w:rPr>
        <w:t>CV</w:t>
      </w:r>
      <w:r w:rsidR="007201B6" w:rsidRPr="009A501D">
        <w:rPr>
          <w:rFonts w:ascii="Century Gothic" w:hAnsi="Century Gothic" w:cstheme="minorHAnsi"/>
          <w:color w:val="000000" w:themeColor="text1"/>
          <w:sz w:val="14"/>
          <w:szCs w:val="14"/>
        </w:rPr>
        <w:t>), Error Estándar (</w:t>
      </w:r>
      <w:r w:rsidR="002118EC" w:rsidRPr="009A501D">
        <w:rPr>
          <w:rFonts w:ascii="Century Gothic" w:hAnsi="Century Gothic" w:cstheme="minorHAnsi"/>
          <w:color w:val="000000" w:themeColor="text1"/>
          <w:sz w:val="14"/>
          <w:szCs w:val="14"/>
        </w:rPr>
        <w:t>EE</w:t>
      </w:r>
      <w:r w:rsidR="007201B6" w:rsidRPr="009A501D">
        <w:rPr>
          <w:rFonts w:ascii="Century Gothic" w:hAnsi="Century Gothic" w:cstheme="minorHAnsi"/>
          <w:color w:val="000000" w:themeColor="text1"/>
          <w:sz w:val="14"/>
          <w:szCs w:val="14"/>
        </w:rPr>
        <w:t>)</w:t>
      </w:r>
      <w:r w:rsidR="004A4E73" w:rsidRPr="009A501D">
        <w:rPr>
          <w:rFonts w:ascii="Century Gothic" w:hAnsi="Century Gothic" w:cstheme="minorHAnsi"/>
          <w:color w:val="000000" w:themeColor="text1"/>
          <w:sz w:val="14"/>
          <w:szCs w:val="14"/>
        </w:rPr>
        <w:t xml:space="preserve"> e </w:t>
      </w:r>
      <w:r w:rsidR="002118EC" w:rsidRPr="009A501D">
        <w:rPr>
          <w:rFonts w:ascii="Century Gothic" w:hAnsi="Century Gothic" w:cstheme="minorHAnsi"/>
          <w:color w:val="000000" w:themeColor="text1"/>
          <w:sz w:val="14"/>
          <w:szCs w:val="14"/>
        </w:rPr>
        <w:t>I</w:t>
      </w:r>
      <w:r w:rsidR="008134F6" w:rsidRPr="009A501D">
        <w:rPr>
          <w:rFonts w:ascii="Century Gothic" w:hAnsi="Century Gothic" w:cstheme="minorHAnsi"/>
          <w:color w:val="000000" w:themeColor="text1"/>
          <w:sz w:val="14"/>
          <w:szCs w:val="14"/>
        </w:rPr>
        <w:t xml:space="preserve">ntervalo de </w:t>
      </w:r>
      <w:r w:rsidR="002118EC" w:rsidRPr="009A501D">
        <w:rPr>
          <w:rFonts w:ascii="Century Gothic" w:hAnsi="Century Gothic" w:cstheme="minorHAnsi"/>
          <w:color w:val="000000" w:themeColor="text1"/>
          <w:sz w:val="14"/>
          <w:szCs w:val="14"/>
        </w:rPr>
        <w:t>C</w:t>
      </w:r>
      <w:r w:rsidR="008134F6" w:rsidRPr="009A501D">
        <w:rPr>
          <w:rFonts w:ascii="Century Gothic" w:hAnsi="Century Gothic" w:cstheme="minorHAnsi"/>
          <w:color w:val="000000" w:themeColor="text1"/>
          <w:sz w:val="14"/>
          <w:szCs w:val="14"/>
        </w:rPr>
        <w:t>onfianza (IC)</w:t>
      </w:r>
      <w:r w:rsidR="002118EC" w:rsidRPr="009A501D">
        <w:rPr>
          <w:rFonts w:ascii="Century Gothic" w:hAnsi="Century Gothic" w:cstheme="minorHAnsi"/>
          <w:color w:val="000000" w:themeColor="text1"/>
          <w:sz w:val="14"/>
          <w:szCs w:val="14"/>
        </w:rPr>
        <w:t>, como resultado de un ejercicio de completitud de indicadores-objetivo</w:t>
      </w:r>
      <w:r w:rsidR="00C74DEC" w:rsidRPr="009A501D">
        <w:rPr>
          <w:rFonts w:ascii="Century Gothic" w:hAnsi="Century Gothic" w:cstheme="minorHAnsi"/>
          <w:color w:val="000000" w:themeColor="text1"/>
          <w:sz w:val="14"/>
          <w:szCs w:val="14"/>
        </w:rPr>
        <w:t xml:space="preserve">; </w:t>
      </w:r>
      <w:r w:rsidR="006A164F" w:rsidRPr="009A501D">
        <w:rPr>
          <w:rFonts w:ascii="Century Gothic" w:hAnsi="Century Gothic" w:cstheme="minorHAnsi"/>
          <w:color w:val="000000" w:themeColor="text1"/>
          <w:sz w:val="14"/>
          <w:szCs w:val="14"/>
        </w:rPr>
        <w:t xml:space="preserve">el </w:t>
      </w:r>
      <w:r w:rsidR="002118EC" w:rsidRPr="009A501D">
        <w:rPr>
          <w:rFonts w:ascii="Century Gothic" w:hAnsi="Century Gothic" w:cstheme="minorHAnsi"/>
          <w:color w:val="000000" w:themeColor="text1"/>
          <w:sz w:val="14"/>
          <w:szCs w:val="14"/>
        </w:rPr>
        <w:t>BIARE</w:t>
      </w:r>
      <w:r w:rsidR="006A164F" w:rsidRPr="009A501D">
        <w:rPr>
          <w:rFonts w:ascii="Century Gothic" w:hAnsi="Century Gothic" w:cstheme="minorHAnsi"/>
          <w:color w:val="000000" w:themeColor="text1"/>
          <w:sz w:val="14"/>
          <w:szCs w:val="14"/>
        </w:rPr>
        <w:t xml:space="preserve"> reemplazó la TI y la TNRDI</w:t>
      </w:r>
      <w:r w:rsidR="004C29F1" w:rsidRPr="009A501D">
        <w:rPr>
          <w:rFonts w:ascii="Century Gothic" w:hAnsi="Century Gothic" w:cstheme="minorHAnsi"/>
          <w:color w:val="000000" w:themeColor="text1"/>
          <w:sz w:val="14"/>
          <w:szCs w:val="14"/>
        </w:rPr>
        <w:t xml:space="preserve"> para los años 2018, 2019, 2020 y 2021</w:t>
      </w:r>
      <w:r w:rsidR="006A164F" w:rsidRPr="009A501D">
        <w:rPr>
          <w:rFonts w:ascii="Century Gothic" w:hAnsi="Century Gothic" w:cstheme="minorHAnsi"/>
          <w:color w:val="000000" w:themeColor="text1"/>
          <w:sz w:val="14"/>
          <w:szCs w:val="14"/>
        </w:rPr>
        <w:t>.</w:t>
      </w:r>
      <w:r w:rsidR="008F13B9" w:rsidRPr="009A501D">
        <w:rPr>
          <w:rFonts w:ascii="Century Gothic" w:hAnsi="Century Gothic" w:cstheme="minorHAnsi"/>
          <w:color w:val="000000" w:themeColor="text1"/>
          <w:sz w:val="14"/>
          <w:szCs w:val="14"/>
        </w:rPr>
        <w:t xml:space="preserve"> Los cambios en la ENEC se debieron a la revisión de cifras por el caso de la incorporación del AIFA.</w:t>
      </w:r>
    </w:p>
    <w:p w14:paraId="396AB3C1" w14:textId="376D1566" w:rsidR="00883937" w:rsidRPr="009A501D" w:rsidRDefault="00F06364" w:rsidP="00664A1D">
      <w:pPr>
        <w:spacing w:before="240"/>
        <w:ind w:left="709" w:right="877"/>
        <w:jc w:val="center"/>
        <w:rPr>
          <w:rFonts w:ascii="Century Gothic" w:hAnsi="Century Gothic"/>
          <w:sz w:val="19"/>
          <w:szCs w:val="19"/>
        </w:rPr>
      </w:pPr>
      <w:r w:rsidRPr="009A501D">
        <w:rPr>
          <w:rFonts w:ascii="Century Gothic" w:hAnsi="Century Gothic"/>
          <w:b/>
          <w:sz w:val="19"/>
          <w:szCs w:val="19"/>
        </w:rPr>
        <w:t>III.5.</w:t>
      </w:r>
      <w:r w:rsidR="004E50B4" w:rsidRPr="009A501D">
        <w:rPr>
          <w:rFonts w:ascii="Century Gothic" w:hAnsi="Century Gothic"/>
          <w:b/>
          <w:sz w:val="19"/>
          <w:szCs w:val="19"/>
        </w:rPr>
        <w:t>3</w:t>
      </w:r>
      <w:r w:rsidRPr="009A501D">
        <w:rPr>
          <w:rFonts w:ascii="Century Gothic" w:hAnsi="Century Gothic"/>
          <w:b/>
          <w:sz w:val="19"/>
          <w:szCs w:val="19"/>
        </w:rPr>
        <w:t xml:space="preserve">. </w:t>
      </w:r>
      <w:r w:rsidR="002C15EA" w:rsidRPr="009A501D">
        <w:rPr>
          <w:rFonts w:ascii="Century Gothic" w:hAnsi="Century Gothic"/>
          <w:b/>
          <w:sz w:val="19"/>
          <w:szCs w:val="19"/>
        </w:rPr>
        <w:t>N</w:t>
      </w:r>
      <w:r w:rsidRPr="009A501D">
        <w:rPr>
          <w:rFonts w:ascii="Century Gothic" w:hAnsi="Century Gothic"/>
          <w:b/>
          <w:sz w:val="19"/>
          <w:szCs w:val="19"/>
        </w:rPr>
        <w:t xml:space="preserve">úmero de </w:t>
      </w:r>
      <w:r w:rsidR="001F5DAC" w:rsidRPr="009A501D">
        <w:rPr>
          <w:rFonts w:ascii="Century Gothic" w:hAnsi="Century Gothic"/>
          <w:b/>
          <w:sz w:val="19"/>
          <w:szCs w:val="19"/>
        </w:rPr>
        <w:t>cambios</w:t>
      </w:r>
      <w:r w:rsidRPr="009A501D">
        <w:rPr>
          <w:rFonts w:ascii="Century Gothic" w:hAnsi="Century Gothic"/>
          <w:b/>
          <w:sz w:val="19"/>
          <w:szCs w:val="19"/>
        </w:rPr>
        <w:t xml:space="preserve"> de </w:t>
      </w:r>
      <w:r w:rsidR="00985A3B" w:rsidRPr="009A501D">
        <w:rPr>
          <w:rFonts w:ascii="Century Gothic" w:hAnsi="Century Gothic"/>
          <w:b/>
          <w:sz w:val="19"/>
          <w:szCs w:val="19"/>
        </w:rPr>
        <w:t>indicadores de precisión estadística (</w:t>
      </w:r>
      <w:r w:rsidRPr="009A501D">
        <w:rPr>
          <w:rFonts w:ascii="Century Gothic" w:hAnsi="Century Gothic"/>
          <w:b/>
          <w:sz w:val="19"/>
          <w:szCs w:val="19"/>
        </w:rPr>
        <w:t>IPE</w:t>
      </w:r>
      <w:r w:rsidR="00985A3B" w:rsidRPr="009A501D">
        <w:rPr>
          <w:rFonts w:ascii="Century Gothic" w:hAnsi="Century Gothic"/>
          <w:b/>
          <w:sz w:val="19"/>
          <w:szCs w:val="19"/>
        </w:rPr>
        <w:t>)</w:t>
      </w:r>
      <w:r w:rsidRPr="009A501D">
        <w:rPr>
          <w:rFonts w:ascii="Century Gothic" w:hAnsi="Century Gothic"/>
          <w:b/>
          <w:sz w:val="19"/>
          <w:szCs w:val="19"/>
        </w:rPr>
        <w:t xml:space="preserve"> </w:t>
      </w:r>
      <w:r w:rsidR="00692204" w:rsidRPr="009A501D">
        <w:rPr>
          <w:rFonts w:ascii="Century Gothic" w:hAnsi="Century Gothic"/>
          <w:b/>
          <w:sz w:val="19"/>
          <w:szCs w:val="19"/>
        </w:rPr>
        <w:t xml:space="preserve">en </w:t>
      </w:r>
      <w:r w:rsidR="006F690A" w:rsidRPr="009A501D">
        <w:rPr>
          <w:rFonts w:ascii="Century Gothic" w:hAnsi="Century Gothic"/>
          <w:b/>
          <w:sz w:val="19"/>
          <w:szCs w:val="19"/>
        </w:rPr>
        <w:t>aprove</w:t>
      </w:r>
      <w:r w:rsidR="00B41FE5" w:rsidRPr="009A501D">
        <w:rPr>
          <w:rFonts w:ascii="Century Gothic" w:hAnsi="Century Gothic"/>
          <w:b/>
          <w:sz w:val="19"/>
          <w:szCs w:val="19"/>
        </w:rPr>
        <w:t>chamiento de r</w:t>
      </w:r>
      <w:r w:rsidRPr="009A501D">
        <w:rPr>
          <w:rFonts w:ascii="Century Gothic" w:hAnsi="Century Gothic"/>
          <w:b/>
          <w:sz w:val="19"/>
          <w:szCs w:val="19"/>
        </w:rPr>
        <w:t xml:space="preserve">egistros </w:t>
      </w:r>
      <w:r w:rsidR="00B41FE5" w:rsidRPr="009A501D">
        <w:rPr>
          <w:rFonts w:ascii="Century Gothic" w:hAnsi="Century Gothic"/>
          <w:b/>
          <w:sz w:val="19"/>
          <w:szCs w:val="19"/>
        </w:rPr>
        <w:t>a</w:t>
      </w:r>
      <w:r w:rsidRPr="009A501D">
        <w:rPr>
          <w:rFonts w:ascii="Century Gothic" w:hAnsi="Century Gothic"/>
          <w:b/>
          <w:sz w:val="19"/>
          <w:szCs w:val="19"/>
        </w:rPr>
        <w:t>dministrativos</w:t>
      </w:r>
    </w:p>
    <w:tbl>
      <w:tblPr>
        <w:tblW w:w="8647" w:type="dxa"/>
        <w:jc w:val="center"/>
        <w:tblCellMar>
          <w:left w:w="70" w:type="dxa"/>
          <w:right w:w="70" w:type="dxa"/>
        </w:tblCellMar>
        <w:tblLook w:val="04A0" w:firstRow="1" w:lastRow="0" w:firstColumn="1" w:lastColumn="0" w:noHBand="0" w:noVBand="1"/>
      </w:tblPr>
      <w:tblGrid>
        <w:gridCol w:w="1271"/>
        <w:gridCol w:w="1423"/>
        <w:gridCol w:w="992"/>
        <w:gridCol w:w="992"/>
        <w:gridCol w:w="866"/>
        <w:gridCol w:w="1071"/>
        <w:gridCol w:w="796"/>
        <w:gridCol w:w="1236"/>
      </w:tblGrid>
      <w:tr w:rsidR="0085461B" w:rsidRPr="009A501D" w14:paraId="77090673" w14:textId="77777777" w:rsidTr="00664A1D">
        <w:trPr>
          <w:trHeight w:val="324"/>
          <w:jc w:val="center"/>
        </w:trPr>
        <w:tc>
          <w:tcPr>
            <w:tcW w:w="127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1C88D22"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UA</w:t>
            </w:r>
          </w:p>
        </w:tc>
        <w:tc>
          <w:tcPr>
            <w:tcW w:w="142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5DB1D7B" w14:textId="274A8EA4"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Pro</w:t>
            </w:r>
            <w:r w:rsidR="0085461B" w:rsidRPr="009A501D">
              <w:rPr>
                <w:rFonts w:ascii="Century Gothic" w:eastAsia="Times New Roman" w:hAnsi="Century Gothic" w:cs="Calibri"/>
                <w:b/>
                <w:color w:val="FFFFFF"/>
                <w:sz w:val="16"/>
                <w:szCs w:val="16"/>
                <w:lang w:eastAsia="es-MX"/>
              </w:rPr>
              <w:t>ceso</w:t>
            </w:r>
          </w:p>
        </w:tc>
        <w:tc>
          <w:tcPr>
            <w:tcW w:w="285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0206C025"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2022</w:t>
            </w:r>
          </w:p>
        </w:tc>
        <w:tc>
          <w:tcPr>
            <w:tcW w:w="310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5805F15B" w14:textId="66EAD64B"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Re</w:t>
            </w:r>
            <w:r w:rsidR="00EA20FA" w:rsidRPr="009A501D">
              <w:rPr>
                <w:rFonts w:ascii="Century Gothic" w:eastAsia="Times New Roman" w:hAnsi="Century Gothic" w:cs="Calibri"/>
                <w:b/>
                <w:color w:val="FFFFFF"/>
                <w:sz w:val="16"/>
                <w:szCs w:val="16"/>
                <w:lang w:eastAsia="es-MX"/>
              </w:rPr>
              <w:t>e</w:t>
            </w:r>
            <w:r w:rsidRPr="009A501D">
              <w:rPr>
                <w:rFonts w:ascii="Century Gothic" w:eastAsia="Times New Roman" w:hAnsi="Century Gothic" w:cs="Calibri"/>
                <w:b/>
                <w:color w:val="FFFFFF"/>
                <w:sz w:val="16"/>
                <w:szCs w:val="16"/>
                <w:lang w:eastAsia="es-MX"/>
              </w:rPr>
              <w:t xml:space="preserve">mplazos de años anteriores, realizados en 2022 </w:t>
            </w:r>
          </w:p>
        </w:tc>
      </w:tr>
      <w:tr w:rsidR="00F9297D" w:rsidRPr="009A501D" w14:paraId="4BC33CF8" w14:textId="77777777" w:rsidTr="00664A1D">
        <w:trPr>
          <w:trHeight w:val="284"/>
          <w:jc w:val="center"/>
        </w:trPr>
        <w:tc>
          <w:tcPr>
            <w:tcW w:w="127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30496B2E" w14:textId="77777777" w:rsidR="00883937" w:rsidRPr="009A501D" w:rsidRDefault="00883937" w:rsidP="007A4B1D">
            <w:pPr>
              <w:spacing w:after="0" w:line="240" w:lineRule="auto"/>
              <w:contextualSpacing/>
              <w:rPr>
                <w:rFonts w:ascii="Century Gothic" w:eastAsia="Times New Roman" w:hAnsi="Century Gothic" w:cs="Calibri"/>
                <w:b/>
                <w:color w:val="FFFFFF"/>
                <w:sz w:val="16"/>
                <w:szCs w:val="16"/>
                <w:lang w:eastAsia="es-MX"/>
              </w:rPr>
            </w:pPr>
          </w:p>
        </w:tc>
        <w:tc>
          <w:tcPr>
            <w:tcW w:w="142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14:paraId="0BA191DD" w14:textId="77777777" w:rsidR="00883937" w:rsidRPr="009A501D" w:rsidRDefault="00883937" w:rsidP="007A4B1D">
            <w:pPr>
              <w:spacing w:after="0" w:line="240" w:lineRule="auto"/>
              <w:contextualSpacing/>
              <w:rPr>
                <w:rFonts w:ascii="Century Gothic" w:eastAsia="Times New Roman" w:hAnsi="Century Gothic" w:cs="Calibri"/>
                <w:b/>
                <w:color w:val="FFFFFF"/>
                <w:sz w:val="16"/>
                <w:szCs w:val="16"/>
                <w:lang w:eastAsia="es-MX"/>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50659012"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TNRU</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6354D2A3"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TSC</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82197B9"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TNRZ</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4BC66C3F"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TNRU</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16339723"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TSC</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center"/>
            <w:hideMark/>
          </w:tcPr>
          <w:p w14:paraId="5439E2EB" w14:textId="77777777" w:rsidR="00883937" w:rsidRPr="009A501D" w:rsidRDefault="00883937" w:rsidP="007A4B1D">
            <w:pPr>
              <w:spacing w:after="0" w:line="240" w:lineRule="auto"/>
              <w:contextualSpacing/>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TNRZ</w:t>
            </w:r>
          </w:p>
        </w:tc>
      </w:tr>
      <w:tr w:rsidR="00FF5EF0" w:rsidRPr="009A501D" w14:paraId="66ED9E7F" w14:textId="77777777" w:rsidTr="00664A1D">
        <w:trPr>
          <w:trHeight w:val="30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C06C9A4"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B72605C"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EFIPEM</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DE783B5"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5B4B23D"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0268ED2"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2420521"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9CB79C4"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E0AFF3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883937" w:rsidRPr="009A501D" w14:paraId="0B195183" w14:textId="77777777" w:rsidTr="00664A1D">
        <w:trPr>
          <w:trHeight w:val="30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4E64CD9"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21EEB16"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ESGRM</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72D850F"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85650A9"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6156C9"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B4B2C5F"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DF1F9B3"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70522EB"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r>
      <w:tr w:rsidR="00FF5EF0" w:rsidRPr="009A501D" w14:paraId="2F82C6FB" w14:textId="77777777" w:rsidTr="00664A1D">
        <w:trPr>
          <w:trHeight w:val="30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558D4A5"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BE2B7C7"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EDF</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3B10E1B"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A770039"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250391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AAAEB8A" w14:textId="55454B2D"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A1AF23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6CADCBC"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883937" w:rsidRPr="009A501D" w14:paraId="3F084601" w14:textId="77777777" w:rsidTr="00664A1D">
        <w:trPr>
          <w:trHeight w:val="315"/>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71844E1"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9174056"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ERLAJUL</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C0BD97D"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A37DBB"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41B494D"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75D7C4B1"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71A1C391"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65D888E2"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460BCB" w:rsidRPr="009A501D" w14:paraId="6D51C6DC" w14:textId="77777777" w:rsidTr="00664A1D">
        <w:trPr>
          <w:trHeight w:val="315"/>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B727087"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053AE8E"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55C4A51"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09BB8E8"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1114797"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EF4453F" w14:textId="6921CE46"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C11501E" w14:textId="1E80C632"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F3B344A"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883937" w:rsidRPr="009A501D" w14:paraId="6161B422" w14:textId="77777777" w:rsidTr="00664A1D">
        <w:trPr>
          <w:trHeight w:val="33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546C6CD"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45A16E"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54ED5A7"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C670F3B"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8C020AD"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5DB2694F" w14:textId="30A8C123"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207EDB16" w14:textId="6AB734F4"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3DA7973C"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r>
      <w:tr w:rsidR="00FF5EF0" w:rsidRPr="009A501D" w14:paraId="327C5B2C" w14:textId="77777777" w:rsidTr="00664A1D">
        <w:trPr>
          <w:trHeight w:val="30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C48664C"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0896BAC"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EMAT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F454EA"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26A6E0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80BB96E"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4D579A4"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CA869C2"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3EE27DF"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883937" w:rsidRPr="009A501D" w14:paraId="4A2FEEE8" w14:textId="77777777" w:rsidTr="00664A1D">
        <w:trPr>
          <w:trHeight w:val="315"/>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7C2738F"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9D82737"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46542E4"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C423D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E9F77A6"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56BDE9E7" w14:textId="2C660FB0"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4EC33183" w14:textId="305488A2" w:rsidR="00883937" w:rsidRPr="009A501D" w:rsidRDefault="005B7D5E"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314F4C54"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460BCB" w:rsidRPr="009A501D" w14:paraId="71A95E24" w14:textId="77777777" w:rsidTr="00664A1D">
        <w:trPr>
          <w:trHeight w:val="300"/>
          <w:jc w:val="center"/>
        </w:trPr>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BED238F"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379E04B" w14:textId="77777777" w:rsidR="00883937" w:rsidRPr="009A501D" w:rsidRDefault="00883937" w:rsidP="007A4B1D">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ESEP</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59E71B1"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A7C61FA"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8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0C78305"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0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0FA306E"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920CF17"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0AB58B30" w14:textId="77777777" w:rsidR="00883937" w:rsidRPr="009A501D" w:rsidRDefault="00883937" w:rsidP="007A4B1D">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bl>
    <w:p w14:paraId="39B737D2" w14:textId="7C9ED644" w:rsidR="00887050" w:rsidRPr="009A501D" w:rsidRDefault="00EC08EE" w:rsidP="00664A1D">
      <w:pPr>
        <w:ind w:left="1134" w:right="1019"/>
        <w:rPr>
          <w:rFonts w:ascii="Century Gothic" w:hAnsi="Century Gothic"/>
          <w:sz w:val="14"/>
          <w:szCs w:val="14"/>
        </w:rPr>
      </w:pPr>
      <w:r w:rsidRPr="009A501D">
        <w:rPr>
          <w:rFonts w:ascii="Century Gothic" w:hAnsi="Century Gothic"/>
          <w:sz w:val="14"/>
          <w:szCs w:val="14"/>
        </w:rPr>
        <w:t xml:space="preserve">Nota: </w:t>
      </w:r>
      <w:r w:rsidR="00887050" w:rsidRPr="009A501D">
        <w:rPr>
          <w:rFonts w:ascii="Century Gothic" w:hAnsi="Century Gothic"/>
          <w:sz w:val="14"/>
          <w:szCs w:val="14"/>
        </w:rPr>
        <w:t>TNRU</w:t>
      </w:r>
      <w:r w:rsidR="00D32A62" w:rsidRPr="009A501D">
        <w:rPr>
          <w:rFonts w:ascii="Century Gothic" w:hAnsi="Century Gothic"/>
          <w:sz w:val="14"/>
          <w:szCs w:val="14"/>
        </w:rPr>
        <w:t xml:space="preserve"> es la </w:t>
      </w:r>
      <w:r w:rsidR="00772313" w:rsidRPr="009A501D">
        <w:rPr>
          <w:rFonts w:ascii="Century Gothic" w:hAnsi="Century Gothic"/>
          <w:sz w:val="14"/>
          <w:szCs w:val="14"/>
        </w:rPr>
        <w:t>T</w:t>
      </w:r>
      <w:r w:rsidR="00887050" w:rsidRPr="009A501D">
        <w:rPr>
          <w:rFonts w:ascii="Century Gothic" w:hAnsi="Century Gothic"/>
          <w:sz w:val="14"/>
          <w:szCs w:val="14"/>
        </w:rPr>
        <w:t xml:space="preserve">asa de </w:t>
      </w:r>
      <w:r w:rsidR="00772313" w:rsidRPr="009A501D">
        <w:rPr>
          <w:rFonts w:ascii="Century Gothic" w:hAnsi="Century Gothic"/>
          <w:sz w:val="14"/>
          <w:szCs w:val="14"/>
        </w:rPr>
        <w:t>N</w:t>
      </w:r>
      <w:r w:rsidR="00887050" w:rsidRPr="009A501D">
        <w:rPr>
          <w:rFonts w:ascii="Century Gothic" w:hAnsi="Century Gothic"/>
          <w:sz w:val="14"/>
          <w:szCs w:val="14"/>
        </w:rPr>
        <w:t xml:space="preserve">o </w:t>
      </w:r>
      <w:r w:rsidR="00772313" w:rsidRPr="009A501D">
        <w:rPr>
          <w:rFonts w:ascii="Century Gothic" w:hAnsi="Century Gothic"/>
          <w:sz w:val="14"/>
          <w:szCs w:val="14"/>
        </w:rPr>
        <w:t>R</w:t>
      </w:r>
      <w:r w:rsidR="00887050" w:rsidRPr="009A501D">
        <w:rPr>
          <w:rFonts w:ascii="Century Gothic" w:hAnsi="Century Gothic"/>
          <w:sz w:val="14"/>
          <w:szCs w:val="14"/>
        </w:rPr>
        <w:t xml:space="preserve">espuesta a </w:t>
      </w:r>
      <w:r w:rsidR="00772313" w:rsidRPr="009A501D">
        <w:rPr>
          <w:rFonts w:ascii="Century Gothic" w:hAnsi="Century Gothic"/>
          <w:sz w:val="14"/>
          <w:szCs w:val="14"/>
        </w:rPr>
        <w:t>N</w:t>
      </w:r>
      <w:r w:rsidR="00887050" w:rsidRPr="009A501D">
        <w:rPr>
          <w:rFonts w:ascii="Century Gothic" w:hAnsi="Century Gothic"/>
          <w:sz w:val="14"/>
          <w:szCs w:val="14"/>
        </w:rPr>
        <w:t xml:space="preserve">ivel </w:t>
      </w:r>
      <w:r w:rsidR="00772313" w:rsidRPr="009A501D">
        <w:rPr>
          <w:rFonts w:ascii="Century Gothic" w:hAnsi="Century Gothic"/>
          <w:sz w:val="14"/>
          <w:szCs w:val="14"/>
        </w:rPr>
        <w:t>U</w:t>
      </w:r>
      <w:r w:rsidR="00887050" w:rsidRPr="009A501D">
        <w:rPr>
          <w:rFonts w:ascii="Century Gothic" w:hAnsi="Century Gothic"/>
          <w:sz w:val="14"/>
          <w:szCs w:val="14"/>
        </w:rPr>
        <w:t xml:space="preserve">nidad de </w:t>
      </w:r>
      <w:r w:rsidR="00772313" w:rsidRPr="009A501D">
        <w:rPr>
          <w:rFonts w:ascii="Century Gothic" w:hAnsi="Century Gothic"/>
          <w:sz w:val="14"/>
          <w:szCs w:val="14"/>
        </w:rPr>
        <w:t>O</w:t>
      </w:r>
      <w:r w:rsidR="00887050" w:rsidRPr="009A501D">
        <w:rPr>
          <w:rFonts w:ascii="Century Gothic" w:hAnsi="Century Gothic"/>
          <w:sz w:val="14"/>
          <w:szCs w:val="14"/>
        </w:rPr>
        <w:t>bservación; TSC</w:t>
      </w:r>
      <w:r w:rsidR="00D32A62" w:rsidRPr="009A501D">
        <w:rPr>
          <w:rFonts w:ascii="Century Gothic" w:hAnsi="Century Gothic"/>
          <w:sz w:val="14"/>
          <w:szCs w:val="14"/>
        </w:rPr>
        <w:t xml:space="preserve"> </w:t>
      </w:r>
      <w:r w:rsidR="00772313" w:rsidRPr="009A501D">
        <w:rPr>
          <w:rFonts w:ascii="Century Gothic" w:hAnsi="Century Gothic"/>
          <w:sz w:val="14"/>
          <w:szCs w:val="14"/>
        </w:rPr>
        <w:t xml:space="preserve">es </w:t>
      </w:r>
      <w:r w:rsidR="00D32A62" w:rsidRPr="009A501D">
        <w:rPr>
          <w:rFonts w:ascii="Century Gothic" w:hAnsi="Century Gothic"/>
          <w:sz w:val="14"/>
          <w:szCs w:val="14"/>
        </w:rPr>
        <w:t>la</w:t>
      </w:r>
      <w:r w:rsidR="00887050" w:rsidRPr="009A501D">
        <w:rPr>
          <w:rFonts w:ascii="Century Gothic" w:hAnsi="Century Gothic"/>
          <w:sz w:val="14"/>
          <w:szCs w:val="14"/>
        </w:rPr>
        <w:t xml:space="preserve"> </w:t>
      </w:r>
      <w:r w:rsidR="00772313" w:rsidRPr="009A501D">
        <w:rPr>
          <w:rFonts w:ascii="Century Gothic" w:hAnsi="Century Gothic"/>
          <w:sz w:val="14"/>
          <w:szCs w:val="14"/>
        </w:rPr>
        <w:t>T</w:t>
      </w:r>
      <w:r w:rsidR="00887050" w:rsidRPr="009A501D">
        <w:rPr>
          <w:rFonts w:ascii="Century Gothic" w:hAnsi="Century Gothic"/>
          <w:sz w:val="14"/>
          <w:szCs w:val="14"/>
        </w:rPr>
        <w:t xml:space="preserve">asa de </w:t>
      </w:r>
      <w:proofErr w:type="spellStart"/>
      <w:r w:rsidR="00772313" w:rsidRPr="009A501D">
        <w:rPr>
          <w:rFonts w:ascii="Century Gothic" w:hAnsi="Century Gothic"/>
          <w:sz w:val="14"/>
          <w:szCs w:val="14"/>
        </w:rPr>
        <w:t>S</w:t>
      </w:r>
      <w:r w:rsidR="00887050" w:rsidRPr="009A501D">
        <w:rPr>
          <w:rFonts w:ascii="Century Gothic" w:hAnsi="Century Gothic"/>
          <w:sz w:val="14"/>
          <w:szCs w:val="14"/>
        </w:rPr>
        <w:t>obrecobertura</w:t>
      </w:r>
      <w:proofErr w:type="spellEnd"/>
      <w:r w:rsidR="00887050" w:rsidRPr="009A501D">
        <w:rPr>
          <w:rFonts w:ascii="Century Gothic" w:hAnsi="Century Gothic"/>
          <w:sz w:val="14"/>
          <w:szCs w:val="14"/>
        </w:rPr>
        <w:t>; TNRZ</w:t>
      </w:r>
      <w:r w:rsidR="00D32A62" w:rsidRPr="009A501D">
        <w:rPr>
          <w:rFonts w:ascii="Century Gothic" w:hAnsi="Century Gothic"/>
          <w:sz w:val="14"/>
          <w:szCs w:val="14"/>
        </w:rPr>
        <w:t xml:space="preserve"> </w:t>
      </w:r>
      <w:r w:rsidR="00772313" w:rsidRPr="009A501D">
        <w:rPr>
          <w:rFonts w:ascii="Century Gothic" w:hAnsi="Century Gothic"/>
          <w:sz w:val="14"/>
          <w:szCs w:val="14"/>
        </w:rPr>
        <w:t xml:space="preserve">es </w:t>
      </w:r>
      <w:r w:rsidR="00D32A62" w:rsidRPr="009A501D">
        <w:rPr>
          <w:rFonts w:ascii="Century Gothic" w:hAnsi="Century Gothic"/>
          <w:sz w:val="14"/>
          <w:szCs w:val="14"/>
        </w:rPr>
        <w:t xml:space="preserve">la </w:t>
      </w:r>
      <w:r w:rsidR="00772313" w:rsidRPr="009A501D">
        <w:rPr>
          <w:rFonts w:ascii="Century Gothic" w:hAnsi="Century Gothic"/>
          <w:sz w:val="14"/>
          <w:szCs w:val="14"/>
        </w:rPr>
        <w:t>T</w:t>
      </w:r>
      <w:r w:rsidR="00887050" w:rsidRPr="009A501D">
        <w:rPr>
          <w:rFonts w:ascii="Century Gothic" w:hAnsi="Century Gothic"/>
          <w:sz w:val="14"/>
          <w:szCs w:val="14"/>
        </w:rPr>
        <w:t xml:space="preserve">asa de </w:t>
      </w:r>
      <w:r w:rsidR="00772313" w:rsidRPr="009A501D">
        <w:rPr>
          <w:rFonts w:ascii="Century Gothic" w:hAnsi="Century Gothic"/>
          <w:sz w:val="14"/>
          <w:szCs w:val="14"/>
        </w:rPr>
        <w:t>N</w:t>
      </w:r>
      <w:r w:rsidR="00887050" w:rsidRPr="009A501D">
        <w:rPr>
          <w:rFonts w:ascii="Century Gothic" w:hAnsi="Century Gothic"/>
          <w:sz w:val="14"/>
          <w:szCs w:val="14"/>
        </w:rPr>
        <w:t xml:space="preserve">o </w:t>
      </w:r>
      <w:r w:rsidR="00772313" w:rsidRPr="009A501D">
        <w:rPr>
          <w:rFonts w:ascii="Century Gothic" w:hAnsi="Century Gothic"/>
          <w:sz w:val="14"/>
          <w:szCs w:val="14"/>
        </w:rPr>
        <w:t>R</w:t>
      </w:r>
      <w:r w:rsidR="00887050" w:rsidRPr="009A501D">
        <w:rPr>
          <w:rFonts w:ascii="Century Gothic" w:hAnsi="Century Gothic"/>
          <w:sz w:val="14"/>
          <w:szCs w:val="14"/>
        </w:rPr>
        <w:t xml:space="preserve">espuesta a </w:t>
      </w:r>
      <w:r w:rsidR="00772313" w:rsidRPr="009A501D">
        <w:rPr>
          <w:rFonts w:ascii="Century Gothic" w:hAnsi="Century Gothic"/>
          <w:sz w:val="14"/>
          <w:szCs w:val="14"/>
        </w:rPr>
        <w:t>N</w:t>
      </w:r>
      <w:r w:rsidR="00887050" w:rsidRPr="009A501D">
        <w:rPr>
          <w:rFonts w:ascii="Century Gothic" w:hAnsi="Century Gothic"/>
          <w:sz w:val="14"/>
          <w:szCs w:val="14"/>
        </w:rPr>
        <w:t xml:space="preserve">ivel </w:t>
      </w:r>
      <w:r w:rsidR="00772313" w:rsidRPr="009A501D">
        <w:rPr>
          <w:rFonts w:ascii="Century Gothic" w:hAnsi="Century Gothic"/>
          <w:sz w:val="14"/>
          <w:szCs w:val="14"/>
        </w:rPr>
        <w:t>V</w:t>
      </w:r>
      <w:r w:rsidR="00887050" w:rsidRPr="009A501D">
        <w:rPr>
          <w:rFonts w:ascii="Century Gothic" w:hAnsi="Century Gothic"/>
          <w:sz w:val="14"/>
          <w:szCs w:val="14"/>
        </w:rPr>
        <w:t>ariable.</w:t>
      </w:r>
    </w:p>
    <w:p w14:paraId="614939E1" w14:textId="2E249DFC" w:rsidR="00973265" w:rsidRPr="009A501D" w:rsidRDefault="00840A53" w:rsidP="008F0556">
      <w:pPr>
        <w:pStyle w:val="Ttulo3"/>
        <w:rPr>
          <w:rFonts w:ascii="Century Gothic" w:eastAsiaTheme="minorHAnsi" w:hAnsi="Century Gothic" w:cstheme="minorBidi"/>
          <w:bCs/>
          <w:color w:val="0079BF"/>
        </w:rPr>
      </w:pPr>
      <w:bookmarkStart w:id="17" w:name="_Toc131161802"/>
      <w:r w:rsidRPr="009A501D">
        <w:rPr>
          <w:rFonts w:ascii="Century Gothic" w:eastAsiaTheme="minorHAnsi" w:hAnsi="Century Gothic" w:cstheme="minorBidi"/>
          <w:bCs/>
          <w:color w:val="0079BF"/>
        </w:rPr>
        <w:lastRenderedPageBreak/>
        <w:t xml:space="preserve">III.5.A. Indicadores de precisión </w:t>
      </w:r>
      <w:r w:rsidR="0004252C" w:rsidRPr="009A501D">
        <w:rPr>
          <w:rFonts w:ascii="Century Gothic" w:eastAsiaTheme="minorHAnsi" w:hAnsi="Century Gothic" w:cstheme="minorBidi"/>
          <w:bCs/>
          <w:color w:val="0079BF"/>
        </w:rPr>
        <w:t xml:space="preserve">de </w:t>
      </w:r>
      <w:r w:rsidR="00FB00F6" w:rsidRPr="009A501D">
        <w:rPr>
          <w:rFonts w:ascii="Century Gothic" w:eastAsiaTheme="minorHAnsi" w:hAnsi="Century Gothic" w:cstheme="minorBidi"/>
          <w:bCs/>
          <w:color w:val="0079BF"/>
        </w:rPr>
        <w:t>procesos de producción</w:t>
      </w:r>
      <w:r w:rsidR="0004252C" w:rsidRPr="009A501D">
        <w:rPr>
          <w:rFonts w:ascii="Century Gothic" w:eastAsiaTheme="minorHAnsi" w:hAnsi="Century Gothic" w:cstheme="minorBidi"/>
          <w:bCs/>
          <w:color w:val="0079BF"/>
        </w:rPr>
        <w:t xml:space="preserve"> cuyo único insumo son registros administrativos</w:t>
      </w:r>
      <w:bookmarkEnd w:id="17"/>
      <w:r w:rsidR="006060C8" w:rsidRPr="009A501D">
        <w:rPr>
          <w:rFonts w:ascii="Century Gothic" w:eastAsiaTheme="minorHAnsi" w:hAnsi="Century Gothic" w:cstheme="minorBidi"/>
          <w:bCs/>
          <w:color w:val="0079BF"/>
        </w:rPr>
        <w:t xml:space="preserve"> </w:t>
      </w:r>
    </w:p>
    <w:p w14:paraId="2AF09011" w14:textId="1527FAAA" w:rsidR="00F93170" w:rsidRPr="009A501D" w:rsidRDefault="00F93170" w:rsidP="00664A1D">
      <w:pPr>
        <w:spacing w:before="240"/>
        <w:jc w:val="both"/>
        <w:rPr>
          <w:rFonts w:ascii="Century Gothic" w:hAnsi="Century Gothic"/>
        </w:rPr>
      </w:pPr>
      <w:r w:rsidRPr="009A501D">
        <w:rPr>
          <w:rFonts w:ascii="Century Gothic" w:hAnsi="Century Gothic"/>
          <w:sz w:val="19"/>
          <w:szCs w:val="19"/>
        </w:rPr>
        <w:t xml:space="preserve">En 2019, el Comité aprobó tres indicadores de precisión de uso interno para los </w:t>
      </w:r>
      <w:r w:rsidR="00FB00F6" w:rsidRPr="009A501D">
        <w:rPr>
          <w:rFonts w:ascii="Century Gothic" w:hAnsi="Century Gothic"/>
          <w:sz w:val="19"/>
          <w:szCs w:val="19"/>
        </w:rPr>
        <w:t>procesos de producción</w:t>
      </w:r>
      <w:r w:rsidRPr="009A501D">
        <w:rPr>
          <w:rFonts w:ascii="Century Gothic" w:hAnsi="Century Gothic"/>
          <w:sz w:val="19"/>
          <w:szCs w:val="19"/>
        </w:rPr>
        <w:t xml:space="preserve"> cuyo único insumo son registros administrativos</w:t>
      </w:r>
      <w:r w:rsidR="00DC2952" w:rsidRPr="009A501D">
        <w:rPr>
          <w:rStyle w:val="Refdenotaalpie"/>
          <w:rFonts w:ascii="Century Gothic" w:hAnsi="Century Gothic"/>
          <w:sz w:val="19"/>
          <w:szCs w:val="19"/>
        </w:rPr>
        <w:footnoteReference w:id="8"/>
      </w:r>
      <w:r w:rsidRPr="009A501D">
        <w:rPr>
          <w:rFonts w:ascii="Century Gothic" w:hAnsi="Century Gothic"/>
          <w:sz w:val="19"/>
          <w:szCs w:val="19"/>
        </w:rPr>
        <w:t xml:space="preserve">: </w:t>
      </w:r>
      <w:r w:rsidR="00B47330" w:rsidRPr="009A501D">
        <w:rPr>
          <w:rFonts w:ascii="Century Gothic" w:hAnsi="Century Gothic"/>
          <w:sz w:val="19"/>
          <w:szCs w:val="19"/>
        </w:rPr>
        <w:t xml:space="preserve">la </w:t>
      </w:r>
      <w:r w:rsidR="00B47330" w:rsidRPr="009A501D">
        <w:rPr>
          <w:rFonts w:ascii="Century Gothic" w:hAnsi="Century Gothic"/>
          <w:i/>
          <w:iCs/>
          <w:sz w:val="19"/>
          <w:szCs w:val="19"/>
        </w:rPr>
        <w:t>t</w:t>
      </w:r>
      <w:r w:rsidRPr="009A501D">
        <w:rPr>
          <w:rFonts w:ascii="Century Gothic" w:hAnsi="Century Gothic"/>
          <w:i/>
          <w:iCs/>
          <w:sz w:val="19"/>
          <w:szCs w:val="19"/>
        </w:rPr>
        <w:t xml:space="preserve">asa de </w:t>
      </w:r>
      <w:proofErr w:type="spellStart"/>
      <w:r w:rsidRPr="009A501D">
        <w:rPr>
          <w:rFonts w:ascii="Century Gothic" w:hAnsi="Century Gothic"/>
          <w:i/>
          <w:iCs/>
          <w:sz w:val="19"/>
          <w:szCs w:val="19"/>
        </w:rPr>
        <w:t>sobrecobertura</w:t>
      </w:r>
      <w:proofErr w:type="spellEnd"/>
      <w:r w:rsidRPr="009A501D">
        <w:rPr>
          <w:rFonts w:ascii="Century Gothic" w:hAnsi="Century Gothic"/>
          <w:sz w:val="19"/>
          <w:szCs w:val="19"/>
        </w:rPr>
        <w:t xml:space="preserve">, </w:t>
      </w:r>
      <w:r w:rsidR="00B47330" w:rsidRPr="009A501D">
        <w:rPr>
          <w:rFonts w:ascii="Century Gothic" w:hAnsi="Century Gothic"/>
          <w:sz w:val="19"/>
          <w:szCs w:val="19"/>
        </w:rPr>
        <w:t xml:space="preserve">la </w:t>
      </w:r>
      <w:r w:rsidR="00B47330" w:rsidRPr="009A501D">
        <w:rPr>
          <w:rFonts w:ascii="Century Gothic" w:hAnsi="Century Gothic"/>
          <w:i/>
          <w:iCs/>
          <w:sz w:val="19"/>
          <w:szCs w:val="19"/>
        </w:rPr>
        <w:t>t</w:t>
      </w:r>
      <w:r w:rsidRPr="009A501D">
        <w:rPr>
          <w:rFonts w:ascii="Century Gothic" w:hAnsi="Century Gothic"/>
          <w:i/>
          <w:iCs/>
          <w:sz w:val="19"/>
          <w:szCs w:val="19"/>
        </w:rPr>
        <w:t>asa de no respuesta a nivel unidad</w:t>
      </w:r>
      <w:r w:rsidRPr="009A501D">
        <w:rPr>
          <w:rFonts w:ascii="Century Gothic" w:hAnsi="Century Gothic"/>
          <w:sz w:val="19"/>
          <w:szCs w:val="19"/>
        </w:rPr>
        <w:t xml:space="preserve"> y </w:t>
      </w:r>
      <w:r w:rsidR="00B47330" w:rsidRPr="009A501D">
        <w:rPr>
          <w:rFonts w:ascii="Century Gothic" w:hAnsi="Century Gothic"/>
          <w:sz w:val="19"/>
          <w:szCs w:val="19"/>
        </w:rPr>
        <w:t xml:space="preserve">la </w:t>
      </w:r>
      <w:r w:rsidR="00B47330" w:rsidRPr="009A501D">
        <w:rPr>
          <w:rFonts w:ascii="Century Gothic" w:hAnsi="Century Gothic"/>
          <w:i/>
          <w:iCs/>
          <w:sz w:val="19"/>
          <w:szCs w:val="19"/>
        </w:rPr>
        <w:t>t</w:t>
      </w:r>
      <w:r w:rsidRPr="009A501D">
        <w:rPr>
          <w:rFonts w:ascii="Century Gothic" w:hAnsi="Century Gothic"/>
          <w:i/>
          <w:iCs/>
          <w:sz w:val="19"/>
          <w:szCs w:val="19"/>
        </w:rPr>
        <w:t>asa de no respuesta a nivel variable</w:t>
      </w:r>
      <w:r w:rsidRPr="009A501D">
        <w:rPr>
          <w:rFonts w:ascii="Century Gothic" w:hAnsi="Century Gothic"/>
          <w:sz w:val="19"/>
          <w:szCs w:val="19"/>
        </w:rPr>
        <w:t>. En la segunda sesión</w:t>
      </w:r>
      <w:r w:rsidR="008209DB" w:rsidRPr="009A501D">
        <w:rPr>
          <w:rFonts w:ascii="Century Gothic" w:hAnsi="Century Gothic"/>
          <w:sz w:val="19"/>
          <w:szCs w:val="19"/>
        </w:rPr>
        <w:t xml:space="preserve"> de</w:t>
      </w:r>
      <w:r w:rsidRPr="009A501D">
        <w:rPr>
          <w:rFonts w:ascii="Century Gothic" w:hAnsi="Century Gothic"/>
          <w:sz w:val="19"/>
          <w:szCs w:val="19"/>
        </w:rPr>
        <w:t xml:space="preserve"> 2022</w:t>
      </w:r>
      <w:r w:rsidR="0033698A" w:rsidRPr="009A501D">
        <w:rPr>
          <w:rFonts w:ascii="Century Gothic" w:hAnsi="Century Gothic"/>
          <w:sz w:val="19"/>
          <w:szCs w:val="19"/>
        </w:rPr>
        <w:t xml:space="preserve"> del </w:t>
      </w:r>
      <w:r w:rsidR="0071278E" w:rsidRPr="009A501D">
        <w:rPr>
          <w:rFonts w:ascii="Century Gothic" w:hAnsi="Century Gothic"/>
          <w:sz w:val="19"/>
          <w:szCs w:val="19"/>
        </w:rPr>
        <w:t>Comité</w:t>
      </w:r>
      <w:r w:rsidRPr="009A501D">
        <w:rPr>
          <w:rFonts w:ascii="Century Gothic" w:hAnsi="Century Gothic"/>
          <w:sz w:val="19"/>
          <w:szCs w:val="19"/>
        </w:rPr>
        <w:t xml:space="preserve">, se aprobó que estos indicadores </w:t>
      </w:r>
      <w:r w:rsidR="00813184" w:rsidRPr="009A501D">
        <w:rPr>
          <w:rFonts w:ascii="Century Gothic" w:hAnsi="Century Gothic"/>
          <w:sz w:val="19"/>
          <w:szCs w:val="19"/>
        </w:rPr>
        <w:t xml:space="preserve">fueran </w:t>
      </w:r>
      <w:r w:rsidRPr="009A501D">
        <w:rPr>
          <w:rFonts w:ascii="Century Gothic" w:hAnsi="Century Gothic"/>
          <w:sz w:val="19"/>
          <w:szCs w:val="19"/>
        </w:rPr>
        <w:t>de uso externo</w:t>
      </w:r>
      <w:r w:rsidR="00813184" w:rsidRPr="009A501D">
        <w:rPr>
          <w:rFonts w:ascii="Century Gothic" w:hAnsi="Century Gothic"/>
          <w:sz w:val="19"/>
          <w:szCs w:val="19"/>
        </w:rPr>
        <w:t>.</w:t>
      </w:r>
      <w:r w:rsidR="00813184" w:rsidRPr="009A501D">
        <w:rPr>
          <w:rStyle w:val="Refdenotaalpie"/>
          <w:rFonts w:ascii="Century Gothic" w:hAnsi="Century Gothic"/>
          <w:sz w:val="19"/>
          <w:szCs w:val="19"/>
        </w:rPr>
        <w:footnoteReference w:id="9"/>
      </w:r>
    </w:p>
    <w:p w14:paraId="6CABC415" w14:textId="39B976E3" w:rsidR="00F93170" w:rsidRPr="009A501D" w:rsidRDefault="00F93170" w:rsidP="00664A1D">
      <w:pPr>
        <w:spacing w:before="240"/>
        <w:jc w:val="both"/>
        <w:rPr>
          <w:rFonts w:ascii="Century Gothic" w:hAnsi="Century Gothic" w:cs="Calibri"/>
          <w:color w:val="000000"/>
          <w:sz w:val="19"/>
          <w:szCs w:val="19"/>
        </w:rPr>
      </w:pPr>
      <w:r w:rsidRPr="009A501D">
        <w:rPr>
          <w:rFonts w:ascii="Century Gothic" w:hAnsi="Century Gothic"/>
          <w:sz w:val="19"/>
          <w:szCs w:val="19"/>
        </w:rPr>
        <w:t xml:space="preserve">Al 31 de diciembre de 2022, se publicaron resultados de 48 ciclos correspondientes a 13 procesos. </w:t>
      </w:r>
      <w:r w:rsidRPr="009A501D">
        <w:rPr>
          <w:rFonts w:ascii="Century Gothic" w:hAnsi="Century Gothic" w:cs="Calibri"/>
          <w:color w:val="000000"/>
          <w:sz w:val="19"/>
          <w:szCs w:val="19"/>
        </w:rPr>
        <w:t xml:space="preserve">En cuanto a las </w:t>
      </w:r>
      <w:r w:rsidRPr="009A501D">
        <w:rPr>
          <w:rFonts w:ascii="Century Gothic" w:hAnsi="Century Gothic" w:cs="Calibri"/>
          <w:i/>
          <w:iCs/>
          <w:color w:val="000000"/>
          <w:sz w:val="19"/>
          <w:szCs w:val="19"/>
        </w:rPr>
        <w:t xml:space="preserve">tasas de </w:t>
      </w:r>
      <w:proofErr w:type="spellStart"/>
      <w:r w:rsidRPr="009A501D">
        <w:rPr>
          <w:rFonts w:ascii="Century Gothic" w:hAnsi="Century Gothic" w:cs="Calibri"/>
          <w:i/>
          <w:iCs/>
          <w:color w:val="000000"/>
          <w:sz w:val="19"/>
          <w:szCs w:val="19"/>
        </w:rPr>
        <w:t>sobrecobertura</w:t>
      </w:r>
      <w:proofErr w:type="spellEnd"/>
      <w:r w:rsidRPr="009A501D">
        <w:rPr>
          <w:rFonts w:ascii="Century Gothic" w:hAnsi="Century Gothic" w:cs="Calibri"/>
          <w:color w:val="000000"/>
          <w:sz w:val="19"/>
          <w:szCs w:val="19"/>
        </w:rPr>
        <w:t xml:space="preserve">, se observa consistencia a lo largo del tiempo en la mayoría de los </w:t>
      </w:r>
      <w:r w:rsidR="00FB00F6" w:rsidRPr="009A501D">
        <w:rPr>
          <w:rFonts w:ascii="Century Gothic" w:hAnsi="Century Gothic" w:cs="Calibri"/>
          <w:color w:val="000000"/>
          <w:sz w:val="19"/>
          <w:szCs w:val="19"/>
        </w:rPr>
        <w:t>procesos</w:t>
      </w:r>
      <w:r w:rsidRPr="009A501D">
        <w:rPr>
          <w:rFonts w:ascii="Century Gothic" w:hAnsi="Century Gothic" w:cs="Calibri"/>
          <w:color w:val="000000"/>
          <w:sz w:val="19"/>
          <w:szCs w:val="19"/>
        </w:rPr>
        <w:t xml:space="preserve"> (ver Anexo 3).</w:t>
      </w:r>
      <w:r w:rsidR="00B01E25" w:rsidRPr="009A501D">
        <w:rPr>
          <w:rFonts w:ascii="Century Gothic" w:hAnsi="Century Gothic" w:cs="Calibri"/>
          <w:color w:val="000000"/>
          <w:sz w:val="19"/>
          <w:szCs w:val="19"/>
        </w:rPr>
        <w:t xml:space="preserve"> </w:t>
      </w:r>
      <w:r w:rsidRPr="009A501D">
        <w:rPr>
          <w:rFonts w:ascii="Century Gothic" w:hAnsi="Century Gothic"/>
          <w:sz w:val="19"/>
          <w:szCs w:val="19"/>
        </w:rPr>
        <w:t xml:space="preserve">En el caso de la </w:t>
      </w:r>
      <w:r w:rsidRPr="009A501D">
        <w:rPr>
          <w:rFonts w:ascii="Century Gothic" w:hAnsi="Century Gothic"/>
          <w:i/>
          <w:iCs/>
          <w:sz w:val="19"/>
          <w:szCs w:val="19"/>
        </w:rPr>
        <w:t>tasa de no respuesta a nivel unidad</w:t>
      </w:r>
      <w:r w:rsidRPr="009A501D">
        <w:rPr>
          <w:rFonts w:ascii="Century Gothic" w:hAnsi="Century Gothic"/>
          <w:sz w:val="19"/>
          <w:szCs w:val="19"/>
        </w:rPr>
        <w:t xml:space="preserve"> se observa una mejora incluso considerando los niveles registrados en 2019 antes de la pandemia (ver cuadro III.</w:t>
      </w:r>
      <w:r w:rsidR="00DC47C3" w:rsidRPr="009A501D">
        <w:rPr>
          <w:rFonts w:ascii="Century Gothic" w:hAnsi="Century Gothic"/>
          <w:sz w:val="19"/>
          <w:szCs w:val="19"/>
        </w:rPr>
        <w:t>5.A</w:t>
      </w:r>
      <w:r w:rsidRPr="009A501D">
        <w:rPr>
          <w:rFonts w:ascii="Century Gothic" w:hAnsi="Century Gothic"/>
          <w:sz w:val="19"/>
          <w:szCs w:val="19"/>
        </w:rPr>
        <w:t>.1).</w:t>
      </w:r>
      <w:r w:rsidR="0033698A" w:rsidRPr="009A501D">
        <w:rPr>
          <w:rFonts w:ascii="Century Gothic" w:hAnsi="Century Gothic"/>
          <w:sz w:val="19"/>
          <w:szCs w:val="19"/>
        </w:rPr>
        <w:t xml:space="preserve"> </w:t>
      </w:r>
      <w:r w:rsidRPr="009A501D">
        <w:rPr>
          <w:rFonts w:ascii="Century Gothic" w:hAnsi="Century Gothic"/>
          <w:sz w:val="19"/>
          <w:szCs w:val="19"/>
        </w:rPr>
        <w:t xml:space="preserve">El único </w:t>
      </w:r>
      <w:r w:rsidR="00FB00F6" w:rsidRPr="009A501D">
        <w:rPr>
          <w:rFonts w:ascii="Century Gothic" w:hAnsi="Century Gothic"/>
          <w:sz w:val="19"/>
          <w:szCs w:val="19"/>
        </w:rPr>
        <w:t xml:space="preserve">proceso de producción </w:t>
      </w:r>
      <w:r w:rsidRPr="009A501D">
        <w:rPr>
          <w:rFonts w:ascii="Century Gothic" w:hAnsi="Century Gothic"/>
          <w:sz w:val="19"/>
          <w:szCs w:val="19"/>
        </w:rPr>
        <w:t xml:space="preserve">cuya </w:t>
      </w:r>
      <w:r w:rsidRPr="009A501D">
        <w:rPr>
          <w:rFonts w:ascii="Century Gothic" w:hAnsi="Century Gothic"/>
          <w:i/>
          <w:iCs/>
          <w:sz w:val="19"/>
          <w:szCs w:val="19"/>
        </w:rPr>
        <w:t>tasa de no respuesta</w:t>
      </w:r>
      <w:r w:rsidRPr="009A501D">
        <w:rPr>
          <w:rFonts w:ascii="Century Gothic" w:hAnsi="Century Gothic"/>
          <w:sz w:val="19"/>
          <w:szCs w:val="19"/>
        </w:rPr>
        <w:t xml:space="preserve"> aumentó fue </w:t>
      </w:r>
      <w:r w:rsidRPr="009A501D">
        <w:rPr>
          <w:rFonts w:ascii="Century Gothic" w:hAnsi="Century Gothic" w:cs="Calibri"/>
          <w:color w:val="000000"/>
          <w:sz w:val="19"/>
          <w:szCs w:val="19"/>
        </w:rPr>
        <w:t>el de Estadística de Museos (ver Anexo 3).</w:t>
      </w:r>
    </w:p>
    <w:p w14:paraId="2FB5249E" w14:textId="4FADECB6" w:rsidR="00F93170" w:rsidRPr="009A501D" w:rsidRDefault="00F93170" w:rsidP="00664A1D">
      <w:pPr>
        <w:spacing w:before="240"/>
        <w:jc w:val="center"/>
        <w:rPr>
          <w:rFonts w:ascii="Century Gothic" w:hAnsi="Century Gothic"/>
        </w:rPr>
      </w:pPr>
      <w:r w:rsidRPr="009A501D">
        <w:rPr>
          <w:rFonts w:ascii="Century Gothic" w:hAnsi="Century Gothic"/>
          <w:b/>
          <w:sz w:val="19"/>
          <w:szCs w:val="19"/>
        </w:rPr>
        <w:t>III.5.</w:t>
      </w:r>
      <w:r w:rsidR="009B3A86" w:rsidRPr="009A501D">
        <w:rPr>
          <w:rFonts w:ascii="Century Gothic" w:hAnsi="Century Gothic"/>
          <w:b/>
          <w:sz w:val="19"/>
          <w:szCs w:val="19"/>
        </w:rPr>
        <w:t>A.1</w:t>
      </w:r>
      <w:r w:rsidRPr="009A501D">
        <w:rPr>
          <w:rFonts w:ascii="Century Gothic" w:hAnsi="Century Gothic"/>
          <w:b/>
          <w:sz w:val="19"/>
          <w:szCs w:val="19"/>
        </w:rPr>
        <w:t xml:space="preserve"> Resultados generales de los indicadores de precisión para registros administrativos</w:t>
      </w:r>
    </w:p>
    <w:tbl>
      <w:tblPr>
        <w:tblW w:w="79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82"/>
        <w:gridCol w:w="602"/>
        <w:gridCol w:w="676"/>
        <w:gridCol w:w="694"/>
        <w:gridCol w:w="602"/>
      </w:tblGrid>
      <w:tr w:rsidR="00F93170" w:rsidRPr="009A501D" w14:paraId="59E52A18" w14:textId="77777777" w:rsidTr="00460BCB">
        <w:trPr>
          <w:trHeight w:val="338"/>
          <w:tblHeader/>
          <w:jc w:val="center"/>
        </w:trPr>
        <w:tc>
          <w:tcPr>
            <w:tcW w:w="5382" w:type="dxa"/>
            <w:shd w:val="clear" w:color="000000" w:fill="002060"/>
            <w:vAlign w:val="center"/>
            <w:hideMark/>
          </w:tcPr>
          <w:p w14:paraId="534A9ADD" w14:textId="3E666754" w:rsidR="00F93170" w:rsidRPr="009A501D" w:rsidRDefault="00813184"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Indicador</w:t>
            </w:r>
          </w:p>
        </w:tc>
        <w:tc>
          <w:tcPr>
            <w:tcW w:w="602" w:type="dxa"/>
            <w:shd w:val="clear" w:color="000000" w:fill="002060"/>
            <w:vAlign w:val="center"/>
          </w:tcPr>
          <w:p w14:paraId="7023E57A" w14:textId="77777777" w:rsidR="00F93170" w:rsidRPr="009A501D" w:rsidRDefault="00F93170"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2019</w:t>
            </w:r>
          </w:p>
        </w:tc>
        <w:tc>
          <w:tcPr>
            <w:tcW w:w="676" w:type="dxa"/>
            <w:shd w:val="clear" w:color="000000" w:fill="002060"/>
            <w:vAlign w:val="center"/>
          </w:tcPr>
          <w:p w14:paraId="2C276751" w14:textId="77777777" w:rsidR="00F93170" w:rsidRPr="009A501D" w:rsidRDefault="00F93170"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2020</w:t>
            </w:r>
          </w:p>
        </w:tc>
        <w:tc>
          <w:tcPr>
            <w:tcW w:w="694" w:type="dxa"/>
            <w:shd w:val="clear" w:color="000000" w:fill="002060"/>
            <w:vAlign w:val="center"/>
          </w:tcPr>
          <w:p w14:paraId="7EB35AC6" w14:textId="77777777" w:rsidR="00F93170" w:rsidRPr="009A501D" w:rsidRDefault="00F93170"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2021</w:t>
            </w:r>
          </w:p>
        </w:tc>
        <w:tc>
          <w:tcPr>
            <w:tcW w:w="602" w:type="dxa"/>
            <w:shd w:val="clear" w:color="000000" w:fill="002060"/>
            <w:vAlign w:val="center"/>
          </w:tcPr>
          <w:p w14:paraId="41AE61A7" w14:textId="77777777" w:rsidR="00F93170" w:rsidRPr="009A501D" w:rsidRDefault="00F93170"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2022</w:t>
            </w:r>
          </w:p>
        </w:tc>
      </w:tr>
      <w:tr w:rsidR="00F93170" w:rsidRPr="009A501D" w14:paraId="4D54A3E4" w14:textId="77777777" w:rsidTr="00E427DA">
        <w:trPr>
          <w:trHeight w:val="466"/>
          <w:jc w:val="center"/>
        </w:trPr>
        <w:tc>
          <w:tcPr>
            <w:tcW w:w="5382" w:type="dxa"/>
            <w:shd w:val="clear" w:color="auto" w:fill="auto"/>
            <w:noWrap/>
            <w:vAlign w:val="center"/>
          </w:tcPr>
          <w:p w14:paraId="478CC02C" w14:textId="6D8252CE" w:rsidR="00F93170" w:rsidRPr="009A501D" w:rsidRDefault="00F93170" w:rsidP="00664A1D">
            <w:pPr>
              <w:spacing w:after="0"/>
              <w:ind w:left="142"/>
              <w:rPr>
                <w:rFonts w:ascii="Century Gothic" w:hAnsi="Century Gothic" w:cs="Calibri"/>
                <w:sz w:val="16"/>
                <w:szCs w:val="16"/>
              </w:rPr>
            </w:pPr>
            <w:r w:rsidRPr="009A501D">
              <w:rPr>
                <w:rFonts w:ascii="Century Gothic" w:hAnsi="Century Gothic"/>
                <w:sz w:val="16"/>
                <w:szCs w:val="16"/>
              </w:rPr>
              <w:t xml:space="preserve">Promedio de las tasas de no respuesta por unidad de los </w:t>
            </w:r>
            <w:r w:rsidR="00246796" w:rsidRPr="009A501D">
              <w:rPr>
                <w:rFonts w:ascii="Century Gothic" w:hAnsi="Century Gothic"/>
                <w:sz w:val="16"/>
                <w:szCs w:val="16"/>
              </w:rPr>
              <w:t>proceso</w:t>
            </w:r>
            <w:r w:rsidRPr="009A501D">
              <w:rPr>
                <w:rFonts w:ascii="Century Gothic" w:hAnsi="Century Gothic"/>
                <w:sz w:val="16"/>
                <w:szCs w:val="16"/>
              </w:rPr>
              <w:t>s cuyo único insumo son registros administrativos</w:t>
            </w:r>
          </w:p>
        </w:tc>
        <w:tc>
          <w:tcPr>
            <w:tcW w:w="602" w:type="dxa"/>
            <w:shd w:val="clear" w:color="auto" w:fill="auto"/>
            <w:vAlign w:val="center"/>
          </w:tcPr>
          <w:p w14:paraId="7DB52F92" w14:textId="77777777" w:rsidR="00F93170" w:rsidRPr="009A501D" w:rsidRDefault="00F93170" w:rsidP="00664A1D">
            <w:pPr>
              <w:spacing w:after="0"/>
              <w:contextualSpacing/>
              <w:jc w:val="center"/>
              <w:rPr>
                <w:rFonts w:ascii="Century Gothic" w:hAnsi="Century Gothic" w:cs="Calibri"/>
                <w:sz w:val="16"/>
                <w:szCs w:val="16"/>
              </w:rPr>
            </w:pPr>
            <w:r w:rsidRPr="009A501D">
              <w:rPr>
                <w:rFonts w:ascii="Century Gothic" w:hAnsi="Century Gothic"/>
                <w:sz w:val="16"/>
                <w:szCs w:val="16"/>
              </w:rPr>
              <w:t>1.0%</w:t>
            </w:r>
          </w:p>
        </w:tc>
        <w:tc>
          <w:tcPr>
            <w:tcW w:w="676" w:type="dxa"/>
            <w:shd w:val="clear" w:color="auto" w:fill="auto"/>
            <w:vAlign w:val="center"/>
          </w:tcPr>
          <w:p w14:paraId="2AEF0135" w14:textId="77777777" w:rsidR="00F93170" w:rsidRPr="009A501D" w:rsidRDefault="00F93170" w:rsidP="00664A1D">
            <w:pPr>
              <w:spacing w:after="0"/>
              <w:contextualSpacing/>
              <w:jc w:val="center"/>
              <w:rPr>
                <w:rFonts w:ascii="Century Gothic" w:hAnsi="Century Gothic" w:cs="Calibri"/>
                <w:sz w:val="16"/>
                <w:szCs w:val="16"/>
              </w:rPr>
            </w:pPr>
            <w:r w:rsidRPr="009A501D">
              <w:rPr>
                <w:rFonts w:ascii="Century Gothic" w:hAnsi="Century Gothic"/>
                <w:sz w:val="16"/>
                <w:szCs w:val="16"/>
              </w:rPr>
              <w:t>1.5%</w:t>
            </w:r>
          </w:p>
        </w:tc>
        <w:tc>
          <w:tcPr>
            <w:tcW w:w="694" w:type="dxa"/>
            <w:shd w:val="clear" w:color="auto" w:fill="auto"/>
            <w:vAlign w:val="center"/>
          </w:tcPr>
          <w:p w14:paraId="2E0E09D3" w14:textId="77777777" w:rsidR="00F93170" w:rsidRPr="009A501D" w:rsidRDefault="00F93170" w:rsidP="00664A1D">
            <w:pPr>
              <w:spacing w:after="0"/>
              <w:contextualSpacing/>
              <w:jc w:val="center"/>
              <w:rPr>
                <w:rFonts w:ascii="Century Gothic" w:hAnsi="Century Gothic" w:cs="Calibri"/>
                <w:sz w:val="16"/>
                <w:szCs w:val="16"/>
              </w:rPr>
            </w:pPr>
            <w:r w:rsidRPr="009A501D">
              <w:rPr>
                <w:rFonts w:ascii="Century Gothic" w:hAnsi="Century Gothic"/>
                <w:sz w:val="16"/>
                <w:szCs w:val="16"/>
              </w:rPr>
              <w:t>1.1%</w:t>
            </w:r>
          </w:p>
        </w:tc>
        <w:tc>
          <w:tcPr>
            <w:tcW w:w="602" w:type="dxa"/>
            <w:shd w:val="clear" w:color="auto" w:fill="auto"/>
            <w:vAlign w:val="center"/>
          </w:tcPr>
          <w:p w14:paraId="6B9BA6A3" w14:textId="77777777" w:rsidR="00F93170" w:rsidRPr="009A501D" w:rsidRDefault="00F93170" w:rsidP="00664A1D">
            <w:pPr>
              <w:spacing w:after="0"/>
              <w:contextualSpacing/>
              <w:jc w:val="center"/>
              <w:rPr>
                <w:rFonts w:ascii="Century Gothic" w:hAnsi="Century Gothic"/>
                <w:sz w:val="16"/>
                <w:szCs w:val="16"/>
              </w:rPr>
            </w:pPr>
            <w:r w:rsidRPr="009A501D">
              <w:rPr>
                <w:rFonts w:ascii="Century Gothic" w:hAnsi="Century Gothic"/>
                <w:sz w:val="16"/>
                <w:szCs w:val="16"/>
              </w:rPr>
              <w:t>0.7%</w:t>
            </w:r>
          </w:p>
        </w:tc>
      </w:tr>
    </w:tbl>
    <w:p w14:paraId="4533B117" w14:textId="174BBD68" w:rsidR="00F93170" w:rsidRPr="009A501D" w:rsidRDefault="00F93170" w:rsidP="00813184">
      <w:pPr>
        <w:spacing w:before="240"/>
        <w:jc w:val="both"/>
        <w:rPr>
          <w:rFonts w:ascii="Century Gothic" w:hAnsi="Century Gothic"/>
          <w:sz w:val="19"/>
          <w:szCs w:val="19"/>
        </w:rPr>
      </w:pPr>
      <w:r w:rsidRPr="009A501D">
        <w:rPr>
          <w:rFonts w:ascii="Century Gothic" w:hAnsi="Century Gothic"/>
          <w:sz w:val="19"/>
          <w:szCs w:val="19"/>
        </w:rPr>
        <w:t>En el cuadro III.5.</w:t>
      </w:r>
      <w:r w:rsidR="001D5671" w:rsidRPr="009A501D">
        <w:rPr>
          <w:rFonts w:ascii="Century Gothic" w:hAnsi="Century Gothic"/>
          <w:sz w:val="19"/>
          <w:szCs w:val="19"/>
        </w:rPr>
        <w:t>A.</w:t>
      </w:r>
      <w:r w:rsidRPr="009A501D">
        <w:rPr>
          <w:rFonts w:ascii="Century Gothic" w:hAnsi="Century Gothic"/>
          <w:sz w:val="19"/>
          <w:szCs w:val="19"/>
        </w:rPr>
        <w:t xml:space="preserve">2 se presentan los </w:t>
      </w:r>
      <w:r w:rsidR="00FB00F6" w:rsidRPr="009A501D">
        <w:rPr>
          <w:rFonts w:ascii="Century Gothic" w:hAnsi="Century Gothic"/>
          <w:sz w:val="19"/>
          <w:szCs w:val="19"/>
        </w:rPr>
        <w:t>procesos de producción</w:t>
      </w:r>
      <w:r w:rsidRPr="009A501D">
        <w:rPr>
          <w:rFonts w:ascii="Century Gothic" w:hAnsi="Century Gothic"/>
          <w:sz w:val="19"/>
          <w:szCs w:val="19"/>
        </w:rPr>
        <w:t xml:space="preserve"> para los que</w:t>
      </w:r>
      <w:r w:rsidR="00A44C6D" w:rsidRPr="009A501D">
        <w:rPr>
          <w:rFonts w:ascii="Century Gothic" w:hAnsi="Century Gothic"/>
          <w:sz w:val="19"/>
          <w:szCs w:val="19"/>
        </w:rPr>
        <w:t xml:space="preserve"> </w:t>
      </w:r>
      <w:r w:rsidRPr="009A501D">
        <w:rPr>
          <w:rFonts w:ascii="Century Gothic" w:hAnsi="Century Gothic"/>
          <w:sz w:val="19"/>
          <w:szCs w:val="19"/>
        </w:rPr>
        <w:t xml:space="preserve">se observaron </w:t>
      </w:r>
      <w:r w:rsidRPr="009A501D">
        <w:rPr>
          <w:rFonts w:ascii="Century Gothic" w:hAnsi="Century Gothic"/>
          <w:i/>
          <w:iCs/>
          <w:sz w:val="19"/>
          <w:szCs w:val="19"/>
        </w:rPr>
        <w:t>tasas de no respuesta a nivel variable</w:t>
      </w:r>
      <w:r w:rsidRPr="009A501D">
        <w:rPr>
          <w:rFonts w:ascii="Century Gothic" w:hAnsi="Century Gothic"/>
          <w:sz w:val="19"/>
          <w:szCs w:val="19"/>
        </w:rPr>
        <w:t xml:space="preserve"> superiores a cero</w:t>
      </w:r>
      <w:r w:rsidR="00A44C6D" w:rsidRPr="009A501D">
        <w:rPr>
          <w:rFonts w:ascii="Century Gothic" w:hAnsi="Century Gothic"/>
          <w:sz w:val="19"/>
          <w:szCs w:val="19"/>
        </w:rPr>
        <w:t xml:space="preserve"> durante 2022</w:t>
      </w:r>
      <w:r w:rsidRPr="009A501D">
        <w:rPr>
          <w:rFonts w:ascii="Century Gothic" w:hAnsi="Century Gothic"/>
          <w:sz w:val="19"/>
          <w:szCs w:val="19"/>
        </w:rPr>
        <w:t xml:space="preserve">. Si bien las </w:t>
      </w:r>
      <w:r w:rsidRPr="009A501D">
        <w:rPr>
          <w:rFonts w:ascii="Century Gothic" w:hAnsi="Century Gothic"/>
          <w:i/>
          <w:iCs/>
          <w:sz w:val="19"/>
          <w:szCs w:val="19"/>
        </w:rPr>
        <w:t>tasas de no respuesta a nivel variable</w:t>
      </w:r>
      <w:r w:rsidRPr="009A501D">
        <w:rPr>
          <w:rFonts w:ascii="Century Gothic" w:hAnsi="Century Gothic"/>
          <w:sz w:val="19"/>
          <w:szCs w:val="19"/>
        </w:rPr>
        <w:t xml:space="preserve"> se han recuperado respecto al año anterior</w:t>
      </w:r>
      <w:r w:rsidR="00072188" w:rsidRPr="009A501D">
        <w:rPr>
          <w:rFonts w:ascii="Century Gothic" w:hAnsi="Century Gothic"/>
          <w:sz w:val="19"/>
          <w:szCs w:val="19"/>
        </w:rPr>
        <w:t>,</w:t>
      </w:r>
      <w:r w:rsidRPr="009A501D">
        <w:rPr>
          <w:rFonts w:ascii="Century Gothic" w:hAnsi="Century Gothic"/>
          <w:sz w:val="19"/>
          <w:szCs w:val="19"/>
        </w:rPr>
        <w:t xml:space="preserve"> para prácticamente todos los </w:t>
      </w:r>
      <w:r w:rsidR="00FB00F6" w:rsidRPr="009A501D">
        <w:rPr>
          <w:rFonts w:ascii="Century Gothic" w:hAnsi="Century Gothic"/>
          <w:sz w:val="19"/>
          <w:szCs w:val="19"/>
        </w:rPr>
        <w:t>procesos</w:t>
      </w:r>
      <w:r w:rsidRPr="009A501D">
        <w:rPr>
          <w:rFonts w:ascii="Century Gothic" w:hAnsi="Century Gothic"/>
          <w:sz w:val="19"/>
          <w:szCs w:val="19"/>
        </w:rPr>
        <w:t xml:space="preserve">, </w:t>
      </w:r>
      <w:r w:rsidR="00FB00F6" w:rsidRPr="009A501D">
        <w:rPr>
          <w:rFonts w:ascii="Century Gothic" w:hAnsi="Century Gothic"/>
          <w:sz w:val="19"/>
          <w:szCs w:val="19"/>
        </w:rPr>
        <w:t>las</w:t>
      </w:r>
      <w:r w:rsidRPr="009A501D">
        <w:rPr>
          <w:rFonts w:ascii="Century Gothic" w:hAnsi="Century Gothic"/>
          <w:sz w:val="19"/>
          <w:szCs w:val="19"/>
        </w:rPr>
        <w:t xml:space="preserve"> Estadísticas sobre Relaciones Laborales de Jurisdicción Local (ERLAJUL) y Estadística de Divorcios (ED) presentan casos de variables con no respuesta superiores a 75%</w:t>
      </w:r>
      <w:r w:rsidR="00B33E78" w:rsidRPr="009A501D">
        <w:rPr>
          <w:rFonts w:ascii="Century Gothic" w:hAnsi="Century Gothic"/>
          <w:sz w:val="19"/>
          <w:szCs w:val="19"/>
        </w:rPr>
        <w:t>.</w:t>
      </w:r>
      <w:r w:rsidRPr="009A501D">
        <w:rPr>
          <w:rFonts w:ascii="Century Gothic" w:hAnsi="Century Gothic"/>
          <w:sz w:val="19"/>
          <w:szCs w:val="19"/>
        </w:rPr>
        <w:t xml:space="preserve"> </w:t>
      </w:r>
      <w:r w:rsidR="00B33E78" w:rsidRPr="009A501D">
        <w:rPr>
          <w:rFonts w:ascii="Century Gothic" w:hAnsi="Century Gothic"/>
          <w:sz w:val="19"/>
          <w:szCs w:val="19"/>
        </w:rPr>
        <w:t xml:space="preserve">Es </w:t>
      </w:r>
      <w:r w:rsidRPr="009A501D">
        <w:rPr>
          <w:rFonts w:ascii="Century Gothic" w:hAnsi="Century Gothic"/>
          <w:sz w:val="19"/>
          <w:szCs w:val="19"/>
        </w:rPr>
        <w:t xml:space="preserve">necesario revisar si estas variables contribuyen al objetivo del </w:t>
      </w:r>
      <w:r w:rsidR="00246796" w:rsidRPr="009A501D">
        <w:rPr>
          <w:rFonts w:ascii="Century Gothic" w:hAnsi="Century Gothic"/>
          <w:sz w:val="19"/>
          <w:szCs w:val="19"/>
        </w:rPr>
        <w:t>proceso</w:t>
      </w:r>
      <w:r w:rsidRPr="009A501D">
        <w:rPr>
          <w:rFonts w:ascii="Century Gothic" w:hAnsi="Century Gothic"/>
          <w:sz w:val="19"/>
          <w:szCs w:val="19"/>
        </w:rPr>
        <w:t xml:space="preserve"> y, en su caso, definir estrategias para mejorar l</w:t>
      </w:r>
      <w:r w:rsidR="00072188" w:rsidRPr="009A501D">
        <w:rPr>
          <w:rFonts w:ascii="Century Gothic" w:hAnsi="Century Gothic"/>
          <w:sz w:val="19"/>
          <w:szCs w:val="19"/>
        </w:rPr>
        <w:t>os niveles de</w:t>
      </w:r>
      <w:r w:rsidRPr="009A501D">
        <w:rPr>
          <w:rFonts w:ascii="Century Gothic" w:hAnsi="Century Gothic"/>
          <w:sz w:val="19"/>
          <w:szCs w:val="19"/>
        </w:rPr>
        <w:t xml:space="preserve"> respuesta.</w:t>
      </w:r>
    </w:p>
    <w:p w14:paraId="76E7179A" w14:textId="5E5EE938" w:rsidR="00F93170" w:rsidRPr="009A501D" w:rsidRDefault="00F93170" w:rsidP="00813184">
      <w:pPr>
        <w:spacing w:before="240"/>
        <w:ind w:left="284"/>
        <w:jc w:val="center"/>
        <w:rPr>
          <w:rFonts w:ascii="Century Gothic" w:hAnsi="Century Gothic"/>
          <w:b/>
          <w:sz w:val="19"/>
          <w:szCs w:val="19"/>
        </w:rPr>
      </w:pPr>
      <w:r w:rsidRPr="009A501D">
        <w:rPr>
          <w:rFonts w:ascii="Century Gothic" w:hAnsi="Century Gothic"/>
          <w:b/>
          <w:sz w:val="19"/>
          <w:szCs w:val="19"/>
        </w:rPr>
        <w:t>III.</w:t>
      </w:r>
      <w:r w:rsidR="009B3A86" w:rsidRPr="009A501D">
        <w:rPr>
          <w:rFonts w:ascii="Century Gothic" w:hAnsi="Century Gothic"/>
          <w:b/>
          <w:sz w:val="19"/>
          <w:szCs w:val="19"/>
        </w:rPr>
        <w:t>5.A</w:t>
      </w:r>
      <w:r w:rsidRPr="009A501D">
        <w:rPr>
          <w:rFonts w:ascii="Century Gothic" w:hAnsi="Century Gothic"/>
          <w:b/>
          <w:sz w:val="19"/>
          <w:szCs w:val="19"/>
        </w:rPr>
        <w:t xml:space="preserve">.2 </w:t>
      </w:r>
      <w:r w:rsidR="00FB00F6" w:rsidRPr="009A501D">
        <w:rPr>
          <w:rFonts w:ascii="Century Gothic" w:hAnsi="Century Gothic"/>
          <w:b/>
          <w:sz w:val="19"/>
          <w:szCs w:val="19"/>
        </w:rPr>
        <w:t>Procesos de producción</w:t>
      </w:r>
      <w:r w:rsidRPr="009A501D">
        <w:rPr>
          <w:rFonts w:ascii="Century Gothic" w:hAnsi="Century Gothic"/>
          <w:b/>
          <w:sz w:val="19"/>
          <w:szCs w:val="19"/>
        </w:rPr>
        <w:t xml:space="preserve"> con tasas de no respuesta a nivel variable mayores a cero</w:t>
      </w:r>
    </w:p>
    <w:tbl>
      <w:tblPr>
        <w:tblW w:w="10701" w:type="dxa"/>
        <w:jc w:val="center"/>
        <w:tblCellMar>
          <w:left w:w="70" w:type="dxa"/>
          <w:right w:w="70" w:type="dxa"/>
        </w:tblCellMar>
        <w:tblLook w:val="04A0" w:firstRow="1" w:lastRow="0" w:firstColumn="1" w:lastColumn="0" w:noHBand="0" w:noVBand="1"/>
      </w:tblPr>
      <w:tblGrid>
        <w:gridCol w:w="3324"/>
        <w:gridCol w:w="596"/>
        <w:gridCol w:w="596"/>
        <w:gridCol w:w="596"/>
        <w:gridCol w:w="671"/>
        <w:gridCol w:w="596"/>
        <w:gridCol w:w="596"/>
        <w:gridCol w:w="596"/>
        <w:gridCol w:w="671"/>
        <w:gridCol w:w="596"/>
        <w:gridCol w:w="596"/>
        <w:gridCol w:w="596"/>
        <w:gridCol w:w="671"/>
      </w:tblGrid>
      <w:tr w:rsidR="00F93170" w:rsidRPr="009A501D" w14:paraId="1CBA1973" w14:textId="77777777" w:rsidTr="00460BCB">
        <w:trPr>
          <w:trHeight w:val="284"/>
          <w:tblHeader/>
          <w:jc w:val="center"/>
        </w:trPr>
        <w:tc>
          <w:tcPr>
            <w:tcW w:w="332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A816E7A" w14:textId="4DEDF4B2" w:rsidR="00F93170" w:rsidRPr="009A501D" w:rsidRDefault="00FB00F6" w:rsidP="00664A1D">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2459" w:type="dxa"/>
            <w:gridSpan w:val="4"/>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277F7CA" w14:textId="77777777" w:rsidR="00F93170" w:rsidRPr="009A501D" w:rsidRDefault="00F93170" w:rsidP="00664A1D">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Número de variables</w:t>
            </w:r>
          </w:p>
        </w:tc>
        <w:tc>
          <w:tcPr>
            <w:tcW w:w="491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F69E66E" w14:textId="77777777" w:rsidR="00F93170" w:rsidRPr="009A501D" w:rsidRDefault="00F93170" w:rsidP="00664A1D">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por variable (%)</w:t>
            </w:r>
          </w:p>
        </w:tc>
      </w:tr>
      <w:tr w:rsidR="00F93170" w:rsidRPr="009A501D" w14:paraId="5FB85E2B" w14:textId="77777777" w:rsidTr="00460BCB">
        <w:trPr>
          <w:trHeight w:val="284"/>
          <w:tblHeader/>
          <w:jc w:val="center"/>
        </w:trPr>
        <w:tc>
          <w:tcPr>
            <w:tcW w:w="332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6F24A0" w14:textId="77777777" w:rsidR="00F93170" w:rsidRPr="009A501D" w:rsidRDefault="00F93170" w:rsidP="00072188">
            <w:pPr>
              <w:spacing w:after="0"/>
              <w:rPr>
                <w:rFonts w:ascii="Century Gothic" w:hAnsi="Century Gothic" w:cs="Calibri"/>
                <w:b/>
                <w:color w:val="FFFFFF"/>
                <w:sz w:val="16"/>
                <w:szCs w:val="16"/>
              </w:rPr>
            </w:pPr>
          </w:p>
        </w:tc>
        <w:tc>
          <w:tcPr>
            <w:tcW w:w="2459" w:type="dxa"/>
            <w:gridSpan w:val="4"/>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DCCB6C" w14:textId="77777777" w:rsidR="00F93170" w:rsidRPr="009A501D" w:rsidRDefault="00F93170" w:rsidP="00072188">
            <w:pPr>
              <w:spacing w:after="0"/>
              <w:rPr>
                <w:rFonts w:ascii="Century Gothic" w:hAnsi="Century Gothic" w:cs="Calibri"/>
                <w:b/>
                <w:color w:val="FFFFFF"/>
                <w:sz w:val="16"/>
                <w:szCs w:val="16"/>
              </w:rPr>
            </w:pPr>
          </w:p>
        </w:tc>
        <w:tc>
          <w:tcPr>
            <w:tcW w:w="245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257491AD"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Media</w:t>
            </w:r>
          </w:p>
        </w:tc>
        <w:tc>
          <w:tcPr>
            <w:tcW w:w="245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4057078"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Máxima</w:t>
            </w:r>
          </w:p>
        </w:tc>
      </w:tr>
      <w:tr w:rsidR="00F93170" w:rsidRPr="009A501D" w14:paraId="5897C950" w14:textId="77777777" w:rsidTr="00460BCB">
        <w:trPr>
          <w:trHeight w:val="284"/>
          <w:tblHeader/>
          <w:jc w:val="center"/>
        </w:trPr>
        <w:tc>
          <w:tcPr>
            <w:tcW w:w="332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0188C3" w14:textId="77777777" w:rsidR="00F93170" w:rsidRPr="009A501D" w:rsidRDefault="00F93170" w:rsidP="00072188">
            <w:pPr>
              <w:spacing w:after="0"/>
              <w:rPr>
                <w:rFonts w:ascii="Century Gothic" w:hAnsi="Century Gothic" w:cs="Calibri"/>
                <w:b/>
                <w:color w:val="FFFFFF"/>
                <w:sz w:val="16"/>
                <w:szCs w:val="16"/>
              </w:rPr>
            </w:pP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8E88552"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B4F6485"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FD011F7"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2C4E0DCB"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973EF26"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FAA6CCD"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81CF92C"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A8FDAD6"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BCB1305"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8A56109"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B887547"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D080AEC" w14:textId="77777777" w:rsidR="00F93170" w:rsidRPr="009A501D" w:rsidRDefault="00F93170" w:rsidP="0007218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460BCB" w:rsidRPr="009A501D" w14:paraId="01962A2E" w14:textId="77777777" w:rsidTr="00664A1D">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212EA23"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Estadísticas de Defunciones Registradas (EDR)</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AAD260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F985779"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26085A3"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BF39F66"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C36D616"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EBFCF2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6</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F7AD7BF"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6B38649"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0339ECC"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75FD0C0"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1D82B0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CF72D6B"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43</w:t>
            </w:r>
          </w:p>
        </w:tc>
      </w:tr>
      <w:tr w:rsidR="00072188" w:rsidRPr="009A501D" w14:paraId="715CF6DD" w14:textId="77777777" w:rsidTr="00072188">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8DCE50C"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Estadísticas de Defunciones Fetales (EDF)</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D4C025C"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8035251"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279F7E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C27D972"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FCDA84D"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FBE9386"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D2E57C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E9DD1C"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7D44C0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75354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989E05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86</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70A453"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54</w:t>
            </w:r>
          </w:p>
        </w:tc>
      </w:tr>
      <w:tr w:rsidR="00460BCB" w:rsidRPr="009A501D" w14:paraId="7B31627E" w14:textId="77777777" w:rsidTr="00664A1D">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6778016"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 de Nacimientos Registrados (ENR)</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17992F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0074EA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360C5AB"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28BF92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EE29FC1"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717890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CF0AA30"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7BDA25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109D892"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1C62146"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8F731CC"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92</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E3E683B"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57</w:t>
            </w:r>
          </w:p>
        </w:tc>
      </w:tr>
      <w:tr w:rsidR="00072188" w:rsidRPr="009A501D" w14:paraId="6215C646" w14:textId="77777777" w:rsidTr="00072188">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09C6B6B"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 de Matrimonios (EMAT)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BD1B438"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6FBCC12"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4D08E9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FFB8F6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0B913CB"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7394790"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B7B19AF"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95152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E597D6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56</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A2D3C46"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46E3181"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76</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26E072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48</w:t>
            </w:r>
          </w:p>
        </w:tc>
      </w:tr>
      <w:tr w:rsidR="00460BCB" w:rsidRPr="009A501D" w14:paraId="549B8564" w14:textId="77777777" w:rsidTr="00664A1D">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8645A78"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 de Divorcios (ED)</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CEFB52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304F02E"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F7F0733"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7441E59"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B4D08B0"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552FEEF"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C0AFD1B"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C9CA60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09A8E12"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44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4492A79"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90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5EF26F2"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91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2B5D43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87</w:t>
            </w:r>
          </w:p>
        </w:tc>
      </w:tr>
      <w:tr w:rsidR="00072188" w:rsidRPr="009A501D" w14:paraId="0C74BE64" w14:textId="77777777" w:rsidTr="00072188">
        <w:trPr>
          <w:trHeight w:val="284"/>
          <w:jc w:val="center"/>
        </w:trPr>
        <w:tc>
          <w:tcPr>
            <w:tcW w:w="3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D5942BD" w14:textId="77777777" w:rsidR="00F93170" w:rsidRPr="009A501D" w:rsidRDefault="00F93170" w:rsidP="00072188">
            <w:pPr>
              <w:spacing w:after="0"/>
              <w:rPr>
                <w:rFonts w:ascii="Century Gothic" w:hAnsi="Century Gothic" w:cs="Calibri"/>
                <w:sz w:val="16"/>
                <w:szCs w:val="16"/>
              </w:rPr>
            </w:pPr>
            <w:r w:rsidRPr="009A501D">
              <w:rPr>
                <w:rFonts w:ascii="Century Gothic" w:hAnsi="Century Gothic" w:cs="Calibri"/>
                <w:sz w:val="16"/>
                <w:szCs w:val="16"/>
              </w:rPr>
              <w:t>Estadísticas sobre Relaciones Laborales de Jurisdicción Local (ERLAJUL)</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4623EB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80C448D"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9AEA1CD"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B820160"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25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57B99CA"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1C7B30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2BC273"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ACF8461"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6164578"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F73EA54"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F17B45"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12EF57" w14:textId="77777777" w:rsidR="00F93170" w:rsidRPr="009A501D" w:rsidRDefault="00F93170" w:rsidP="00072188">
            <w:pPr>
              <w:spacing w:after="0"/>
              <w:jc w:val="center"/>
              <w:rPr>
                <w:rFonts w:ascii="Century Gothic" w:hAnsi="Century Gothic" w:cs="Calibri"/>
                <w:sz w:val="16"/>
                <w:szCs w:val="16"/>
              </w:rPr>
            </w:pPr>
            <w:r w:rsidRPr="009A501D">
              <w:rPr>
                <w:rFonts w:ascii="Century Gothic" w:hAnsi="Century Gothic" w:cs="Calibri"/>
                <w:sz w:val="16"/>
                <w:szCs w:val="16"/>
              </w:rPr>
              <w:t>100</w:t>
            </w:r>
          </w:p>
        </w:tc>
      </w:tr>
    </w:tbl>
    <w:p w14:paraId="75B8B760" w14:textId="4BC9BE42" w:rsidR="00F93170" w:rsidRPr="009A501D" w:rsidRDefault="00F93170" w:rsidP="00664A1D">
      <w:pPr>
        <w:spacing w:after="0"/>
        <w:jc w:val="both"/>
        <w:rPr>
          <w:rFonts w:ascii="Century Gothic" w:hAnsi="Century Gothic"/>
          <w:sz w:val="14"/>
          <w:szCs w:val="14"/>
        </w:rPr>
      </w:pPr>
      <w:r w:rsidRPr="009A501D">
        <w:rPr>
          <w:rFonts w:ascii="Century Gothic" w:hAnsi="Century Gothic"/>
          <w:sz w:val="14"/>
          <w:szCs w:val="14"/>
        </w:rPr>
        <w:t>*Estos datos son los reportados en los Informes Anuales de Resultados 2020 y 2021, respectivamente.</w:t>
      </w:r>
    </w:p>
    <w:p w14:paraId="4A5FCECB" w14:textId="425180DF" w:rsidR="00F93170" w:rsidRPr="009A501D" w:rsidRDefault="00F93170" w:rsidP="00664A1D">
      <w:pPr>
        <w:spacing w:after="0"/>
        <w:jc w:val="both"/>
        <w:rPr>
          <w:rFonts w:ascii="Century Gothic" w:hAnsi="Century Gothic"/>
          <w:sz w:val="14"/>
          <w:szCs w:val="14"/>
        </w:rPr>
      </w:pPr>
      <w:r w:rsidRPr="009A501D">
        <w:rPr>
          <w:rFonts w:ascii="Century Gothic" w:hAnsi="Century Gothic"/>
          <w:sz w:val="14"/>
          <w:szCs w:val="14"/>
        </w:rPr>
        <w:t>**Estos datos corresponden a los indicadores registrados en metadatos durante 2022, independientemente del período de publicación de la información.</w:t>
      </w:r>
    </w:p>
    <w:p w14:paraId="3F1388B6" w14:textId="56B1A93C" w:rsidR="007A4B1D" w:rsidRPr="009A501D" w:rsidRDefault="00F93170" w:rsidP="00911182">
      <w:pPr>
        <w:spacing w:before="240"/>
        <w:jc w:val="both"/>
        <w:rPr>
          <w:rFonts w:ascii="Century Gothic" w:hAnsi="Century Gothic"/>
          <w:sz w:val="19"/>
          <w:szCs w:val="19"/>
        </w:rPr>
      </w:pPr>
      <w:r w:rsidRPr="009A501D">
        <w:rPr>
          <w:rFonts w:ascii="Century Gothic" w:hAnsi="Century Gothic"/>
          <w:sz w:val="19"/>
          <w:szCs w:val="19"/>
        </w:rPr>
        <w:t xml:space="preserve">Los </w:t>
      </w:r>
      <w:r w:rsidR="00FB00F6" w:rsidRPr="009A501D">
        <w:rPr>
          <w:rFonts w:ascii="Century Gothic" w:hAnsi="Century Gothic"/>
          <w:sz w:val="19"/>
          <w:szCs w:val="19"/>
        </w:rPr>
        <w:t>procesos</w:t>
      </w:r>
      <w:r w:rsidRPr="009A501D">
        <w:rPr>
          <w:rFonts w:ascii="Century Gothic" w:hAnsi="Century Gothic"/>
          <w:sz w:val="19"/>
          <w:szCs w:val="19"/>
        </w:rPr>
        <w:t xml:space="preserve"> de Finanzas Públicas Estatales y Municipales (EFIPEM), Accidentes de Tránsito Terrestre (ATUS), Transporte Urbano de Pasajeros (ETUP), Vehículos de Motor Registrados en Circulación (VMRC), Sacrificio de Ganado en Rastros Municipales (ESGRM), Estadísticas de Salud en Establecimientos Particulares (ESEP) y Estadística de Museos (EM) reportaron tasas medias de no respuesta a nivel variable de 0%</w:t>
      </w:r>
      <w:r w:rsidR="00B01E25" w:rsidRPr="009A501D">
        <w:rPr>
          <w:rFonts w:ascii="Century Gothic" w:hAnsi="Century Gothic"/>
          <w:sz w:val="19"/>
          <w:szCs w:val="19"/>
        </w:rPr>
        <w:t xml:space="preserve"> </w:t>
      </w:r>
      <w:r w:rsidR="00B01E25" w:rsidRPr="009A501D">
        <w:rPr>
          <w:rFonts w:ascii="Century Gothic" w:hAnsi="Century Gothic" w:cs="Calibri"/>
          <w:color w:val="000000"/>
          <w:sz w:val="19"/>
          <w:szCs w:val="19"/>
        </w:rPr>
        <w:t>(ver Anexo 3)</w:t>
      </w:r>
      <w:r w:rsidRPr="009A501D">
        <w:rPr>
          <w:rFonts w:ascii="Century Gothic" w:hAnsi="Century Gothic"/>
          <w:sz w:val="19"/>
          <w:szCs w:val="19"/>
        </w:rPr>
        <w:t>.</w:t>
      </w:r>
      <w:r w:rsidR="007A4B1D" w:rsidRPr="009A501D">
        <w:rPr>
          <w:rFonts w:ascii="Century Gothic" w:hAnsi="Century Gothic"/>
          <w:sz w:val="19"/>
          <w:szCs w:val="19"/>
        </w:rPr>
        <w:br w:type="page"/>
      </w:r>
    </w:p>
    <w:p w14:paraId="106CF91F" w14:textId="292BA71E" w:rsidR="00D57B21" w:rsidRPr="009A501D" w:rsidRDefault="006F28BF" w:rsidP="007A4B1D">
      <w:pPr>
        <w:pStyle w:val="Ttulo3"/>
        <w:spacing w:before="240"/>
        <w:rPr>
          <w:rFonts w:ascii="Century Gothic" w:eastAsiaTheme="minorHAnsi" w:hAnsi="Century Gothic" w:cstheme="minorBidi"/>
          <w:bCs/>
          <w:color w:val="0079BF"/>
        </w:rPr>
      </w:pPr>
      <w:bookmarkStart w:id="18" w:name="_Toc131161803"/>
      <w:r w:rsidRPr="009A501D">
        <w:rPr>
          <w:rFonts w:ascii="Century Gothic" w:hAnsi="Century Gothic"/>
          <w:color w:val="0079BF"/>
        </w:rPr>
        <w:lastRenderedPageBreak/>
        <w:t>III.</w:t>
      </w:r>
      <w:r w:rsidR="00840A53" w:rsidRPr="009A501D">
        <w:rPr>
          <w:rFonts w:ascii="Century Gothic" w:hAnsi="Century Gothic"/>
          <w:color w:val="0079BF"/>
        </w:rPr>
        <w:t>5</w:t>
      </w:r>
      <w:r w:rsidRPr="009A501D">
        <w:rPr>
          <w:rFonts w:ascii="Century Gothic" w:hAnsi="Century Gothic"/>
          <w:color w:val="0079BF"/>
        </w:rPr>
        <w:t>.</w:t>
      </w:r>
      <w:r w:rsidR="00840A53" w:rsidRPr="009A501D">
        <w:rPr>
          <w:rFonts w:ascii="Century Gothic" w:hAnsi="Century Gothic"/>
          <w:color w:val="0079BF"/>
        </w:rPr>
        <w:t>B.</w:t>
      </w:r>
      <w:r w:rsidRPr="009A501D">
        <w:rPr>
          <w:rFonts w:ascii="Century Gothic" w:hAnsi="Century Gothic"/>
          <w:color w:val="0079BF"/>
        </w:rPr>
        <w:t xml:space="preserve"> </w:t>
      </w:r>
      <w:r w:rsidR="0004252C" w:rsidRPr="009A501D">
        <w:rPr>
          <w:rFonts w:ascii="Century Gothic" w:hAnsi="Century Gothic"/>
          <w:color w:val="0079BF"/>
        </w:rPr>
        <w:t xml:space="preserve">Indicadores de precisión de </w:t>
      </w:r>
      <w:r w:rsidR="00931152" w:rsidRPr="009A501D">
        <w:rPr>
          <w:rFonts w:ascii="Century Gothic" w:hAnsi="Century Gothic"/>
          <w:color w:val="0079BF"/>
        </w:rPr>
        <w:t>censos</w:t>
      </w:r>
      <w:bookmarkEnd w:id="18"/>
    </w:p>
    <w:p w14:paraId="0E96ECC9" w14:textId="0E3B04F2" w:rsidR="0087711F" w:rsidRPr="009A501D" w:rsidRDefault="00C90CD2" w:rsidP="005E1D47">
      <w:pPr>
        <w:spacing w:before="40" w:after="40"/>
        <w:jc w:val="both"/>
        <w:rPr>
          <w:rFonts w:ascii="Century Gothic" w:hAnsi="Century Gothic"/>
          <w:sz w:val="19"/>
          <w:szCs w:val="19"/>
        </w:rPr>
      </w:pPr>
      <w:r w:rsidRPr="009A501D">
        <w:rPr>
          <w:rFonts w:ascii="Century Gothic" w:hAnsi="Century Gothic"/>
          <w:sz w:val="19"/>
          <w:szCs w:val="19"/>
        </w:rPr>
        <w:t>En la quinta sesión</w:t>
      </w:r>
      <w:r w:rsidR="00B33E78" w:rsidRPr="009A501D">
        <w:rPr>
          <w:rFonts w:ascii="Century Gothic" w:hAnsi="Century Gothic"/>
          <w:sz w:val="19"/>
          <w:szCs w:val="19"/>
        </w:rPr>
        <w:t xml:space="preserve"> de</w:t>
      </w:r>
      <w:r w:rsidRPr="009A501D">
        <w:rPr>
          <w:rFonts w:ascii="Century Gothic" w:hAnsi="Century Gothic"/>
          <w:sz w:val="19"/>
          <w:szCs w:val="19"/>
        </w:rPr>
        <w:t xml:space="preserve"> 2021</w:t>
      </w:r>
      <w:r w:rsidR="00DC2952" w:rsidRPr="009A501D">
        <w:rPr>
          <w:rStyle w:val="Refdenotaalpie"/>
          <w:rFonts w:ascii="Century Gothic" w:hAnsi="Century Gothic"/>
          <w:sz w:val="19"/>
          <w:szCs w:val="19"/>
        </w:rPr>
        <w:footnoteReference w:id="10"/>
      </w:r>
      <w:r w:rsidRPr="009A501D">
        <w:rPr>
          <w:rFonts w:ascii="Century Gothic" w:hAnsi="Century Gothic"/>
          <w:sz w:val="19"/>
          <w:szCs w:val="19"/>
        </w:rPr>
        <w:t xml:space="preserve"> del Comité se aprobaron cuatro indicadores de precisión estadística </w:t>
      </w:r>
      <w:r w:rsidR="00B33E78" w:rsidRPr="009A501D">
        <w:rPr>
          <w:rFonts w:ascii="Century Gothic" w:hAnsi="Century Gothic"/>
          <w:sz w:val="19"/>
          <w:szCs w:val="19"/>
        </w:rPr>
        <w:t xml:space="preserve">para </w:t>
      </w:r>
      <w:r w:rsidR="00FB00F6" w:rsidRPr="009A501D">
        <w:rPr>
          <w:rFonts w:ascii="Century Gothic" w:hAnsi="Century Gothic"/>
          <w:sz w:val="19"/>
          <w:szCs w:val="19"/>
        </w:rPr>
        <w:t>procesos de producción</w:t>
      </w:r>
      <w:r w:rsidRPr="009A501D">
        <w:rPr>
          <w:rFonts w:ascii="Century Gothic" w:hAnsi="Century Gothic"/>
          <w:sz w:val="19"/>
          <w:szCs w:val="19"/>
        </w:rPr>
        <w:t xml:space="preserve"> censales a partir de la información publicada en diciembre de 2021. Estos indicadores son</w:t>
      </w:r>
      <w:r w:rsidR="003252DA" w:rsidRPr="009A501D">
        <w:rPr>
          <w:rFonts w:ascii="Century Gothic" w:hAnsi="Century Gothic"/>
          <w:sz w:val="19"/>
          <w:szCs w:val="19"/>
        </w:rPr>
        <w:t>:</w:t>
      </w:r>
      <w:r w:rsidR="00535BDC" w:rsidRPr="009A501D">
        <w:rPr>
          <w:rFonts w:ascii="Century Gothic" w:hAnsi="Century Gothic"/>
          <w:sz w:val="19"/>
          <w:szCs w:val="19"/>
        </w:rPr>
        <w:t xml:space="preserve"> </w:t>
      </w:r>
      <w:r w:rsidRPr="009A501D">
        <w:rPr>
          <w:rFonts w:ascii="Century Gothic" w:hAnsi="Century Gothic"/>
          <w:i/>
          <w:iCs/>
          <w:sz w:val="19"/>
          <w:szCs w:val="19"/>
        </w:rPr>
        <w:t>tasa de no respuesta antes de imputación a nivel unidad de observación</w:t>
      </w:r>
      <w:r w:rsidRPr="009A501D">
        <w:rPr>
          <w:rFonts w:ascii="Century Gothic" w:hAnsi="Century Gothic"/>
          <w:sz w:val="19"/>
          <w:szCs w:val="19"/>
        </w:rPr>
        <w:t xml:space="preserve">, </w:t>
      </w:r>
      <w:r w:rsidRPr="009A501D">
        <w:rPr>
          <w:rFonts w:ascii="Century Gothic" w:hAnsi="Century Gothic"/>
          <w:i/>
          <w:iCs/>
          <w:sz w:val="19"/>
          <w:szCs w:val="19"/>
        </w:rPr>
        <w:t>tasa de imputación a nivel unidad de observ</w:t>
      </w:r>
      <w:r w:rsidRPr="009A501D">
        <w:rPr>
          <w:rFonts w:ascii="Century Gothic" w:hAnsi="Century Gothic"/>
          <w:sz w:val="19"/>
          <w:szCs w:val="19"/>
        </w:rPr>
        <w:t xml:space="preserve">ación, </w:t>
      </w:r>
      <w:r w:rsidRPr="009A501D">
        <w:rPr>
          <w:rFonts w:ascii="Century Gothic" w:hAnsi="Century Gothic"/>
          <w:i/>
          <w:iCs/>
          <w:sz w:val="19"/>
          <w:szCs w:val="19"/>
        </w:rPr>
        <w:t>tasa de no respuesta después de imputación a nivel unidad de observación</w:t>
      </w:r>
      <w:r w:rsidR="003252DA" w:rsidRPr="009A501D">
        <w:rPr>
          <w:rFonts w:ascii="Century Gothic" w:hAnsi="Century Gothic"/>
          <w:sz w:val="19"/>
          <w:szCs w:val="19"/>
        </w:rPr>
        <w:t>,</w:t>
      </w:r>
      <w:r w:rsidRPr="009A501D">
        <w:rPr>
          <w:rFonts w:ascii="Century Gothic" w:hAnsi="Century Gothic"/>
          <w:sz w:val="19"/>
          <w:szCs w:val="19"/>
        </w:rPr>
        <w:t xml:space="preserve"> y </w:t>
      </w:r>
      <w:r w:rsidRPr="009A501D">
        <w:rPr>
          <w:rFonts w:ascii="Century Gothic" w:hAnsi="Century Gothic"/>
          <w:i/>
          <w:iCs/>
          <w:sz w:val="19"/>
          <w:szCs w:val="19"/>
        </w:rPr>
        <w:t>tasa de no respuesta a nivel variable</w:t>
      </w:r>
      <w:r w:rsidR="003252DA" w:rsidRPr="009A501D">
        <w:rPr>
          <w:rFonts w:ascii="Century Gothic" w:hAnsi="Century Gothic"/>
          <w:sz w:val="19"/>
          <w:szCs w:val="19"/>
        </w:rPr>
        <w:t>.</w:t>
      </w:r>
      <w:r w:rsidR="003252DA" w:rsidRPr="009A501D">
        <w:rPr>
          <w:rStyle w:val="Refdenotaalpie"/>
          <w:rFonts w:ascii="Century Gothic" w:hAnsi="Century Gothic"/>
          <w:sz w:val="19"/>
          <w:szCs w:val="19"/>
        </w:rPr>
        <w:footnoteReference w:id="11"/>
      </w:r>
    </w:p>
    <w:p w14:paraId="2ADB717A" w14:textId="2C876906" w:rsidR="00C90CD2" w:rsidRPr="009A501D" w:rsidRDefault="00C90CD2" w:rsidP="0087711F">
      <w:pPr>
        <w:spacing w:before="240"/>
        <w:jc w:val="both"/>
        <w:rPr>
          <w:rFonts w:ascii="Century Gothic" w:hAnsi="Century Gothic"/>
          <w:sz w:val="19"/>
          <w:szCs w:val="19"/>
        </w:rPr>
      </w:pPr>
      <w:r w:rsidRPr="009A501D">
        <w:rPr>
          <w:rFonts w:ascii="Century Gothic" w:hAnsi="Century Gothic"/>
          <w:sz w:val="19"/>
          <w:szCs w:val="19"/>
        </w:rPr>
        <w:t xml:space="preserve">Se han detectado algunos problemas para el cálculo y reporte de las </w:t>
      </w:r>
      <w:r w:rsidRPr="009A501D">
        <w:rPr>
          <w:rFonts w:ascii="Century Gothic" w:hAnsi="Century Gothic"/>
          <w:i/>
          <w:iCs/>
          <w:sz w:val="19"/>
          <w:szCs w:val="19"/>
        </w:rPr>
        <w:t>tasas de no respuesta a nivel unidad de observación</w:t>
      </w:r>
      <w:r w:rsidR="006E1C62" w:rsidRPr="009A501D">
        <w:rPr>
          <w:rFonts w:ascii="Century Gothic" w:hAnsi="Century Gothic"/>
          <w:sz w:val="19"/>
          <w:szCs w:val="19"/>
        </w:rPr>
        <w:t>.</w:t>
      </w:r>
      <w:r w:rsidRPr="009A501D">
        <w:rPr>
          <w:rFonts w:ascii="Century Gothic" w:hAnsi="Century Gothic"/>
          <w:sz w:val="19"/>
          <w:szCs w:val="19"/>
        </w:rPr>
        <w:t xml:space="preserve"> </w:t>
      </w:r>
      <w:r w:rsidR="006E1C62" w:rsidRPr="009A501D">
        <w:rPr>
          <w:rFonts w:ascii="Century Gothic" w:hAnsi="Century Gothic"/>
          <w:sz w:val="19"/>
          <w:szCs w:val="19"/>
        </w:rPr>
        <w:t>U</w:t>
      </w:r>
      <w:r w:rsidRPr="009A501D">
        <w:rPr>
          <w:rFonts w:ascii="Century Gothic" w:hAnsi="Century Gothic"/>
          <w:sz w:val="19"/>
          <w:szCs w:val="19"/>
        </w:rPr>
        <w:t xml:space="preserve">no de ellos es la dificultad para determinar las unidades de observación. Sin embargo, se </w:t>
      </w:r>
      <w:r w:rsidR="003D021C" w:rsidRPr="009A501D">
        <w:rPr>
          <w:rFonts w:ascii="Century Gothic" w:hAnsi="Century Gothic"/>
          <w:sz w:val="19"/>
          <w:szCs w:val="19"/>
        </w:rPr>
        <w:t>identificó</w:t>
      </w:r>
      <w:r w:rsidRPr="009A501D">
        <w:rPr>
          <w:rFonts w:ascii="Century Gothic" w:hAnsi="Century Gothic"/>
          <w:sz w:val="19"/>
          <w:szCs w:val="19"/>
        </w:rPr>
        <w:t xml:space="preserve"> que la unidad de análisis y la unidad de observación suelen ser la misma en el caso de los censos. Por otro lado</w:t>
      </w:r>
      <w:r w:rsidR="00B33E78" w:rsidRPr="009A501D">
        <w:rPr>
          <w:rFonts w:ascii="Century Gothic" w:hAnsi="Century Gothic"/>
          <w:sz w:val="19"/>
          <w:szCs w:val="19"/>
        </w:rPr>
        <w:t>,</w:t>
      </w:r>
      <w:r w:rsidRPr="009A501D">
        <w:rPr>
          <w:rFonts w:ascii="Century Gothic" w:hAnsi="Century Gothic"/>
          <w:sz w:val="19"/>
          <w:szCs w:val="19"/>
        </w:rPr>
        <w:t xml:space="preserve"> </w:t>
      </w:r>
      <w:r w:rsidR="00594629" w:rsidRPr="009A501D">
        <w:rPr>
          <w:rFonts w:ascii="Century Gothic" w:hAnsi="Century Gothic"/>
          <w:sz w:val="19"/>
          <w:szCs w:val="19"/>
        </w:rPr>
        <w:t>t</w:t>
      </w:r>
      <w:r w:rsidRPr="009A501D">
        <w:rPr>
          <w:rFonts w:ascii="Century Gothic" w:hAnsi="Century Gothic"/>
          <w:sz w:val="19"/>
          <w:szCs w:val="19"/>
        </w:rPr>
        <w:t>ampoco se report</w:t>
      </w:r>
      <w:r w:rsidR="00741CD7" w:rsidRPr="009A501D">
        <w:rPr>
          <w:rFonts w:ascii="Century Gothic" w:hAnsi="Century Gothic"/>
          <w:sz w:val="19"/>
          <w:szCs w:val="19"/>
        </w:rPr>
        <w:t>a</w:t>
      </w:r>
      <w:r w:rsidRPr="009A501D">
        <w:rPr>
          <w:rFonts w:ascii="Century Gothic" w:hAnsi="Century Gothic"/>
          <w:sz w:val="19"/>
          <w:szCs w:val="19"/>
        </w:rPr>
        <w:t xml:space="preserve"> la </w:t>
      </w:r>
      <w:r w:rsidRPr="009A501D">
        <w:rPr>
          <w:rFonts w:ascii="Century Gothic" w:hAnsi="Century Gothic"/>
          <w:i/>
          <w:iCs/>
          <w:sz w:val="19"/>
          <w:szCs w:val="19"/>
        </w:rPr>
        <w:t>tasa de imputación</w:t>
      </w:r>
      <w:r w:rsidRPr="009A501D">
        <w:rPr>
          <w:rFonts w:ascii="Century Gothic" w:hAnsi="Century Gothic"/>
          <w:sz w:val="19"/>
          <w:szCs w:val="19"/>
        </w:rPr>
        <w:t xml:space="preserve"> y la </w:t>
      </w:r>
      <w:r w:rsidRPr="009A501D">
        <w:rPr>
          <w:rFonts w:ascii="Century Gothic" w:hAnsi="Century Gothic"/>
          <w:i/>
          <w:iCs/>
          <w:sz w:val="19"/>
          <w:szCs w:val="19"/>
        </w:rPr>
        <w:t>tasa de no respuesta después de imputación</w:t>
      </w:r>
      <w:r w:rsidRPr="009A501D">
        <w:rPr>
          <w:rFonts w:ascii="Century Gothic" w:hAnsi="Century Gothic"/>
          <w:sz w:val="19"/>
          <w:szCs w:val="19"/>
        </w:rPr>
        <w:t xml:space="preserve">. Si bien </w:t>
      </w:r>
      <w:r w:rsidR="000F0D48" w:rsidRPr="009A501D">
        <w:rPr>
          <w:rFonts w:ascii="Century Gothic" w:hAnsi="Century Gothic"/>
          <w:sz w:val="19"/>
          <w:szCs w:val="19"/>
        </w:rPr>
        <w:t xml:space="preserve">en la mayoría de </w:t>
      </w:r>
      <w:r w:rsidRPr="009A501D">
        <w:rPr>
          <w:rFonts w:ascii="Century Gothic" w:hAnsi="Century Gothic"/>
          <w:sz w:val="19"/>
          <w:szCs w:val="19"/>
        </w:rPr>
        <w:t xml:space="preserve">los </w:t>
      </w:r>
      <w:r w:rsidR="000F0D48" w:rsidRPr="009A501D">
        <w:rPr>
          <w:rFonts w:ascii="Century Gothic" w:hAnsi="Century Gothic"/>
          <w:sz w:val="19"/>
          <w:szCs w:val="19"/>
        </w:rPr>
        <w:t>c</w:t>
      </w:r>
      <w:r w:rsidRPr="009A501D">
        <w:rPr>
          <w:rFonts w:ascii="Century Gothic" w:hAnsi="Century Gothic"/>
          <w:sz w:val="19"/>
          <w:szCs w:val="19"/>
        </w:rPr>
        <w:t xml:space="preserve">ensos no </w:t>
      </w:r>
      <w:r w:rsidR="004158B7">
        <w:rPr>
          <w:rFonts w:ascii="Century Gothic" w:hAnsi="Century Gothic"/>
          <w:sz w:val="19"/>
          <w:szCs w:val="19"/>
        </w:rPr>
        <w:t xml:space="preserve">se </w:t>
      </w:r>
      <w:r w:rsidRPr="009A501D">
        <w:rPr>
          <w:rFonts w:ascii="Century Gothic" w:hAnsi="Century Gothic"/>
          <w:sz w:val="19"/>
          <w:szCs w:val="19"/>
        </w:rPr>
        <w:t xml:space="preserve">realizan imputaciones, el acuerdo </w:t>
      </w:r>
      <w:r w:rsidR="00594629" w:rsidRPr="009A501D">
        <w:rPr>
          <w:rFonts w:ascii="Century Gothic" w:hAnsi="Century Gothic"/>
          <w:sz w:val="19"/>
          <w:szCs w:val="19"/>
        </w:rPr>
        <w:t>d</w:t>
      </w:r>
      <w:r w:rsidRPr="009A501D">
        <w:rPr>
          <w:rFonts w:ascii="Century Gothic" w:hAnsi="Century Gothic"/>
          <w:sz w:val="19"/>
          <w:szCs w:val="19"/>
        </w:rPr>
        <w:t xml:space="preserve">el Comité </w:t>
      </w:r>
      <w:r w:rsidR="005E1D47" w:rsidRPr="009A501D">
        <w:rPr>
          <w:rFonts w:ascii="Century Gothic" w:hAnsi="Century Gothic"/>
          <w:sz w:val="19"/>
          <w:szCs w:val="19"/>
        </w:rPr>
        <w:t>fue</w:t>
      </w:r>
      <w:r w:rsidRPr="009A501D">
        <w:rPr>
          <w:rFonts w:ascii="Century Gothic" w:hAnsi="Century Gothic"/>
          <w:sz w:val="19"/>
          <w:szCs w:val="19"/>
        </w:rPr>
        <w:t xml:space="preserve"> </w:t>
      </w:r>
      <w:r w:rsidR="001D0B13" w:rsidRPr="009A501D">
        <w:rPr>
          <w:rFonts w:ascii="Century Gothic" w:hAnsi="Century Gothic"/>
          <w:sz w:val="19"/>
          <w:szCs w:val="19"/>
        </w:rPr>
        <w:t>dejar evidencia sobre</w:t>
      </w:r>
      <w:r w:rsidR="0033698A" w:rsidRPr="009A501D">
        <w:rPr>
          <w:rFonts w:ascii="Century Gothic" w:hAnsi="Century Gothic"/>
          <w:sz w:val="19"/>
          <w:szCs w:val="19"/>
        </w:rPr>
        <w:t xml:space="preserve"> los </w:t>
      </w:r>
      <w:r w:rsidR="000F0D48" w:rsidRPr="009A501D">
        <w:rPr>
          <w:rFonts w:ascii="Century Gothic" w:hAnsi="Century Gothic"/>
          <w:sz w:val="19"/>
          <w:szCs w:val="19"/>
        </w:rPr>
        <w:t>indicadores,</w:t>
      </w:r>
      <w:r w:rsidRPr="009A501D">
        <w:rPr>
          <w:rFonts w:ascii="Century Gothic" w:hAnsi="Century Gothic"/>
          <w:sz w:val="19"/>
          <w:szCs w:val="19"/>
        </w:rPr>
        <w:t xml:space="preserve"> aunque su valor sea cero</w:t>
      </w:r>
      <w:r w:rsidR="00B33E78" w:rsidRPr="009A501D">
        <w:rPr>
          <w:rFonts w:ascii="Century Gothic" w:hAnsi="Century Gothic"/>
          <w:sz w:val="19"/>
          <w:szCs w:val="19"/>
        </w:rPr>
        <w:t>,</w:t>
      </w:r>
      <w:r w:rsidRPr="009A501D">
        <w:rPr>
          <w:rFonts w:ascii="Century Gothic" w:hAnsi="Century Gothic"/>
          <w:sz w:val="19"/>
          <w:szCs w:val="19"/>
        </w:rPr>
        <w:t xml:space="preserve"> </w:t>
      </w:r>
      <w:r w:rsidR="00D243CD" w:rsidRPr="009A501D">
        <w:rPr>
          <w:rFonts w:ascii="Century Gothic" w:hAnsi="Century Gothic"/>
          <w:sz w:val="19"/>
          <w:szCs w:val="19"/>
        </w:rPr>
        <w:t>debido a la importancia de poder</w:t>
      </w:r>
      <w:r w:rsidRPr="009A501D">
        <w:rPr>
          <w:rFonts w:ascii="Century Gothic" w:hAnsi="Century Gothic"/>
          <w:sz w:val="19"/>
          <w:szCs w:val="19"/>
        </w:rPr>
        <w:t xml:space="preserve"> verificar si en algún ciclo </w:t>
      </w:r>
      <w:r w:rsidR="006E1C62" w:rsidRPr="009A501D">
        <w:rPr>
          <w:rFonts w:ascii="Century Gothic" w:hAnsi="Century Gothic"/>
          <w:sz w:val="19"/>
          <w:szCs w:val="19"/>
        </w:rPr>
        <w:t>fue</w:t>
      </w:r>
      <w:r w:rsidRPr="009A501D">
        <w:rPr>
          <w:rFonts w:ascii="Century Gothic" w:hAnsi="Century Gothic"/>
          <w:sz w:val="19"/>
          <w:szCs w:val="19"/>
        </w:rPr>
        <w:t xml:space="preserve"> necesario </w:t>
      </w:r>
      <w:r w:rsidR="006E1C62" w:rsidRPr="009A501D">
        <w:rPr>
          <w:rFonts w:ascii="Century Gothic" w:hAnsi="Century Gothic"/>
          <w:sz w:val="19"/>
          <w:szCs w:val="19"/>
        </w:rPr>
        <w:t>hace</w:t>
      </w:r>
      <w:r w:rsidR="000F0D48" w:rsidRPr="009A501D">
        <w:rPr>
          <w:rFonts w:ascii="Century Gothic" w:hAnsi="Century Gothic"/>
          <w:sz w:val="19"/>
          <w:szCs w:val="19"/>
        </w:rPr>
        <w:t>r</w:t>
      </w:r>
      <w:r w:rsidR="006E1C62" w:rsidRPr="009A501D">
        <w:rPr>
          <w:rFonts w:ascii="Century Gothic" w:hAnsi="Century Gothic"/>
          <w:sz w:val="19"/>
          <w:szCs w:val="19"/>
        </w:rPr>
        <w:t xml:space="preserve"> imputaciones</w:t>
      </w:r>
      <w:r w:rsidRPr="009A501D">
        <w:rPr>
          <w:rFonts w:ascii="Century Gothic" w:hAnsi="Century Gothic"/>
          <w:sz w:val="19"/>
          <w:szCs w:val="19"/>
        </w:rPr>
        <w:t>.</w:t>
      </w:r>
    </w:p>
    <w:p w14:paraId="29BF0768" w14:textId="2EB298D8" w:rsidR="00C90CD2" w:rsidRPr="009A501D" w:rsidRDefault="00C90CD2" w:rsidP="00664A1D">
      <w:pPr>
        <w:tabs>
          <w:tab w:val="left" w:pos="6089"/>
        </w:tabs>
        <w:spacing w:before="240"/>
        <w:jc w:val="both"/>
        <w:rPr>
          <w:rFonts w:ascii="Century Gothic" w:hAnsi="Century Gothic" w:cs="Calibri"/>
          <w:color w:val="000000"/>
          <w:sz w:val="19"/>
          <w:szCs w:val="19"/>
        </w:rPr>
      </w:pPr>
      <w:r w:rsidRPr="009A501D">
        <w:rPr>
          <w:rFonts w:ascii="Century Gothic" w:hAnsi="Century Gothic" w:cs="Calibri"/>
          <w:color w:val="000000"/>
          <w:sz w:val="19"/>
          <w:szCs w:val="19"/>
        </w:rPr>
        <w:t>En el cuadro III.</w:t>
      </w:r>
      <w:r w:rsidR="009B3A86" w:rsidRPr="009A501D">
        <w:rPr>
          <w:rFonts w:ascii="Century Gothic" w:hAnsi="Century Gothic" w:cs="Calibri"/>
          <w:color w:val="000000"/>
          <w:sz w:val="19"/>
          <w:szCs w:val="19"/>
        </w:rPr>
        <w:t>5.B</w:t>
      </w:r>
      <w:r w:rsidRPr="009A501D">
        <w:rPr>
          <w:rFonts w:ascii="Century Gothic" w:hAnsi="Century Gothic" w:cs="Calibri"/>
          <w:color w:val="000000"/>
          <w:sz w:val="19"/>
          <w:szCs w:val="19"/>
        </w:rPr>
        <w:t>.1 se presentan los resultados generales de los indicadores de precisión para censos</w:t>
      </w:r>
      <w:r w:rsidR="00B33E78" w:rsidRPr="009A501D">
        <w:rPr>
          <w:rFonts w:ascii="Century Gothic" w:hAnsi="Century Gothic" w:cs="Calibri"/>
          <w:color w:val="000000"/>
          <w:sz w:val="19"/>
          <w:szCs w:val="19"/>
        </w:rPr>
        <w:t>.</w:t>
      </w:r>
      <w:r w:rsidRPr="009A501D">
        <w:rPr>
          <w:rFonts w:ascii="Century Gothic" w:hAnsi="Century Gothic" w:cs="Calibri"/>
          <w:color w:val="000000"/>
          <w:sz w:val="19"/>
          <w:szCs w:val="19"/>
        </w:rPr>
        <w:t xml:space="preserve"> </w:t>
      </w:r>
      <w:r w:rsidR="00C40338">
        <w:rPr>
          <w:rFonts w:ascii="Century Gothic" w:hAnsi="Century Gothic" w:cs="Calibri"/>
          <w:color w:val="000000"/>
          <w:sz w:val="19"/>
          <w:szCs w:val="19"/>
        </w:rPr>
        <w:t>E</w:t>
      </w:r>
      <w:r w:rsidRPr="009A501D">
        <w:rPr>
          <w:rFonts w:ascii="Century Gothic" w:hAnsi="Century Gothic" w:cs="Calibri"/>
          <w:color w:val="000000"/>
          <w:sz w:val="19"/>
          <w:szCs w:val="19"/>
        </w:rPr>
        <w:t>n el caso de la no respuesta a nivel variable</w:t>
      </w:r>
      <w:r w:rsidR="00C40338">
        <w:rPr>
          <w:rFonts w:ascii="Century Gothic" w:hAnsi="Century Gothic" w:cs="Calibri"/>
          <w:color w:val="000000"/>
          <w:sz w:val="19"/>
          <w:szCs w:val="19"/>
        </w:rPr>
        <w:t>, cuyo valor es 0%, corresponde a</w:t>
      </w:r>
      <w:r w:rsidRPr="009A501D">
        <w:rPr>
          <w:rFonts w:ascii="Century Gothic" w:hAnsi="Century Gothic" w:cs="Calibri"/>
          <w:color w:val="000000"/>
          <w:sz w:val="19"/>
          <w:szCs w:val="19"/>
        </w:rPr>
        <w:t xml:space="preserve"> </w:t>
      </w:r>
      <w:r w:rsidR="0085107A" w:rsidRPr="009A501D">
        <w:rPr>
          <w:rFonts w:ascii="Century Gothic" w:hAnsi="Century Gothic" w:cs="Calibri"/>
          <w:color w:val="000000"/>
          <w:sz w:val="19"/>
          <w:szCs w:val="19"/>
        </w:rPr>
        <w:t xml:space="preserve">los censos de gobierno. El Censo de Centros de Justicia para las Mujeres (CJM), fue el único proceso que reportó la totalidad de indicadores aprobados en el Comité, teniendo una </w:t>
      </w:r>
      <w:r w:rsidR="0085107A" w:rsidRPr="009A501D">
        <w:rPr>
          <w:rFonts w:ascii="Century Gothic" w:hAnsi="Century Gothic" w:cs="Calibri"/>
          <w:i/>
          <w:iCs/>
          <w:color w:val="000000"/>
          <w:sz w:val="19"/>
          <w:szCs w:val="19"/>
        </w:rPr>
        <w:t>tasa de no respuesta antes de imputación por unidad</w:t>
      </w:r>
      <w:r w:rsidR="0085107A" w:rsidRPr="009A501D">
        <w:rPr>
          <w:rFonts w:ascii="Century Gothic" w:hAnsi="Century Gothic" w:cs="Calibri"/>
          <w:color w:val="000000"/>
          <w:sz w:val="19"/>
          <w:szCs w:val="19"/>
        </w:rPr>
        <w:t xml:space="preserve"> de 22%, una </w:t>
      </w:r>
      <w:r w:rsidR="0085107A" w:rsidRPr="009A501D">
        <w:rPr>
          <w:rFonts w:ascii="Century Gothic" w:hAnsi="Century Gothic" w:cs="Calibri"/>
          <w:i/>
          <w:iCs/>
          <w:color w:val="000000"/>
          <w:sz w:val="19"/>
          <w:szCs w:val="19"/>
        </w:rPr>
        <w:t>tasa de imputación por unidad</w:t>
      </w:r>
      <w:r w:rsidR="0085107A" w:rsidRPr="009A501D">
        <w:rPr>
          <w:rFonts w:ascii="Century Gothic" w:hAnsi="Century Gothic" w:cs="Calibri"/>
          <w:color w:val="000000"/>
          <w:sz w:val="19"/>
          <w:szCs w:val="19"/>
        </w:rPr>
        <w:t xml:space="preserve"> de 19%</w:t>
      </w:r>
      <w:r w:rsidR="005E1D47" w:rsidRPr="009A501D">
        <w:rPr>
          <w:rFonts w:ascii="Century Gothic" w:hAnsi="Century Gothic" w:cs="Calibri"/>
          <w:color w:val="000000"/>
          <w:sz w:val="19"/>
          <w:szCs w:val="19"/>
        </w:rPr>
        <w:t xml:space="preserve"> y</w:t>
      </w:r>
      <w:r w:rsidR="00580B27" w:rsidRPr="009A501D">
        <w:rPr>
          <w:rFonts w:ascii="Century Gothic" w:hAnsi="Century Gothic" w:cs="Calibri"/>
          <w:color w:val="000000"/>
          <w:sz w:val="19"/>
          <w:szCs w:val="19"/>
        </w:rPr>
        <w:t>,</w:t>
      </w:r>
      <w:r w:rsidR="005E1D47" w:rsidRPr="009A501D">
        <w:rPr>
          <w:rFonts w:ascii="Century Gothic" w:hAnsi="Century Gothic" w:cs="Calibri"/>
          <w:color w:val="000000"/>
          <w:sz w:val="19"/>
          <w:szCs w:val="19"/>
        </w:rPr>
        <w:t xml:space="preserve"> por </w:t>
      </w:r>
      <w:r w:rsidR="00077063" w:rsidRPr="009A501D">
        <w:rPr>
          <w:rFonts w:ascii="Century Gothic" w:hAnsi="Century Gothic" w:cs="Calibri"/>
          <w:color w:val="000000"/>
          <w:sz w:val="19"/>
          <w:szCs w:val="19"/>
        </w:rPr>
        <w:t>tanto, una</w:t>
      </w:r>
      <w:r w:rsidR="0085107A" w:rsidRPr="009A501D">
        <w:rPr>
          <w:rFonts w:ascii="Century Gothic" w:hAnsi="Century Gothic" w:cs="Calibri"/>
          <w:color w:val="000000"/>
          <w:sz w:val="19"/>
          <w:szCs w:val="19"/>
        </w:rPr>
        <w:t xml:space="preserve"> </w:t>
      </w:r>
      <w:r w:rsidR="0085107A" w:rsidRPr="009A501D">
        <w:rPr>
          <w:rFonts w:ascii="Century Gothic" w:hAnsi="Century Gothic" w:cs="Calibri"/>
          <w:i/>
          <w:iCs/>
          <w:color w:val="000000"/>
          <w:sz w:val="19"/>
          <w:szCs w:val="19"/>
        </w:rPr>
        <w:t>tasa de no respuesta después de imputación por unidad</w:t>
      </w:r>
      <w:r w:rsidR="0085107A" w:rsidRPr="009A501D">
        <w:rPr>
          <w:rFonts w:ascii="Century Gothic" w:hAnsi="Century Gothic" w:cs="Calibri"/>
          <w:color w:val="000000"/>
          <w:sz w:val="19"/>
          <w:szCs w:val="19"/>
        </w:rPr>
        <w:t xml:space="preserve"> de 4%.</w:t>
      </w:r>
    </w:p>
    <w:p w14:paraId="32B0733D" w14:textId="180EC876" w:rsidR="00C90CD2" w:rsidRPr="009A501D" w:rsidRDefault="00C90CD2" w:rsidP="00664A1D">
      <w:pPr>
        <w:spacing w:before="240"/>
        <w:jc w:val="center"/>
        <w:rPr>
          <w:rFonts w:ascii="Century Gothic" w:hAnsi="Century Gothic"/>
        </w:rPr>
      </w:pPr>
      <w:r w:rsidRPr="009A501D">
        <w:rPr>
          <w:rFonts w:ascii="Century Gothic" w:hAnsi="Century Gothic"/>
          <w:b/>
          <w:sz w:val="19"/>
          <w:szCs w:val="19"/>
        </w:rPr>
        <w:t>III.</w:t>
      </w:r>
      <w:r w:rsidR="009B3A86" w:rsidRPr="009A501D">
        <w:rPr>
          <w:rFonts w:ascii="Century Gothic" w:hAnsi="Century Gothic"/>
          <w:b/>
          <w:sz w:val="19"/>
          <w:szCs w:val="19"/>
        </w:rPr>
        <w:t>5</w:t>
      </w:r>
      <w:r w:rsidRPr="009A501D">
        <w:rPr>
          <w:rFonts w:ascii="Century Gothic" w:hAnsi="Century Gothic"/>
          <w:b/>
          <w:sz w:val="19"/>
          <w:szCs w:val="19"/>
        </w:rPr>
        <w:t>.</w:t>
      </w:r>
      <w:r w:rsidR="009B3A86" w:rsidRPr="009A501D">
        <w:rPr>
          <w:rFonts w:ascii="Century Gothic" w:hAnsi="Century Gothic"/>
          <w:b/>
          <w:sz w:val="19"/>
          <w:szCs w:val="19"/>
        </w:rPr>
        <w:t>B.</w:t>
      </w:r>
      <w:r w:rsidRPr="009A501D">
        <w:rPr>
          <w:rFonts w:ascii="Century Gothic" w:hAnsi="Century Gothic"/>
          <w:b/>
          <w:sz w:val="19"/>
          <w:szCs w:val="19"/>
        </w:rPr>
        <w:t>1 Resultados generales de los indicadores de precisión para censos</w:t>
      </w:r>
    </w:p>
    <w:tbl>
      <w:tblPr>
        <w:tblW w:w="892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521"/>
        <w:gridCol w:w="1129"/>
        <w:gridCol w:w="1276"/>
      </w:tblGrid>
      <w:tr w:rsidR="00C90CD2" w:rsidRPr="009A501D" w14:paraId="342F8D52" w14:textId="77777777" w:rsidTr="00460BCB">
        <w:trPr>
          <w:trHeight w:val="284"/>
          <w:tblHeader/>
          <w:jc w:val="center"/>
        </w:trPr>
        <w:tc>
          <w:tcPr>
            <w:tcW w:w="6521" w:type="dxa"/>
            <w:shd w:val="clear" w:color="000000" w:fill="002060"/>
            <w:vAlign w:val="center"/>
            <w:hideMark/>
          </w:tcPr>
          <w:p w14:paraId="3641C839" w14:textId="77777777" w:rsidR="00C90CD2" w:rsidRPr="009A501D" w:rsidRDefault="00C90CD2" w:rsidP="00664A1D">
            <w:pPr>
              <w:spacing w:after="0"/>
              <w:contextualSpacing/>
              <w:jc w:val="center"/>
              <w:rPr>
                <w:rFonts w:ascii="Century Gothic" w:hAnsi="Century Gothic" w:cs="Calibri"/>
                <w:b/>
                <w:bCs/>
                <w:color w:val="FFFFFF"/>
                <w:sz w:val="16"/>
                <w:szCs w:val="16"/>
              </w:rPr>
            </w:pPr>
          </w:p>
        </w:tc>
        <w:tc>
          <w:tcPr>
            <w:tcW w:w="1129" w:type="dxa"/>
            <w:shd w:val="clear" w:color="000000" w:fill="002060"/>
            <w:vAlign w:val="center"/>
          </w:tcPr>
          <w:p w14:paraId="14AAFD1D" w14:textId="77777777" w:rsidR="00C90CD2" w:rsidRPr="009A501D" w:rsidRDefault="00C90CD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2021</w:t>
            </w:r>
          </w:p>
        </w:tc>
        <w:tc>
          <w:tcPr>
            <w:tcW w:w="1276" w:type="dxa"/>
            <w:shd w:val="clear" w:color="000000" w:fill="002060"/>
            <w:vAlign w:val="center"/>
          </w:tcPr>
          <w:p w14:paraId="7EBD032B" w14:textId="77777777" w:rsidR="00C90CD2" w:rsidRPr="009A501D" w:rsidRDefault="00C90CD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2022</w:t>
            </w:r>
          </w:p>
        </w:tc>
      </w:tr>
      <w:tr w:rsidR="00C90CD2" w:rsidRPr="009A501D" w14:paraId="380EB261" w14:textId="77777777" w:rsidTr="00460BCB">
        <w:trPr>
          <w:trHeight w:val="284"/>
          <w:jc w:val="center"/>
        </w:trPr>
        <w:tc>
          <w:tcPr>
            <w:tcW w:w="6521" w:type="dxa"/>
            <w:shd w:val="clear" w:color="auto" w:fill="auto"/>
            <w:noWrap/>
            <w:vAlign w:val="center"/>
          </w:tcPr>
          <w:p w14:paraId="1F4D50A4" w14:textId="77777777" w:rsidR="00C90CD2" w:rsidRPr="009A501D" w:rsidRDefault="00C90CD2" w:rsidP="00664A1D">
            <w:pPr>
              <w:spacing w:after="0"/>
              <w:ind w:left="142"/>
              <w:jc w:val="both"/>
              <w:rPr>
                <w:rFonts w:ascii="Century Gothic" w:hAnsi="Century Gothic" w:cs="Calibri"/>
                <w:sz w:val="16"/>
                <w:szCs w:val="16"/>
              </w:rPr>
            </w:pPr>
            <w:r w:rsidRPr="009A501D">
              <w:rPr>
                <w:rFonts w:ascii="Century Gothic" w:hAnsi="Century Gothic"/>
                <w:sz w:val="16"/>
                <w:szCs w:val="16"/>
              </w:rPr>
              <w:t>Promedio de las tasas de no respuesta antes de imputación por unidad</w:t>
            </w:r>
          </w:p>
        </w:tc>
        <w:tc>
          <w:tcPr>
            <w:tcW w:w="1129" w:type="dxa"/>
            <w:shd w:val="clear" w:color="auto" w:fill="auto"/>
            <w:vAlign w:val="center"/>
          </w:tcPr>
          <w:p w14:paraId="741B72D9" w14:textId="77777777" w:rsidR="00C90CD2" w:rsidRPr="009A501D" w:rsidRDefault="00C90CD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276" w:type="dxa"/>
            <w:shd w:val="clear" w:color="auto" w:fill="auto"/>
            <w:vAlign w:val="center"/>
          </w:tcPr>
          <w:p w14:paraId="5C11F5C7"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22</w:t>
            </w:r>
          </w:p>
        </w:tc>
      </w:tr>
      <w:tr w:rsidR="00C90CD2" w:rsidRPr="009A501D" w14:paraId="0133394A" w14:textId="77777777" w:rsidTr="00664A1D">
        <w:trPr>
          <w:trHeight w:val="284"/>
          <w:jc w:val="center"/>
        </w:trPr>
        <w:tc>
          <w:tcPr>
            <w:tcW w:w="6521" w:type="dxa"/>
            <w:shd w:val="clear" w:color="auto" w:fill="F2F2F2" w:themeFill="background1" w:themeFillShade="F2"/>
            <w:noWrap/>
            <w:vAlign w:val="center"/>
          </w:tcPr>
          <w:p w14:paraId="26DDF9F9" w14:textId="77777777" w:rsidR="00C90CD2" w:rsidRPr="009A501D" w:rsidRDefault="00C90CD2" w:rsidP="00664A1D">
            <w:pPr>
              <w:spacing w:after="0"/>
              <w:ind w:left="142"/>
              <w:jc w:val="both"/>
              <w:rPr>
                <w:rFonts w:ascii="Century Gothic" w:hAnsi="Century Gothic"/>
                <w:sz w:val="16"/>
                <w:szCs w:val="16"/>
              </w:rPr>
            </w:pPr>
            <w:r w:rsidRPr="009A501D">
              <w:rPr>
                <w:rFonts w:ascii="Century Gothic" w:hAnsi="Century Gothic"/>
                <w:sz w:val="16"/>
                <w:szCs w:val="16"/>
              </w:rPr>
              <w:t>Promedio de las tasas de imputación por unidad</w:t>
            </w:r>
          </w:p>
        </w:tc>
        <w:tc>
          <w:tcPr>
            <w:tcW w:w="1129" w:type="dxa"/>
            <w:shd w:val="clear" w:color="auto" w:fill="F2F2F2" w:themeFill="background1" w:themeFillShade="F2"/>
            <w:vAlign w:val="center"/>
          </w:tcPr>
          <w:p w14:paraId="2CCB8AEB"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w:t>
            </w:r>
          </w:p>
        </w:tc>
        <w:tc>
          <w:tcPr>
            <w:tcW w:w="1276" w:type="dxa"/>
            <w:shd w:val="clear" w:color="auto" w:fill="F2F2F2" w:themeFill="background1" w:themeFillShade="F2"/>
            <w:vAlign w:val="center"/>
          </w:tcPr>
          <w:p w14:paraId="179D1B76"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19</w:t>
            </w:r>
          </w:p>
        </w:tc>
      </w:tr>
      <w:tr w:rsidR="00C90CD2" w:rsidRPr="009A501D" w14:paraId="0B4C68C5" w14:textId="77777777" w:rsidTr="00460BCB">
        <w:trPr>
          <w:trHeight w:val="284"/>
          <w:jc w:val="center"/>
        </w:trPr>
        <w:tc>
          <w:tcPr>
            <w:tcW w:w="6521" w:type="dxa"/>
            <w:shd w:val="clear" w:color="auto" w:fill="auto"/>
            <w:noWrap/>
            <w:vAlign w:val="center"/>
          </w:tcPr>
          <w:p w14:paraId="252980EF" w14:textId="77777777" w:rsidR="00C90CD2" w:rsidRPr="009A501D" w:rsidRDefault="00C90CD2" w:rsidP="00664A1D">
            <w:pPr>
              <w:spacing w:after="0"/>
              <w:ind w:left="142"/>
              <w:jc w:val="both"/>
              <w:rPr>
                <w:rFonts w:ascii="Century Gothic" w:hAnsi="Century Gothic"/>
                <w:sz w:val="16"/>
                <w:szCs w:val="16"/>
              </w:rPr>
            </w:pPr>
            <w:r w:rsidRPr="009A501D">
              <w:rPr>
                <w:rFonts w:ascii="Century Gothic" w:hAnsi="Century Gothic"/>
                <w:sz w:val="16"/>
                <w:szCs w:val="16"/>
              </w:rPr>
              <w:t>Promedio de las tasas de no respuesta después de imputación por unidad</w:t>
            </w:r>
          </w:p>
        </w:tc>
        <w:tc>
          <w:tcPr>
            <w:tcW w:w="1129" w:type="dxa"/>
            <w:shd w:val="clear" w:color="auto" w:fill="auto"/>
            <w:vAlign w:val="center"/>
          </w:tcPr>
          <w:p w14:paraId="44441B61"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w:t>
            </w:r>
          </w:p>
        </w:tc>
        <w:tc>
          <w:tcPr>
            <w:tcW w:w="1276" w:type="dxa"/>
            <w:shd w:val="clear" w:color="auto" w:fill="auto"/>
            <w:vAlign w:val="center"/>
          </w:tcPr>
          <w:p w14:paraId="03DB3351"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4</w:t>
            </w:r>
          </w:p>
        </w:tc>
      </w:tr>
      <w:tr w:rsidR="00C90CD2" w:rsidRPr="009A501D" w14:paraId="2CEEE5CB" w14:textId="77777777" w:rsidTr="00664A1D">
        <w:trPr>
          <w:trHeight w:val="284"/>
          <w:jc w:val="center"/>
        </w:trPr>
        <w:tc>
          <w:tcPr>
            <w:tcW w:w="6521" w:type="dxa"/>
            <w:shd w:val="clear" w:color="auto" w:fill="F2F2F2" w:themeFill="background1" w:themeFillShade="F2"/>
            <w:noWrap/>
            <w:vAlign w:val="center"/>
          </w:tcPr>
          <w:p w14:paraId="0D5C05D7" w14:textId="77777777" w:rsidR="00C90CD2" w:rsidRPr="009A501D" w:rsidRDefault="00C90CD2" w:rsidP="00664A1D">
            <w:pPr>
              <w:spacing w:after="0"/>
              <w:ind w:left="142"/>
              <w:jc w:val="both"/>
              <w:rPr>
                <w:rFonts w:ascii="Century Gothic" w:hAnsi="Century Gothic"/>
                <w:sz w:val="16"/>
                <w:szCs w:val="16"/>
              </w:rPr>
            </w:pPr>
            <w:r w:rsidRPr="009A501D">
              <w:rPr>
                <w:rFonts w:ascii="Century Gothic" w:hAnsi="Century Gothic"/>
                <w:sz w:val="16"/>
                <w:szCs w:val="16"/>
              </w:rPr>
              <w:t>Promedio de las tasas de no respuesta a nivel variable</w:t>
            </w:r>
          </w:p>
        </w:tc>
        <w:tc>
          <w:tcPr>
            <w:tcW w:w="1129" w:type="dxa"/>
            <w:shd w:val="clear" w:color="auto" w:fill="F2F2F2" w:themeFill="background1" w:themeFillShade="F2"/>
            <w:vAlign w:val="center"/>
          </w:tcPr>
          <w:p w14:paraId="1E58CC65"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0%</w:t>
            </w:r>
          </w:p>
        </w:tc>
        <w:tc>
          <w:tcPr>
            <w:tcW w:w="1276" w:type="dxa"/>
            <w:shd w:val="clear" w:color="auto" w:fill="F2F2F2" w:themeFill="background1" w:themeFillShade="F2"/>
            <w:vAlign w:val="center"/>
          </w:tcPr>
          <w:p w14:paraId="4FA5F683" w14:textId="77777777" w:rsidR="00C90CD2" w:rsidRPr="009A501D" w:rsidRDefault="00C90CD2" w:rsidP="00664A1D">
            <w:pPr>
              <w:spacing w:after="0"/>
              <w:contextualSpacing/>
              <w:jc w:val="center"/>
              <w:rPr>
                <w:rFonts w:ascii="Century Gothic" w:hAnsi="Century Gothic"/>
                <w:sz w:val="16"/>
                <w:szCs w:val="16"/>
              </w:rPr>
            </w:pPr>
            <w:r w:rsidRPr="009A501D">
              <w:rPr>
                <w:rFonts w:ascii="Century Gothic" w:hAnsi="Century Gothic"/>
                <w:sz w:val="16"/>
                <w:szCs w:val="16"/>
              </w:rPr>
              <w:t>0%</w:t>
            </w:r>
          </w:p>
        </w:tc>
      </w:tr>
    </w:tbl>
    <w:p w14:paraId="4033C3D9" w14:textId="4BE0EEE1" w:rsidR="00840A53" w:rsidRPr="009A501D" w:rsidRDefault="00840A53" w:rsidP="007A4B1D">
      <w:pPr>
        <w:pStyle w:val="Ttulo3"/>
        <w:spacing w:before="240"/>
        <w:rPr>
          <w:rFonts w:ascii="Century Gothic" w:eastAsiaTheme="minorHAnsi" w:hAnsi="Century Gothic" w:cstheme="minorBidi"/>
          <w:bCs/>
          <w:color w:val="0079BF"/>
        </w:rPr>
      </w:pPr>
      <w:bookmarkStart w:id="19" w:name="_Toc131161804"/>
      <w:r w:rsidRPr="009A501D">
        <w:rPr>
          <w:rFonts w:ascii="Century Gothic" w:hAnsi="Century Gothic"/>
          <w:color w:val="0079BF"/>
        </w:rPr>
        <w:t xml:space="preserve">III.5.C. Indicadores de precisión de </w:t>
      </w:r>
      <w:r w:rsidR="00931152" w:rsidRPr="009A501D">
        <w:rPr>
          <w:rFonts w:ascii="Century Gothic" w:hAnsi="Century Gothic"/>
          <w:color w:val="0079BF"/>
        </w:rPr>
        <w:t>encuestas</w:t>
      </w:r>
      <w:bookmarkEnd w:id="19"/>
      <w:r w:rsidRPr="009A501D">
        <w:rPr>
          <w:rFonts w:ascii="Century Gothic" w:eastAsiaTheme="minorHAnsi" w:hAnsi="Century Gothic" w:cstheme="minorBidi"/>
          <w:bCs/>
          <w:color w:val="0079BF"/>
        </w:rPr>
        <w:t xml:space="preserve"> </w:t>
      </w:r>
    </w:p>
    <w:p w14:paraId="4C21B778" w14:textId="33DB8A56" w:rsidR="00077063" w:rsidRPr="009A501D" w:rsidRDefault="00931152"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En 2017 y 2018 el Comité</w:t>
      </w:r>
      <w:r w:rsidR="00DC2952" w:rsidRPr="009A501D">
        <w:rPr>
          <w:rStyle w:val="Refdenotaalpie"/>
          <w:rFonts w:ascii="Century Gothic" w:hAnsi="Century Gothic" w:cstheme="minorHAnsi"/>
          <w:sz w:val="19"/>
          <w:szCs w:val="19"/>
        </w:rPr>
        <w:footnoteReference w:id="12"/>
      </w:r>
      <w:r w:rsidRPr="009A501D">
        <w:rPr>
          <w:rFonts w:ascii="Century Gothic" w:hAnsi="Century Gothic" w:cstheme="minorHAnsi"/>
          <w:sz w:val="19"/>
          <w:szCs w:val="19"/>
        </w:rPr>
        <w:t xml:space="preserve"> aprobó nueve indicadores </w:t>
      </w:r>
      <w:r w:rsidR="00A24966" w:rsidRPr="009A501D">
        <w:rPr>
          <w:rFonts w:ascii="Century Gothic" w:hAnsi="Century Gothic" w:cstheme="minorHAnsi"/>
          <w:sz w:val="19"/>
          <w:szCs w:val="19"/>
        </w:rPr>
        <w:t>de uso externo e interno</w:t>
      </w:r>
      <w:r w:rsidR="00077063" w:rsidRPr="009A501D">
        <w:rPr>
          <w:rFonts w:ascii="Century Gothic" w:hAnsi="Century Gothic" w:cstheme="minorHAnsi"/>
          <w:sz w:val="19"/>
          <w:szCs w:val="19"/>
        </w:rPr>
        <w:t xml:space="preserve"> </w:t>
      </w:r>
      <w:r w:rsidRPr="009A501D">
        <w:rPr>
          <w:rFonts w:ascii="Century Gothic" w:hAnsi="Century Gothic" w:cstheme="minorHAnsi"/>
          <w:sz w:val="19"/>
          <w:szCs w:val="19"/>
        </w:rPr>
        <w:t>para medir la precisión en encuestas</w:t>
      </w:r>
      <w:r w:rsidR="009D67D3" w:rsidRPr="009A501D">
        <w:rPr>
          <w:rFonts w:ascii="Century Gothic" w:hAnsi="Century Gothic" w:cstheme="minorHAnsi"/>
          <w:sz w:val="19"/>
          <w:szCs w:val="19"/>
        </w:rPr>
        <w:t>, a</w:t>
      </w:r>
      <w:r w:rsidRPr="009A501D">
        <w:rPr>
          <w:rFonts w:ascii="Century Gothic" w:hAnsi="Century Gothic" w:cstheme="minorHAnsi"/>
          <w:sz w:val="19"/>
          <w:szCs w:val="19"/>
        </w:rPr>
        <w:t xml:space="preserve">mbos deben reportarse en los metadatos de los </w:t>
      </w:r>
      <w:r w:rsidR="00FB00F6" w:rsidRPr="009A501D">
        <w:rPr>
          <w:rFonts w:ascii="Century Gothic" w:hAnsi="Century Gothic" w:cstheme="minorHAnsi"/>
          <w:sz w:val="19"/>
          <w:szCs w:val="19"/>
        </w:rPr>
        <w:t>procesos de producción</w:t>
      </w:r>
      <w:r w:rsidRPr="009A501D">
        <w:rPr>
          <w:rFonts w:ascii="Century Gothic" w:hAnsi="Century Gothic" w:cstheme="minorHAnsi"/>
          <w:sz w:val="19"/>
          <w:szCs w:val="19"/>
        </w:rPr>
        <w:t xml:space="preserve"> de información, </w:t>
      </w:r>
      <w:r w:rsidR="000514C3" w:rsidRPr="009A501D">
        <w:rPr>
          <w:rFonts w:ascii="Century Gothic" w:hAnsi="Century Gothic" w:cstheme="minorHAnsi"/>
          <w:sz w:val="19"/>
          <w:szCs w:val="19"/>
        </w:rPr>
        <w:t>sin embargo,</w:t>
      </w:r>
      <w:r w:rsidR="00537594" w:rsidRPr="009A501D">
        <w:rPr>
          <w:rFonts w:ascii="Century Gothic" w:hAnsi="Century Gothic" w:cstheme="minorHAnsi"/>
          <w:sz w:val="19"/>
          <w:szCs w:val="19"/>
        </w:rPr>
        <w:t xml:space="preserve"> </w:t>
      </w:r>
      <w:r w:rsidR="000514C3" w:rsidRPr="009A501D">
        <w:rPr>
          <w:rFonts w:ascii="Century Gothic" w:hAnsi="Century Gothic" w:cstheme="minorHAnsi"/>
          <w:sz w:val="19"/>
          <w:szCs w:val="19"/>
        </w:rPr>
        <w:t xml:space="preserve">solo están disponibles </w:t>
      </w:r>
      <w:r w:rsidRPr="009A501D">
        <w:rPr>
          <w:rFonts w:ascii="Century Gothic" w:hAnsi="Century Gothic" w:cstheme="minorHAnsi"/>
          <w:sz w:val="19"/>
          <w:szCs w:val="19"/>
        </w:rPr>
        <w:t>los de uso externo</w:t>
      </w:r>
      <w:r w:rsidR="00B64BCC" w:rsidRPr="009A501D">
        <w:rPr>
          <w:rFonts w:ascii="Century Gothic" w:hAnsi="Century Gothic" w:cstheme="minorHAnsi"/>
          <w:sz w:val="19"/>
          <w:szCs w:val="19"/>
        </w:rPr>
        <w:t xml:space="preserve"> </w:t>
      </w:r>
      <w:r w:rsidRPr="009A501D">
        <w:rPr>
          <w:rFonts w:ascii="Century Gothic" w:hAnsi="Century Gothic" w:cstheme="minorHAnsi"/>
          <w:sz w:val="19"/>
          <w:szCs w:val="19"/>
        </w:rPr>
        <w:t xml:space="preserve">para </w:t>
      </w:r>
      <w:r w:rsidR="00077063" w:rsidRPr="009A501D">
        <w:rPr>
          <w:rFonts w:ascii="Century Gothic" w:hAnsi="Century Gothic" w:cstheme="minorHAnsi"/>
          <w:sz w:val="19"/>
          <w:szCs w:val="19"/>
        </w:rPr>
        <w:t xml:space="preserve">las </w:t>
      </w:r>
      <w:r w:rsidR="0087711F" w:rsidRPr="009A501D">
        <w:rPr>
          <w:rFonts w:ascii="Century Gothic" w:hAnsi="Century Gothic" w:cstheme="minorHAnsi"/>
          <w:sz w:val="19"/>
          <w:szCs w:val="19"/>
        </w:rPr>
        <w:t>personas</w:t>
      </w:r>
      <w:r w:rsidRPr="009A501D">
        <w:rPr>
          <w:rFonts w:ascii="Century Gothic" w:hAnsi="Century Gothic" w:cstheme="minorHAnsi"/>
          <w:sz w:val="19"/>
          <w:szCs w:val="19"/>
        </w:rPr>
        <w:t xml:space="preserve"> usuari</w:t>
      </w:r>
      <w:r w:rsidR="0087711F" w:rsidRPr="009A501D">
        <w:rPr>
          <w:rFonts w:ascii="Century Gothic" w:hAnsi="Century Gothic" w:cstheme="minorHAnsi"/>
          <w:sz w:val="19"/>
          <w:szCs w:val="19"/>
        </w:rPr>
        <w:t>a</w:t>
      </w:r>
      <w:r w:rsidRPr="009A501D">
        <w:rPr>
          <w:rFonts w:ascii="Century Gothic" w:hAnsi="Century Gothic" w:cstheme="minorHAnsi"/>
          <w:sz w:val="19"/>
          <w:szCs w:val="19"/>
        </w:rPr>
        <w:t>s en la página del INEGI</w:t>
      </w:r>
      <w:r w:rsidR="009D67D3" w:rsidRPr="009A501D">
        <w:rPr>
          <w:rFonts w:ascii="Century Gothic" w:hAnsi="Century Gothic" w:cstheme="minorHAnsi"/>
          <w:sz w:val="19"/>
          <w:szCs w:val="19"/>
        </w:rPr>
        <w:t>.</w:t>
      </w:r>
    </w:p>
    <w:p w14:paraId="67DC519D" w14:textId="0A2D1E7F" w:rsidR="00931152" w:rsidRPr="009A501D" w:rsidRDefault="00931152"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t>III.</w:t>
      </w:r>
      <w:r w:rsidR="009B3A86" w:rsidRPr="009A501D">
        <w:rPr>
          <w:rFonts w:ascii="Century Gothic" w:hAnsi="Century Gothic" w:cstheme="majorHAnsi"/>
          <w:b/>
          <w:sz w:val="19"/>
          <w:szCs w:val="19"/>
        </w:rPr>
        <w:t>5.C</w:t>
      </w:r>
      <w:r w:rsidRPr="009A501D">
        <w:rPr>
          <w:rFonts w:ascii="Century Gothic" w:hAnsi="Century Gothic" w:cstheme="majorHAnsi"/>
          <w:b/>
          <w:sz w:val="19"/>
          <w:szCs w:val="19"/>
        </w:rPr>
        <w:t xml:space="preserve">.1 Indicadores de precisión y confiabilidad estadística aprobados </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4407"/>
        <w:gridCol w:w="6383"/>
      </w:tblGrid>
      <w:tr w:rsidR="00931152" w:rsidRPr="009A501D" w14:paraId="67DC27CD" w14:textId="77777777" w:rsidTr="00460BCB">
        <w:trPr>
          <w:trHeight w:val="284"/>
          <w:tblHeader/>
          <w:jc w:val="center"/>
        </w:trPr>
        <w:tc>
          <w:tcPr>
            <w:tcW w:w="4825" w:type="dxa"/>
            <w:shd w:val="clear" w:color="auto" w:fill="1F3864" w:themeFill="accent5" w:themeFillShade="80"/>
          </w:tcPr>
          <w:p w14:paraId="0A33DE49" w14:textId="77777777" w:rsidR="00931152" w:rsidRPr="009A501D" w:rsidRDefault="00931152" w:rsidP="00664A1D">
            <w:pPr>
              <w:spacing w:after="0"/>
              <w:ind w:left="357"/>
              <w:jc w:val="center"/>
              <w:rPr>
                <w:rFonts w:ascii="Century Gothic" w:eastAsia="Calibri" w:hAnsi="Century Gothic"/>
                <w:color w:val="FFFFFF" w:themeColor="background1"/>
                <w:sz w:val="16"/>
                <w:szCs w:val="20"/>
              </w:rPr>
            </w:pPr>
            <w:r w:rsidRPr="009A501D">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02E35FBB" w14:textId="77777777" w:rsidR="00931152" w:rsidRPr="009A501D" w:rsidRDefault="00931152" w:rsidP="00664A1D">
            <w:pPr>
              <w:spacing w:after="0"/>
              <w:ind w:left="357"/>
              <w:jc w:val="center"/>
              <w:rPr>
                <w:rFonts w:ascii="Century Gothic" w:eastAsia="Calibri" w:hAnsi="Century Gothic"/>
                <w:color w:val="FFFFFF" w:themeColor="background1"/>
                <w:sz w:val="16"/>
                <w:szCs w:val="20"/>
              </w:rPr>
            </w:pPr>
            <w:r w:rsidRPr="009A501D">
              <w:rPr>
                <w:rFonts w:ascii="Century Gothic" w:eastAsia="Calibri" w:hAnsi="Century Gothic"/>
                <w:b/>
                <w:bCs/>
                <w:color w:val="FFFFFF" w:themeColor="background1"/>
                <w:sz w:val="16"/>
                <w:szCs w:val="20"/>
              </w:rPr>
              <w:t>Uso Interno:</w:t>
            </w:r>
          </w:p>
        </w:tc>
      </w:tr>
      <w:tr w:rsidR="00931152" w:rsidRPr="009A501D" w14:paraId="0BE6B427" w14:textId="77777777" w:rsidTr="00460BCB">
        <w:trPr>
          <w:trHeight w:val="284"/>
          <w:jc w:val="center"/>
        </w:trPr>
        <w:tc>
          <w:tcPr>
            <w:tcW w:w="4825" w:type="dxa"/>
            <w:shd w:val="clear" w:color="auto" w:fill="D9D9D9" w:themeFill="background1" w:themeFillShade="D9"/>
            <w:vAlign w:val="center"/>
          </w:tcPr>
          <w:p w14:paraId="03EFDD63" w14:textId="77777777" w:rsidR="00931152" w:rsidRPr="009A501D" w:rsidRDefault="00931152" w:rsidP="00664A1D">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Coeficiente de Variación (CV)</w:t>
            </w:r>
          </w:p>
          <w:p w14:paraId="240CD763" w14:textId="77777777" w:rsidR="00931152" w:rsidRPr="009A501D" w:rsidRDefault="00931152" w:rsidP="00664A1D">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Error Estándar (SE)</w:t>
            </w:r>
          </w:p>
          <w:p w14:paraId="1BAFC231" w14:textId="77777777" w:rsidR="00931152" w:rsidRPr="009A501D" w:rsidRDefault="00931152" w:rsidP="00664A1D">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 xml:space="preserve">Intervalos de confianza (IC) </w:t>
            </w:r>
          </w:p>
          <w:p w14:paraId="40B98161" w14:textId="77777777" w:rsidR="00931152" w:rsidRPr="009A501D" w:rsidRDefault="00931152" w:rsidP="00664A1D">
            <w:pPr>
              <w:numPr>
                <w:ilvl w:val="0"/>
                <w:numId w:val="2"/>
              </w:numPr>
              <w:tabs>
                <w:tab w:val="clear" w:pos="720"/>
                <w:tab w:val="num" w:pos="317"/>
              </w:tabs>
              <w:spacing w:after="0" w:line="240" w:lineRule="auto"/>
              <w:ind w:left="317" w:hanging="283"/>
              <w:rPr>
                <w:rFonts w:ascii="Century Gothic" w:eastAsia="Calibri" w:hAnsi="Century Gothic"/>
                <w:sz w:val="16"/>
                <w:szCs w:val="20"/>
              </w:rPr>
            </w:pPr>
            <w:r w:rsidRPr="009A501D">
              <w:rPr>
                <w:rFonts w:ascii="Century Gothic" w:eastAsia="Calibri" w:hAnsi="Century Gothic"/>
                <w:sz w:val="16"/>
                <w:szCs w:val="20"/>
              </w:rPr>
              <w:t>Cobertura de la variable de diseño (CVD)</w:t>
            </w:r>
            <w:r w:rsidRPr="009A501D">
              <w:rPr>
                <w:rFonts w:ascii="Century Gothic" w:eastAsia="Calibri" w:hAnsi="Century Gothic"/>
                <w:sz w:val="16"/>
                <w:szCs w:val="20"/>
              </w:rPr>
              <w:br/>
              <w:t>(sólo para encuestas con muestreo no probabilístico)</w:t>
            </w:r>
          </w:p>
        </w:tc>
        <w:tc>
          <w:tcPr>
            <w:tcW w:w="7082" w:type="dxa"/>
            <w:shd w:val="clear" w:color="auto" w:fill="D9D9D9" w:themeFill="background1" w:themeFillShade="D9"/>
          </w:tcPr>
          <w:p w14:paraId="27A54D31" w14:textId="77777777" w:rsidR="00931152" w:rsidRPr="009A501D" w:rsidRDefault="00931152" w:rsidP="00664A1D">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no respuesta antes de imputación a nivel unidad de observación (TNR_AI)</w:t>
            </w:r>
          </w:p>
          <w:p w14:paraId="0B8F1A4F" w14:textId="77777777" w:rsidR="00931152" w:rsidRPr="009A501D" w:rsidRDefault="00931152" w:rsidP="00664A1D">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cumplimiento de la muestra mínima antes de imputación (TCMM)</w:t>
            </w:r>
          </w:p>
          <w:p w14:paraId="0BF10372" w14:textId="77777777" w:rsidR="00931152" w:rsidRPr="009A501D" w:rsidRDefault="00931152" w:rsidP="00664A1D">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no respuesta después de imputación a nivel unidad de observación (TNR_DI)</w:t>
            </w:r>
          </w:p>
          <w:p w14:paraId="381DEF7A" w14:textId="77777777" w:rsidR="00931152" w:rsidRPr="009A501D" w:rsidRDefault="00931152" w:rsidP="00664A1D">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imputación a nivel unidad de observación (TI)</w:t>
            </w:r>
          </w:p>
          <w:p w14:paraId="6F78E499" w14:textId="77777777" w:rsidR="00931152" w:rsidRPr="009A501D" w:rsidRDefault="00931152" w:rsidP="00664A1D">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 xml:space="preserve">Tasa de </w:t>
            </w:r>
            <w:proofErr w:type="spellStart"/>
            <w:r w:rsidRPr="009A501D">
              <w:rPr>
                <w:rFonts w:ascii="Century Gothic" w:eastAsia="Calibri" w:hAnsi="Century Gothic"/>
                <w:sz w:val="16"/>
                <w:szCs w:val="20"/>
              </w:rPr>
              <w:t>sobrecobertura</w:t>
            </w:r>
            <w:proofErr w:type="spellEnd"/>
            <w:r w:rsidRPr="009A501D">
              <w:rPr>
                <w:rFonts w:ascii="Century Gothic" w:eastAsia="Calibri" w:hAnsi="Century Gothic"/>
                <w:sz w:val="16"/>
                <w:szCs w:val="20"/>
              </w:rPr>
              <w:t xml:space="preserve"> a nivel unidad de observación (TSC)</w:t>
            </w:r>
          </w:p>
        </w:tc>
      </w:tr>
    </w:tbl>
    <w:p w14:paraId="01E256A4" w14:textId="431F2126" w:rsidR="007A4B1D" w:rsidRPr="009A501D" w:rsidRDefault="00931152" w:rsidP="00DC2952">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La estabilidad observada en la </w:t>
      </w:r>
      <w:r w:rsidRPr="009A501D">
        <w:rPr>
          <w:rFonts w:ascii="Century Gothic" w:hAnsi="Century Gothic" w:cstheme="minorHAnsi"/>
          <w:i/>
          <w:iCs/>
          <w:sz w:val="19"/>
          <w:szCs w:val="19"/>
        </w:rPr>
        <w:t>Cobertura de la Variable de Diseño</w:t>
      </w:r>
      <w:r w:rsidRPr="009A501D">
        <w:rPr>
          <w:rFonts w:ascii="Century Gothic" w:hAnsi="Century Gothic" w:cstheme="minorHAnsi"/>
          <w:sz w:val="19"/>
          <w:szCs w:val="19"/>
        </w:rPr>
        <w:t xml:space="preserve"> y los </w:t>
      </w:r>
      <w:r w:rsidRPr="009A501D">
        <w:rPr>
          <w:rFonts w:ascii="Century Gothic" w:hAnsi="Century Gothic" w:cstheme="minorHAnsi"/>
          <w:i/>
          <w:iCs/>
          <w:sz w:val="19"/>
          <w:szCs w:val="19"/>
        </w:rPr>
        <w:t>Coeficientes de Variación</w:t>
      </w:r>
      <w:r w:rsidRPr="009A501D">
        <w:rPr>
          <w:rFonts w:ascii="Century Gothic" w:hAnsi="Century Gothic" w:cstheme="minorHAnsi"/>
          <w:sz w:val="19"/>
          <w:szCs w:val="19"/>
        </w:rPr>
        <w:t xml:space="preserve"> de las encuestas muestra el esfuerzo realizado para que estos indicadores no cayeran, incluso en los años con restricciones operativas impuestas por la pandemia de COVID-19. El porcentaje de dominios de estudio de encuestas no probabilísticas que presentaron alta calidad estadística en </w:t>
      </w:r>
      <w:r w:rsidRPr="009A501D">
        <w:rPr>
          <w:rFonts w:ascii="Century Gothic" w:hAnsi="Century Gothic" w:cstheme="minorHAnsi"/>
          <w:i/>
          <w:iCs/>
          <w:sz w:val="19"/>
          <w:szCs w:val="19"/>
        </w:rPr>
        <w:t>Cobertura de la Variable de Diseño</w:t>
      </w:r>
      <w:r w:rsidRPr="009A501D">
        <w:rPr>
          <w:rFonts w:ascii="Century Gothic" w:hAnsi="Century Gothic" w:cstheme="minorHAnsi"/>
          <w:sz w:val="19"/>
          <w:szCs w:val="19"/>
        </w:rPr>
        <w:t xml:space="preserve"> se ha mantenido en 75% (ver cuadro III.</w:t>
      </w:r>
      <w:r w:rsidR="00DC47C3" w:rsidRPr="009A501D">
        <w:rPr>
          <w:rFonts w:ascii="Century Gothic" w:hAnsi="Century Gothic" w:cstheme="minorHAnsi"/>
          <w:sz w:val="19"/>
          <w:szCs w:val="19"/>
        </w:rPr>
        <w:t>5.C</w:t>
      </w:r>
      <w:r w:rsidRPr="009A501D">
        <w:rPr>
          <w:rFonts w:ascii="Century Gothic" w:hAnsi="Century Gothic" w:cstheme="minorHAnsi"/>
          <w:sz w:val="19"/>
          <w:szCs w:val="19"/>
        </w:rPr>
        <w:t xml:space="preserve">.2), aunque aún mantienen un alto porcentaje de dominios de estudio </w:t>
      </w:r>
      <w:r w:rsidR="003F2341" w:rsidRPr="009A501D">
        <w:rPr>
          <w:rFonts w:ascii="Century Gothic" w:hAnsi="Century Gothic" w:cstheme="minorHAnsi"/>
          <w:sz w:val="19"/>
          <w:szCs w:val="19"/>
        </w:rPr>
        <w:t>con</w:t>
      </w:r>
      <w:r w:rsidRPr="009A501D">
        <w:rPr>
          <w:rFonts w:ascii="Century Gothic" w:hAnsi="Century Gothic" w:cstheme="minorHAnsi"/>
          <w:sz w:val="19"/>
          <w:szCs w:val="19"/>
        </w:rPr>
        <w:t xml:space="preserve"> precisión moderada (ver </w:t>
      </w:r>
      <w:r w:rsidR="001B70E1" w:rsidRPr="009A501D">
        <w:rPr>
          <w:rFonts w:ascii="Century Gothic" w:hAnsi="Century Gothic" w:cstheme="minorHAnsi"/>
          <w:sz w:val="19"/>
          <w:szCs w:val="19"/>
        </w:rPr>
        <w:t>A</w:t>
      </w:r>
      <w:r w:rsidRPr="009A501D">
        <w:rPr>
          <w:rFonts w:ascii="Century Gothic" w:hAnsi="Century Gothic" w:cstheme="minorHAnsi"/>
          <w:sz w:val="19"/>
          <w:szCs w:val="19"/>
        </w:rPr>
        <w:t xml:space="preserve">nexo </w:t>
      </w:r>
      <w:r w:rsidR="00FC24B8" w:rsidRPr="009A501D">
        <w:rPr>
          <w:rFonts w:ascii="Century Gothic" w:hAnsi="Century Gothic" w:cstheme="minorHAnsi"/>
          <w:sz w:val="19"/>
          <w:szCs w:val="19"/>
        </w:rPr>
        <w:t>5</w:t>
      </w:r>
      <w:r w:rsidRPr="009A501D">
        <w:rPr>
          <w:rFonts w:ascii="Century Gothic" w:hAnsi="Century Gothic" w:cstheme="minorHAnsi"/>
          <w:sz w:val="19"/>
          <w:szCs w:val="19"/>
        </w:rPr>
        <w:t>).</w:t>
      </w:r>
    </w:p>
    <w:p w14:paraId="724395D7" w14:textId="1A8EDC70" w:rsidR="00931152" w:rsidRPr="009A501D" w:rsidRDefault="00931152" w:rsidP="00664A1D">
      <w:pPr>
        <w:spacing w:before="240"/>
        <w:jc w:val="center"/>
        <w:rPr>
          <w:rFonts w:ascii="Century Gothic" w:hAnsi="Century Gothic"/>
        </w:rPr>
      </w:pPr>
      <w:r w:rsidRPr="009A501D">
        <w:rPr>
          <w:rFonts w:ascii="Century Gothic" w:hAnsi="Century Gothic"/>
          <w:b/>
          <w:sz w:val="19"/>
          <w:szCs w:val="19"/>
        </w:rPr>
        <w:lastRenderedPageBreak/>
        <w:t>III.</w:t>
      </w:r>
      <w:r w:rsidR="009B3A86" w:rsidRPr="009A501D">
        <w:rPr>
          <w:rFonts w:ascii="Century Gothic" w:hAnsi="Century Gothic"/>
          <w:b/>
          <w:sz w:val="19"/>
          <w:szCs w:val="19"/>
        </w:rPr>
        <w:t>5.C</w:t>
      </w:r>
      <w:r w:rsidRPr="009A501D">
        <w:rPr>
          <w:rFonts w:ascii="Century Gothic" w:hAnsi="Century Gothic"/>
          <w:b/>
          <w:sz w:val="19"/>
          <w:szCs w:val="19"/>
        </w:rPr>
        <w:t>.2 Resultados Generales de la Cobertura de la Variable de Diseño y los Coeficientes de Variación</w:t>
      </w:r>
    </w:p>
    <w:tbl>
      <w:tblPr>
        <w:tblW w:w="1054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222"/>
        <w:gridCol w:w="595"/>
        <w:gridCol w:w="595"/>
        <w:gridCol w:w="595"/>
        <w:gridCol w:w="539"/>
      </w:tblGrid>
      <w:tr w:rsidR="00931152" w:rsidRPr="009A501D" w14:paraId="528DEE01" w14:textId="77777777" w:rsidTr="00460BCB">
        <w:trPr>
          <w:trHeight w:val="284"/>
          <w:tblHeader/>
          <w:jc w:val="center"/>
        </w:trPr>
        <w:tc>
          <w:tcPr>
            <w:tcW w:w="8222" w:type="dxa"/>
            <w:shd w:val="clear" w:color="000000" w:fill="002060"/>
            <w:vAlign w:val="center"/>
            <w:hideMark/>
          </w:tcPr>
          <w:p w14:paraId="25D83E7C" w14:textId="27503A11" w:rsidR="00931152" w:rsidRPr="009A501D" w:rsidRDefault="001B70E1"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Indicador</w:t>
            </w:r>
          </w:p>
        </w:tc>
        <w:tc>
          <w:tcPr>
            <w:tcW w:w="595" w:type="dxa"/>
            <w:shd w:val="clear" w:color="000000" w:fill="002060"/>
            <w:vAlign w:val="center"/>
          </w:tcPr>
          <w:p w14:paraId="73E1EBBE" w14:textId="77777777" w:rsidR="00931152" w:rsidRPr="009A501D" w:rsidRDefault="0093115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2019</w:t>
            </w:r>
          </w:p>
        </w:tc>
        <w:tc>
          <w:tcPr>
            <w:tcW w:w="595" w:type="dxa"/>
            <w:shd w:val="clear" w:color="000000" w:fill="002060"/>
            <w:vAlign w:val="center"/>
          </w:tcPr>
          <w:p w14:paraId="3D1DC9EA" w14:textId="77777777" w:rsidR="00931152" w:rsidRPr="009A501D" w:rsidRDefault="0093115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2020</w:t>
            </w:r>
          </w:p>
        </w:tc>
        <w:tc>
          <w:tcPr>
            <w:tcW w:w="595" w:type="dxa"/>
            <w:shd w:val="clear" w:color="000000" w:fill="002060"/>
            <w:vAlign w:val="center"/>
          </w:tcPr>
          <w:p w14:paraId="3AD7F372" w14:textId="77777777" w:rsidR="00931152" w:rsidRPr="009A501D" w:rsidRDefault="0093115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2021</w:t>
            </w:r>
          </w:p>
        </w:tc>
        <w:tc>
          <w:tcPr>
            <w:tcW w:w="539" w:type="dxa"/>
            <w:shd w:val="clear" w:color="000000" w:fill="002060"/>
            <w:vAlign w:val="center"/>
          </w:tcPr>
          <w:p w14:paraId="09A3234D" w14:textId="77777777" w:rsidR="00931152" w:rsidRPr="009A501D" w:rsidRDefault="00931152" w:rsidP="00664A1D">
            <w:pPr>
              <w:spacing w:after="0"/>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2022</w:t>
            </w:r>
          </w:p>
        </w:tc>
      </w:tr>
      <w:tr w:rsidR="00931152" w:rsidRPr="009A501D" w14:paraId="5D13CA31" w14:textId="77777777" w:rsidTr="00664A1D">
        <w:trPr>
          <w:trHeight w:val="567"/>
          <w:jc w:val="center"/>
        </w:trPr>
        <w:tc>
          <w:tcPr>
            <w:tcW w:w="8222" w:type="dxa"/>
            <w:shd w:val="clear" w:color="auto" w:fill="auto"/>
            <w:noWrap/>
            <w:vAlign w:val="center"/>
          </w:tcPr>
          <w:p w14:paraId="29F07C93" w14:textId="09910B86" w:rsidR="00931152" w:rsidRPr="009A501D" w:rsidRDefault="00931152" w:rsidP="00664A1D">
            <w:pPr>
              <w:spacing w:after="0"/>
              <w:ind w:left="142"/>
              <w:jc w:val="both"/>
              <w:rPr>
                <w:rFonts w:ascii="Century Gothic" w:hAnsi="Century Gothic"/>
                <w:sz w:val="16"/>
                <w:szCs w:val="16"/>
              </w:rPr>
            </w:pPr>
            <w:r w:rsidRPr="009A501D">
              <w:rPr>
                <w:rFonts w:ascii="Century Gothic" w:hAnsi="Century Gothic"/>
                <w:sz w:val="16"/>
                <w:szCs w:val="16"/>
              </w:rPr>
              <w:t>Porcentaje de dominios de estudio de encuestas no probabilísticas que presentaron alta calidad estadística en Cobertura de la Variable de Diseño para los indicadores-objetivo publicados</w:t>
            </w:r>
          </w:p>
        </w:tc>
        <w:tc>
          <w:tcPr>
            <w:tcW w:w="595" w:type="dxa"/>
            <w:shd w:val="clear" w:color="auto" w:fill="auto"/>
            <w:vAlign w:val="center"/>
          </w:tcPr>
          <w:p w14:paraId="09E7CF93" w14:textId="77777777" w:rsidR="00931152" w:rsidRPr="009A501D" w:rsidRDefault="00931152" w:rsidP="00664A1D">
            <w:pPr>
              <w:spacing w:after="0"/>
              <w:contextualSpacing/>
              <w:jc w:val="center"/>
              <w:rPr>
                <w:rFonts w:ascii="Century Gothic" w:hAnsi="Century Gothic"/>
                <w:b/>
                <w:sz w:val="16"/>
                <w:szCs w:val="16"/>
              </w:rPr>
            </w:pPr>
            <w:r w:rsidRPr="009A501D">
              <w:rPr>
                <w:rFonts w:ascii="Century Gothic" w:hAnsi="Century Gothic" w:cs="Calibri"/>
                <w:sz w:val="16"/>
                <w:szCs w:val="16"/>
              </w:rPr>
              <w:t>75%</w:t>
            </w:r>
          </w:p>
        </w:tc>
        <w:tc>
          <w:tcPr>
            <w:tcW w:w="595" w:type="dxa"/>
            <w:shd w:val="clear" w:color="auto" w:fill="auto"/>
            <w:vAlign w:val="center"/>
          </w:tcPr>
          <w:p w14:paraId="1D12E869" w14:textId="77777777" w:rsidR="00931152" w:rsidRPr="009A501D" w:rsidRDefault="00931152" w:rsidP="00664A1D">
            <w:pPr>
              <w:spacing w:after="0"/>
              <w:contextualSpacing/>
              <w:jc w:val="center"/>
              <w:rPr>
                <w:rFonts w:ascii="Century Gothic" w:hAnsi="Century Gothic"/>
                <w:b/>
                <w:sz w:val="16"/>
                <w:szCs w:val="16"/>
              </w:rPr>
            </w:pPr>
            <w:r w:rsidRPr="009A501D">
              <w:rPr>
                <w:rFonts w:ascii="Century Gothic" w:hAnsi="Century Gothic" w:cs="Calibri"/>
                <w:sz w:val="16"/>
                <w:szCs w:val="16"/>
              </w:rPr>
              <w:t>75%</w:t>
            </w:r>
          </w:p>
        </w:tc>
        <w:tc>
          <w:tcPr>
            <w:tcW w:w="595" w:type="dxa"/>
            <w:shd w:val="clear" w:color="auto" w:fill="auto"/>
            <w:vAlign w:val="center"/>
          </w:tcPr>
          <w:p w14:paraId="796ACBD9" w14:textId="77777777" w:rsidR="00931152" w:rsidRPr="009A501D" w:rsidRDefault="00931152" w:rsidP="00664A1D">
            <w:pPr>
              <w:spacing w:after="0"/>
              <w:contextualSpacing/>
              <w:jc w:val="center"/>
              <w:rPr>
                <w:rFonts w:ascii="Century Gothic" w:hAnsi="Century Gothic"/>
                <w:b/>
                <w:sz w:val="16"/>
                <w:szCs w:val="16"/>
              </w:rPr>
            </w:pPr>
            <w:r w:rsidRPr="009A501D">
              <w:rPr>
                <w:rFonts w:ascii="Century Gothic" w:hAnsi="Century Gothic" w:cs="Calibri"/>
                <w:sz w:val="16"/>
                <w:szCs w:val="16"/>
              </w:rPr>
              <w:t>75%</w:t>
            </w:r>
          </w:p>
        </w:tc>
        <w:tc>
          <w:tcPr>
            <w:tcW w:w="539" w:type="dxa"/>
            <w:shd w:val="clear" w:color="auto" w:fill="auto"/>
            <w:vAlign w:val="center"/>
          </w:tcPr>
          <w:p w14:paraId="111B3D85" w14:textId="77777777" w:rsidR="00931152" w:rsidRPr="009A501D" w:rsidRDefault="0093115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75%</w:t>
            </w:r>
          </w:p>
        </w:tc>
      </w:tr>
      <w:tr w:rsidR="00931152" w:rsidRPr="009A501D" w14:paraId="1E57C4D6" w14:textId="77777777" w:rsidTr="00664A1D">
        <w:trPr>
          <w:trHeight w:val="567"/>
          <w:jc w:val="center"/>
        </w:trPr>
        <w:tc>
          <w:tcPr>
            <w:tcW w:w="8222" w:type="dxa"/>
            <w:shd w:val="clear" w:color="auto" w:fill="D9D9D9" w:themeFill="background1" w:themeFillShade="D9"/>
            <w:noWrap/>
            <w:vAlign w:val="center"/>
          </w:tcPr>
          <w:p w14:paraId="5B40A074" w14:textId="77777777" w:rsidR="00931152" w:rsidRPr="009A501D" w:rsidRDefault="00931152" w:rsidP="00664A1D">
            <w:pPr>
              <w:spacing w:after="0"/>
              <w:ind w:left="142"/>
              <w:jc w:val="both"/>
              <w:rPr>
                <w:rFonts w:ascii="Century Gothic" w:hAnsi="Century Gothic" w:cs="Calibri"/>
                <w:sz w:val="16"/>
                <w:szCs w:val="16"/>
              </w:rPr>
            </w:pPr>
            <w:r w:rsidRPr="009A501D">
              <w:rPr>
                <w:rFonts w:ascii="Century Gothic" w:hAnsi="Century Gothic"/>
                <w:sz w:val="16"/>
                <w:szCs w:val="16"/>
              </w:rPr>
              <w:t xml:space="preserve">Porcentaje de dominios de estudio de encuestas probabilísticas que presentaron alta calidad estadística en los Coeficientes de Variación para los indicadores-objetivo publicados </w:t>
            </w:r>
          </w:p>
        </w:tc>
        <w:tc>
          <w:tcPr>
            <w:tcW w:w="595" w:type="dxa"/>
            <w:shd w:val="clear" w:color="auto" w:fill="D9D9D9" w:themeFill="background1" w:themeFillShade="D9"/>
            <w:vAlign w:val="center"/>
          </w:tcPr>
          <w:p w14:paraId="59585622" w14:textId="77777777" w:rsidR="00931152" w:rsidRPr="009A501D" w:rsidRDefault="0093115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90%</w:t>
            </w:r>
          </w:p>
        </w:tc>
        <w:tc>
          <w:tcPr>
            <w:tcW w:w="595" w:type="dxa"/>
            <w:shd w:val="clear" w:color="auto" w:fill="D9D9D9" w:themeFill="background1" w:themeFillShade="D9"/>
            <w:vAlign w:val="center"/>
          </w:tcPr>
          <w:p w14:paraId="2CED47F2" w14:textId="77777777" w:rsidR="00931152" w:rsidRPr="009A501D" w:rsidRDefault="0093115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92%</w:t>
            </w:r>
          </w:p>
        </w:tc>
        <w:tc>
          <w:tcPr>
            <w:tcW w:w="595" w:type="dxa"/>
            <w:shd w:val="clear" w:color="auto" w:fill="D9D9D9" w:themeFill="background1" w:themeFillShade="D9"/>
            <w:vAlign w:val="center"/>
          </w:tcPr>
          <w:p w14:paraId="25EDD07A" w14:textId="77777777" w:rsidR="00931152" w:rsidRPr="009A501D" w:rsidRDefault="0093115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91%</w:t>
            </w:r>
          </w:p>
        </w:tc>
        <w:tc>
          <w:tcPr>
            <w:tcW w:w="539" w:type="dxa"/>
            <w:shd w:val="clear" w:color="auto" w:fill="D9D9D9" w:themeFill="background1" w:themeFillShade="D9"/>
            <w:vAlign w:val="center"/>
          </w:tcPr>
          <w:p w14:paraId="2F63AFB0" w14:textId="77777777" w:rsidR="00931152" w:rsidRPr="009A501D" w:rsidRDefault="00931152" w:rsidP="00664A1D">
            <w:pPr>
              <w:spacing w:after="0"/>
              <w:contextualSpacing/>
              <w:jc w:val="center"/>
              <w:rPr>
                <w:rFonts w:ascii="Century Gothic" w:hAnsi="Century Gothic" w:cs="Calibri"/>
                <w:sz w:val="16"/>
                <w:szCs w:val="16"/>
              </w:rPr>
            </w:pPr>
            <w:r w:rsidRPr="009A501D">
              <w:rPr>
                <w:rFonts w:ascii="Century Gothic" w:hAnsi="Century Gothic" w:cs="Calibri"/>
                <w:sz w:val="16"/>
                <w:szCs w:val="16"/>
              </w:rPr>
              <w:t>89%</w:t>
            </w:r>
          </w:p>
        </w:tc>
      </w:tr>
    </w:tbl>
    <w:p w14:paraId="7D4467B5" w14:textId="3ABC9AFE" w:rsidR="00931152" w:rsidRPr="009A501D" w:rsidRDefault="00931152"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En el caso de las encuestas probabilísticas, el porcentaje total de dominios de estudio que presentaron una alta calidad estadística para los indicadores-objetivo publicados se ha mantenido cercana al 90% a nivel institucional (ver cuadro III.</w:t>
      </w:r>
      <w:r w:rsidR="00DC47C3" w:rsidRPr="009A501D">
        <w:rPr>
          <w:rFonts w:ascii="Century Gothic" w:hAnsi="Century Gothic" w:cstheme="minorHAnsi"/>
          <w:sz w:val="19"/>
          <w:szCs w:val="19"/>
        </w:rPr>
        <w:t>5.C</w:t>
      </w:r>
      <w:r w:rsidRPr="009A501D">
        <w:rPr>
          <w:rFonts w:ascii="Century Gothic" w:hAnsi="Century Gothic" w:cstheme="minorHAnsi"/>
          <w:sz w:val="19"/>
          <w:szCs w:val="19"/>
        </w:rPr>
        <w:t>.2)</w:t>
      </w:r>
      <w:r w:rsidR="002C7B78" w:rsidRPr="009A501D">
        <w:rPr>
          <w:rFonts w:ascii="Century Gothic" w:hAnsi="Century Gothic" w:cstheme="minorHAnsi"/>
          <w:sz w:val="19"/>
          <w:szCs w:val="19"/>
        </w:rPr>
        <w:t xml:space="preserve">. La </w:t>
      </w:r>
      <w:r w:rsidR="00B05C11" w:rsidRPr="009A501D">
        <w:rPr>
          <w:rFonts w:ascii="Century Gothic" w:hAnsi="Century Gothic" w:cstheme="minorHAnsi"/>
          <w:sz w:val="19"/>
          <w:szCs w:val="19"/>
        </w:rPr>
        <w:t>disminución</w:t>
      </w:r>
      <w:r w:rsidR="001B70E1" w:rsidRPr="009A501D">
        <w:rPr>
          <w:rFonts w:ascii="Century Gothic" w:hAnsi="Century Gothic" w:cstheme="minorHAnsi"/>
          <w:sz w:val="19"/>
          <w:szCs w:val="19"/>
        </w:rPr>
        <w:t xml:space="preserve"> observada en 2022</w:t>
      </w:r>
      <w:r w:rsidR="00B05C11" w:rsidRPr="009A501D">
        <w:rPr>
          <w:rFonts w:ascii="Century Gothic" w:hAnsi="Century Gothic" w:cstheme="minorHAnsi"/>
          <w:sz w:val="19"/>
          <w:szCs w:val="19"/>
        </w:rPr>
        <w:t xml:space="preserve"> respecto a 2021</w:t>
      </w:r>
      <w:r w:rsidRPr="009A501D">
        <w:rPr>
          <w:rFonts w:ascii="Century Gothic" w:hAnsi="Century Gothic" w:cstheme="minorHAnsi"/>
          <w:sz w:val="19"/>
          <w:szCs w:val="19"/>
        </w:rPr>
        <w:t xml:space="preserve"> </w:t>
      </w:r>
      <w:r w:rsidR="002C7B78" w:rsidRPr="009A501D">
        <w:rPr>
          <w:rFonts w:ascii="Century Gothic" w:hAnsi="Century Gothic" w:cstheme="minorHAnsi"/>
          <w:sz w:val="19"/>
          <w:szCs w:val="19"/>
        </w:rPr>
        <w:t>(</w:t>
      </w:r>
      <w:r w:rsidRPr="009A501D">
        <w:rPr>
          <w:rFonts w:ascii="Century Gothic" w:hAnsi="Century Gothic" w:cstheme="minorHAnsi"/>
          <w:sz w:val="19"/>
          <w:szCs w:val="19"/>
        </w:rPr>
        <w:t>2%</w:t>
      </w:r>
      <w:r w:rsidR="002C7B78" w:rsidRPr="009A501D">
        <w:rPr>
          <w:rFonts w:ascii="Century Gothic" w:hAnsi="Century Gothic" w:cstheme="minorHAnsi"/>
          <w:sz w:val="19"/>
          <w:szCs w:val="19"/>
        </w:rPr>
        <w:t>)</w:t>
      </w:r>
      <w:r w:rsidRPr="009A501D">
        <w:rPr>
          <w:rFonts w:ascii="Century Gothic" w:hAnsi="Century Gothic" w:cstheme="minorHAnsi"/>
          <w:sz w:val="19"/>
          <w:szCs w:val="19"/>
        </w:rPr>
        <w:t xml:space="preserve"> puede explicarse</w:t>
      </w:r>
      <w:r w:rsidR="00B05C11" w:rsidRPr="009A501D">
        <w:rPr>
          <w:rFonts w:ascii="Century Gothic" w:hAnsi="Century Gothic" w:cstheme="minorHAnsi"/>
          <w:sz w:val="19"/>
          <w:szCs w:val="19"/>
        </w:rPr>
        <w:t xml:space="preserve">, en parte, </w:t>
      </w:r>
      <w:r w:rsidR="002C7B78" w:rsidRPr="009A501D">
        <w:rPr>
          <w:rFonts w:ascii="Century Gothic" w:hAnsi="Century Gothic" w:cstheme="minorHAnsi"/>
          <w:sz w:val="19"/>
          <w:szCs w:val="19"/>
        </w:rPr>
        <w:t>a</w:t>
      </w:r>
      <w:r w:rsidRPr="009A501D">
        <w:rPr>
          <w:rFonts w:ascii="Century Gothic" w:hAnsi="Century Gothic" w:cstheme="minorHAnsi"/>
          <w:sz w:val="19"/>
          <w:szCs w:val="19"/>
        </w:rPr>
        <w:t xml:space="preserve"> que por primera ocasión se tuvo un 100% de entrega de indicadores del total de los esperados para </w:t>
      </w:r>
      <w:r w:rsidR="00B05C11" w:rsidRPr="009A501D">
        <w:rPr>
          <w:rFonts w:ascii="Century Gothic" w:hAnsi="Century Gothic" w:cstheme="minorHAnsi"/>
          <w:sz w:val="19"/>
          <w:szCs w:val="19"/>
        </w:rPr>
        <w:t>e</w:t>
      </w:r>
      <w:r w:rsidRPr="009A501D">
        <w:rPr>
          <w:rFonts w:ascii="Century Gothic" w:hAnsi="Century Gothic" w:cstheme="minorHAnsi"/>
          <w:sz w:val="19"/>
          <w:szCs w:val="19"/>
        </w:rPr>
        <w:t>ncuestas, comparado contra un 91% en 2021</w:t>
      </w:r>
      <w:r w:rsidR="009C2139" w:rsidRPr="009A501D">
        <w:rPr>
          <w:rFonts w:ascii="Century Gothic" w:hAnsi="Century Gothic" w:cstheme="minorHAnsi"/>
          <w:sz w:val="19"/>
          <w:szCs w:val="19"/>
        </w:rPr>
        <w:t>.</w:t>
      </w:r>
      <w:r w:rsidRPr="009A501D">
        <w:rPr>
          <w:rFonts w:ascii="Century Gothic" w:hAnsi="Century Gothic" w:cstheme="minorHAnsi"/>
          <w:sz w:val="19"/>
          <w:szCs w:val="19"/>
        </w:rPr>
        <w:t xml:space="preserve"> </w:t>
      </w:r>
      <w:r w:rsidR="009C2139" w:rsidRPr="009A501D">
        <w:rPr>
          <w:rFonts w:ascii="Century Gothic" w:hAnsi="Century Gothic" w:cstheme="minorHAnsi"/>
          <w:sz w:val="19"/>
          <w:szCs w:val="19"/>
        </w:rPr>
        <w:t>Esto</w:t>
      </w:r>
      <w:r w:rsidRPr="009A501D">
        <w:rPr>
          <w:rFonts w:ascii="Century Gothic" w:hAnsi="Century Gothic" w:cstheme="minorHAnsi"/>
          <w:sz w:val="19"/>
          <w:szCs w:val="19"/>
        </w:rPr>
        <w:t xml:space="preserve"> se traduce en una mayor cantidad de información (dominios de estudio) procesada y, por tanto, un posible aumento en la variabilidad de la información disponible.</w:t>
      </w:r>
    </w:p>
    <w:p w14:paraId="1F2D6134" w14:textId="2C723E44" w:rsidR="00931152" w:rsidRPr="009A501D" w:rsidRDefault="00931152" w:rsidP="00664A1D">
      <w:pPr>
        <w:spacing w:before="240"/>
        <w:jc w:val="both"/>
        <w:rPr>
          <w:rFonts w:ascii="Century Gothic" w:hAnsi="Century Gothic" w:cstheme="majorHAnsi"/>
          <w:sz w:val="19"/>
          <w:szCs w:val="19"/>
        </w:rPr>
      </w:pPr>
      <w:r w:rsidRPr="009A501D">
        <w:rPr>
          <w:rFonts w:ascii="Century Gothic" w:hAnsi="Century Gothic" w:cstheme="minorHAnsi"/>
          <w:sz w:val="19"/>
          <w:szCs w:val="19"/>
        </w:rPr>
        <w:t>En la gráfica III.</w:t>
      </w:r>
      <w:r w:rsidR="001D5671" w:rsidRPr="009A501D">
        <w:rPr>
          <w:rFonts w:ascii="Century Gothic" w:hAnsi="Century Gothic" w:cstheme="minorHAnsi"/>
          <w:sz w:val="19"/>
          <w:szCs w:val="19"/>
        </w:rPr>
        <w:t>5.C</w:t>
      </w:r>
      <w:r w:rsidRPr="009A501D">
        <w:rPr>
          <w:rFonts w:ascii="Century Gothic" w:hAnsi="Century Gothic" w:cstheme="minorHAnsi"/>
          <w:sz w:val="19"/>
          <w:szCs w:val="19"/>
        </w:rPr>
        <w:t xml:space="preserve">.3 se presenta la distribución del </w:t>
      </w:r>
      <w:r w:rsidRPr="009A501D">
        <w:rPr>
          <w:rFonts w:ascii="Century Gothic" w:hAnsi="Century Gothic" w:cstheme="minorHAnsi"/>
          <w:i/>
          <w:iCs/>
          <w:sz w:val="19"/>
          <w:szCs w:val="19"/>
        </w:rPr>
        <w:t>coeficiente de variación</w:t>
      </w:r>
      <w:r w:rsidRPr="009A501D">
        <w:rPr>
          <w:rFonts w:ascii="Century Gothic" w:hAnsi="Century Gothic" w:cstheme="minorHAnsi"/>
          <w:sz w:val="19"/>
          <w:szCs w:val="19"/>
        </w:rPr>
        <w:t xml:space="preserve"> para las encuestas que </w:t>
      </w:r>
      <w:r w:rsidR="00B05C11" w:rsidRPr="009A501D">
        <w:rPr>
          <w:rFonts w:ascii="Century Gothic" w:hAnsi="Century Gothic" w:cstheme="minorHAnsi"/>
          <w:sz w:val="19"/>
          <w:szCs w:val="19"/>
        </w:rPr>
        <w:t>presentan</w:t>
      </w:r>
      <w:r w:rsidRPr="009A501D">
        <w:rPr>
          <w:rFonts w:ascii="Century Gothic" w:hAnsi="Century Gothic" w:cstheme="minorHAnsi"/>
          <w:sz w:val="19"/>
          <w:szCs w:val="19"/>
        </w:rPr>
        <w:t xml:space="preserve"> una pérdida de precisión o</w:t>
      </w:r>
      <w:r w:rsidR="00B05C11" w:rsidRPr="009A501D">
        <w:rPr>
          <w:rFonts w:ascii="Century Gothic" w:hAnsi="Century Gothic" w:cstheme="minorHAnsi"/>
          <w:sz w:val="19"/>
          <w:szCs w:val="19"/>
        </w:rPr>
        <w:t xml:space="preserve"> que </w:t>
      </w:r>
      <w:r w:rsidRPr="009A501D">
        <w:rPr>
          <w:rFonts w:ascii="Century Gothic" w:hAnsi="Century Gothic" w:cstheme="minorHAnsi"/>
          <w:sz w:val="19"/>
          <w:szCs w:val="19"/>
        </w:rPr>
        <w:t>reporta</w:t>
      </w:r>
      <w:r w:rsidR="00B05C11" w:rsidRPr="009A501D">
        <w:rPr>
          <w:rFonts w:ascii="Century Gothic" w:hAnsi="Century Gothic" w:cstheme="minorHAnsi"/>
          <w:sz w:val="19"/>
          <w:szCs w:val="19"/>
        </w:rPr>
        <w:t>n</w:t>
      </w:r>
      <w:r w:rsidRPr="009A501D">
        <w:rPr>
          <w:rFonts w:ascii="Century Gothic" w:hAnsi="Century Gothic" w:cstheme="minorHAnsi"/>
          <w:sz w:val="19"/>
          <w:szCs w:val="19"/>
        </w:rPr>
        <w:t xml:space="preserve"> precisión moderada y baja</w:t>
      </w:r>
      <w:r w:rsidR="004E1A3E" w:rsidRPr="009A501D">
        <w:rPr>
          <w:rFonts w:ascii="Century Gothic" w:hAnsi="Century Gothic" w:cstheme="minorHAnsi"/>
          <w:sz w:val="19"/>
          <w:szCs w:val="19"/>
        </w:rPr>
        <w:t xml:space="preserve"> para un porcentaje alto de dominios de estudio</w:t>
      </w:r>
      <w:r w:rsidR="004E0F69" w:rsidRPr="009A501D">
        <w:rPr>
          <w:rFonts w:ascii="Century Gothic" w:hAnsi="Century Gothic" w:cstheme="minorHAnsi"/>
          <w:sz w:val="19"/>
          <w:szCs w:val="19"/>
        </w:rPr>
        <w:t>. Tal es el caso de la</w:t>
      </w:r>
      <w:r w:rsidRPr="009A501D">
        <w:rPr>
          <w:rFonts w:ascii="Century Gothic" w:hAnsi="Century Gothic" w:cstheme="minorHAnsi"/>
          <w:sz w:val="19"/>
          <w:szCs w:val="19"/>
        </w:rPr>
        <w:t xml:space="preserve"> Encuesta Anual de Comercio (EAC), </w:t>
      </w:r>
      <w:r w:rsidR="00AE645A" w:rsidRPr="009A501D">
        <w:rPr>
          <w:rFonts w:ascii="Century Gothic" w:hAnsi="Century Gothic" w:cstheme="minorHAnsi"/>
          <w:sz w:val="19"/>
          <w:szCs w:val="19"/>
        </w:rPr>
        <w:t xml:space="preserve">la </w:t>
      </w:r>
      <w:r w:rsidRPr="009A501D">
        <w:rPr>
          <w:rFonts w:ascii="Century Gothic" w:hAnsi="Century Gothic" w:cstheme="minorHAnsi"/>
          <w:sz w:val="19"/>
          <w:szCs w:val="19"/>
        </w:rPr>
        <w:t>Encuesta de Comercio Internacional de Servicios (ECIS)</w:t>
      </w:r>
      <w:r w:rsidR="00460EC4">
        <w:rPr>
          <w:rStyle w:val="Refdenotaalpie"/>
          <w:rFonts w:ascii="Century Gothic" w:hAnsi="Century Gothic" w:cstheme="minorHAnsi"/>
          <w:sz w:val="19"/>
          <w:szCs w:val="19"/>
        </w:rPr>
        <w:footnoteReference w:id="13"/>
      </w:r>
      <w:r w:rsidRPr="009A501D">
        <w:rPr>
          <w:rFonts w:ascii="Century Gothic" w:hAnsi="Century Gothic" w:cstheme="minorHAnsi"/>
          <w:sz w:val="19"/>
          <w:szCs w:val="19"/>
        </w:rPr>
        <w:t xml:space="preserve">, </w:t>
      </w:r>
      <w:r w:rsidR="00AE645A" w:rsidRPr="009A501D">
        <w:rPr>
          <w:rFonts w:ascii="Century Gothic" w:hAnsi="Century Gothic" w:cstheme="minorHAnsi"/>
          <w:sz w:val="19"/>
          <w:szCs w:val="19"/>
        </w:rPr>
        <w:t xml:space="preserve">la </w:t>
      </w:r>
      <w:r w:rsidRPr="009A501D">
        <w:rPr>
          <w:rFonts w:ascii="Century Gothic" w:hAnsi="Century Gothic" w:cstheme="minorHAnsi"/>
          <w:sz w:val="19"/>
          <w:szCs w:val="19"/>
        </w:rPr>
        <w:t xml:space="preserve">Encuesta Mensual de la Industria Manufacturera (EMIM), </w:t>
      </w:r>
      <w:r w:rsidR="00AE645A" w:rsidRPr="009A501D">
        <w:rPr>
          <w:rFonts w:ascii="Century Gothic" w:hAnsi="Century Gothic" w:cstheme="minorHAnsi"/>
          <w:sz w:val="19"/>
          <w:szCs w:val="19"/>
        </w:rPr>
        <w:t xml:space="preserve">la </w:t>
      </w:r>
      <w:r w:rsidRPr="009A501D">
        <w:rPr>
          <w:rFonts w:ascii="Century Gothic" w:hAnsi="Century Gothic" w:cstheme="minorHAnsi"/>
          <w:sz w:val="19"/>
          <w:szCs w:val="19"/>
        </w:rPr>
        <w:t xml:space="preserve">Encuesta Mensual de Servicios (EMS) y </w:t>
      </w:r>
      <w:r w:rsidR="00AE645A" w:rsidRPr="009A501D">
        <w:rPr>
          <w:rFonts w:ascii="Century Gothic" w:hAnsi="Century Gothic" w:cstheme="minorHAnsi"/>
          <w:sz w:val="19"/>
          <w:szCs w:val="19"/>
        </w:rPr>
        <w:t>la</w:t>
      </w:r>
      <w:r w:rsidRPr="009A501D">
        <w:rPr>
          <w:rFonts w:ascii="Century Gothic" w:hAnsi="Century Gothic" w:cstheme="minorHAnsi"/>
          <w:sz w:val="19"/>
          <w:szCs w:val="19"/>
        </w:rPr>
        <w:t xml:space="preserve"> Encuesta Nacional de Empresas Constructoras (ENEC)</w:t>
      </w:r>
      <w:r w:rsidRPr="009A501D">
        <w:rPr>
          <w:rFonts w:ascii="Century Gothic" w:hAnsi="Century Gothic" w:cstheme="majorHAnsi"/>
          <w:sz w:val="19"/>
          <w:szCs w:val="19"/>
        </w:rPr>
        <w:t>.</w:t>
      </w:r>
    </w:p>
    <w:p w14:paraId="561FFB16" w14:textId="6648E00B" w:rsidR="00931152" w:rsidRPr="009A501D" w:rsidRDefault="00931152" w:rsidP="00664A1D">
      <w:pPr>
        <w:spacing w:before="240"/>
        <w:jc w:val="center"/>
        <w:rPr>
          <w:rFonts w:ascii="Century Gothic" w:hAnsi="Century Gothic" w:cstheme="majorHAnsi"/>
          <w:sz w:val="19"/>
          <w:szCs w:val="19"/>
        </w:rPr>
      </w:pPr>
      <w:r w:rsidRPr="009A501D">
        <w:rPr>
          <w:rFonts w:ascii="Century Gothic" w:hAnsi="Century Gothic" w:cstheme="majorHAnsi"/>
          <w:b/>
          <w:sz w:val="19"/>
          <w:szCs w:val="19"/>
        </w:rPr>
        <w:t>III.</w:t>
      </w:r>
      <w:r w:rsidR="009B3A86" w:rsidRPr="009A501D">
        <w:rPr>
          <w:rFonts w:ascii="Century Gothic" w:hAnsi="Century Gothic" w:cstheme="majorHAnsi"/>
          <w:b/>
          <w:sz w:val="19"/>
          <w:szCs w:val="19"/>
        </w:rPr>
        <w:t>5.C</w:t>
      </w:r>
      <w:r w:rsidRPr="009A501D">
        <w:rPr>
          <w:rFonts w:ascii="Century Gothic" w:hAnsi="Century Gothic" w:cstheme="majorHAnsi"/>
          <w:b/>
          <w:sz w:val="19"/>
          <w:szCs w:val="19"/>
        </w:rPr>
        <w:t>.3 Distribución del coeficiente de variación en encuestas que perdieron precisión en 2022 (escala 0-100)</w:t>
      </w:r>
    </w:p>
    <w:p w14:paraId="23F0694A" w14:textId="2ACB166D" w:rsidR="00931152" w:rsidRPr="009A501D" w:rsidRDefault="00931152" w:rsidP="00664A1D">
      <w:pPr>
        <w:spacing w:before="240"/>
        <w:jc w:val="center"/>
        <w:rPr>
          <w:rFonts w:ascii="Century Gothic" w:hAnsi="Century Gothic" w:cstheme="majorHAnsi"/>
          <w:sz w:val="19"/>
          <w:szCs w:val="19"/>
        </w:rPr>
      </w:pPr>
      <w:r w:rsidRPr="009A501D">
        <w:rPr>
          <w:rFonts w:ascii="Century Gothic" w:hAnsi="Century Gothic" w:cstheme="majorHAnsi"/>
          <w:noProof/>
          <w:sz w:val="19"/>
          <w:szCs w:val="19"/>
        </w:rPr>
        <w:drawing>
          <wp:inline distT="0" distB="0" distL="0" distR="0" wp14:anchorId="126A2771" wp14:editId="065244BF">
            <wp:extent cx="5810250" cy="2805902"/>
            <wp:effectExtent l="0" t="0" r="0" b="0"/>
            <wp:docPr id="7"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pic:nvPicPr>
                  <pic:blipFill rotWithShape="1">
                    <a:blip r:embed="rId19">
                      <a:extLst>
                        <a:ext uri="{28A0092B-C50C-407E-A947-70E740481C1C}">
                          <a14:useLocalDpi xmlns:a14="http://schemas.microsoft.com/office/drawing/2010/main" val="0"/>
                        </a:ext>
                      </a:extLst>
                    </a:blip>
                    <a:srcRect b="20383"/>
                    <a:stretch/>
                  </pic:blipFill>
                  <pic:spPr bwMode="auto">
                    <a:xfrm>
                      <a:off x="0" y="0"/>
                      <a:ext cx="5811061" cy="2806294"/>
                    </a:xfrm>
                    <a:prstGeom prst="rect">
                      <a:avLst/>
                    </a:prstGeom>
                    <a:ln>
                      <a:noFill/>
                    </a:ln>
                    <a:extLst>
                      <a:ext uri="{53640926-AAD7-44D8-BBD7-CCE9431645EC}">
                        <a14:shadowObscured xmlns:a14="http://schemas.microsoft.com/office/drawing/2010/main"/>
                      </a:ext>
                    </a:extLst>
                  </pic:spPr>
                </pic:pic>
              </a:graphicData>
            </a:graphic>
          </wp:inline>
        </w:drawing>
      </w:r>
    </w:p>
    <w:p w14:paraId="5903FDBE" w14:textId="2C732CC4" w:rsidR="00931152" w:rsidRPr="009A501D" w:rsidRDefault="003576FB" w:rsidP="007A4B1D">
      <w:pPr>
        <w:ind w:left="1418" w:right="737"/>
        <w:rPr>
          <w:rFonts w:ascii="Century Gothic" w:hAnsi="Century Gothic" w:cstheme="majorHAnsi"/>
          <w:sz w:val="14"/>
          <w:szCs w:val="14"/>
        </w:rPr>
      </w:pPr>
      <w:r w:rsidRPr="009A501D">
        <w:rPr>
          <w:rFonts w:ascii="Century Gothic" w:hAnsi="Century Gothic" w:cstheme="majorHAnsi"/>
          <w:sz w:val="14"/>
          <w:szCs w:val="14"/>
        </w:rPr>
        <w:t xml:space="preserve">Nota: los datos corresponden a los informes de calidad </w:t>
      </w:r>
      <w:r w:rsidR="00B50AC4" w:rsidRPr="009A501D">
        <w:rPr>
          <w:rFonts w:ascii="Century Gothic" w:hAnsi="Century Gothic" w:cstheme="majorHAnsi"/>
          <w:sz w:val="14"/>
          <w:szCs w:val="14"/>
        </w:rPr>
        <w:t>respectivos</w:t>
      </w:r>
      <w:r w:rsidR="005964DE" w:rsidRPr="009A501D">
        <w:rPr>
          <w:rFonts w:ascii="Century Gothic" w:hAnsi="Century Gothic" w:cstheme="majorHAnsi"/>
          <w:sz w:val="14"/>
          <w:szCs w:val="14"/>
        </w:rPr>
        <w:t xml:space="preserve"> (</w:t>
      </w:r>
      <w:r w:rsidR="00B50AC4" w:rsidRPr="009A501D">
        <w:rPr>
          <w:rFonts w:ascii="Century Gothic" w:hAnsi="Century Gothic" w:cstheme="majorHAnsi"/>
          <w:sz w:val="14"/>
          <w:szCs w:val="14"/>
        </w:rPr>
        <w:t xml:space="preserve">no consideran </w:t>
      </w:r>
      <w:r w:rsidR="008B1319" w:rsidRPr="009A501D">
        <w:rPr>
          <w:rFonts w:ascii="Century Gothic" w:hAnsi="Century Gothic" w:cstheme="majorHAnsi"/>
          <w:sz w:val="14"/>
          <w:szCs w:val="14"/>
        </w:rPr>
        <w:t>reemplazos</w:t>
      </w:r>
      <w:r w:rsidR="00FE065B" w:rsidRPr="009A501D">
        <w:rPr>
          <w:rFonts w:ascii="Century Gothic" w:hAnsi="Century Gothic" w:cstheme="majorHAnsi"/>
          <w:sz w:val="14"/>
          <w:szCs w:val="14"/>
        </w:rPr>
        <w:t xml:space="preserve"> posteriores</w:t>
      </w:r>
      <w:r w:rsidR="008B1319" w:rsidRPr="009A501D">
        <w:rPr>
          <w:rFonts w:ascii="Century Gothic" w:hAnsi="Century Gothic" w:cstheme="majorHAnsi"/>
          <w:sz w:val="14"/>
          <w:szCs w:val="14"/>
        </w:rPr>
        <w:t xml:space="preserve"> </w:t>
      </w:r>
      <w:r w:rsidR="00827091" w:rsidRPr="009A501D">
        <w:rPr>
          <w:rFonts w:ascii="Century Gothic" w:hAnsi="Century Gothic" w:cstheme="majorHAnsi"/>
          <w:sz w:val="14"/>
          <w:szCs w:val="14"/>
        </w:rPr>
        <w:t xml:space="preserve">en </w:t>
      </w:r>
      <w:r w:rsidR="003F793F" w:rsidRPr="009A501D">
        <w:rPr>
          <w:rFonts w:ascii="Century Gothic" w:hAnsi="Century Gothic" w:cstheme="majorHAnsi"/>
          <w:sz w:val="14"/>
          <w:szCs w:val="14"/>
        </w:rPr>
        <w:t>la información e indicadores de precisión</w:t>
      </w:r>
      <w:r w:rsidR="005964DE" w:rsidRPr="009A501D">
        <w:rPr>
          <w:rFonts w:ascii="Century Gothic" w:hAnsi="Century Gothic" w:cstheme="majorHAnsi"/>
          <w:sz w:val="14"/>
          <w:szCs w:val="14"/>
        </w:rPr>
        <w:t>)</w:t>
      </w:r>
      <w:r w:rsidR="00FE065B" w:rsidRPr="009A501D">
        <w:rPr>
          <w:rFonts w:ascii="Century Gothic" w:hAnsi="Century Gothic" w:cstheme="majorHAnsi"/>
          <w:sz w:val="14"/>
          <w:szCs w:val="14"/>
        </w:rPr>
        <w:t>.</w:t>
      </w:r>
    </w:p>
    <w:p w14:paraId="0CD34CC0" w14:textId="3E1EF8D6" w:rsidR="00F327DA" w:rsidRPr="009A501D" w:rsidRDefault="00F327DA" w:rsidP="00F327DA">
      <w:pPr>
        <w:jc w:val="both"/>
        <w:rPr>
          <w:rFonts w:ascii="Century Gothic" w:hAnsi="Century Gothic" w:cstheme="minorHAnsi"/>
          <w:sz w:val="19"/>
          <w:szCs w:val="19"/>
        </w:rPr>
      </w:pPr>
      <w:r w:rsidRPr="009A501D">
        <w:rPr>
          <w:rFonts w:ascii="Century Gothic" w:hAnsi="Century Gothic" w:cstheme="minorHAnsi"/>
          <w:sz w:val="19"/>
          <w:szCs w:val="19"/>
        </w:rPr>
        <w:t xml:space="preserve">En la gráfica III.5.C.4 se presenta la distribución del coeficiente de variación para las encuestas que </w:t>
      </w:r>
      <w:r w:rsidR="00C10FF2">
        <w:rPr>
          <w:rFonts w:ascii="Century Gothic" w:hAnsi="Century Gothic" w:cstheme="minorHAnsi"/>
          <w:sz w:val="19"/>
          <w:szCs w:val="19"/>
        </w:rPr>
        <w:t>reportaron</w:t>
      </w:r>
      <w:r w:rsidRPr="009A501D">
        <w:rPr>
          <w:rFonts w:ascii="Century Gothic" w:hAnsi="Century Gothic" w:cstheme="minorHAnsi"/>
          <w:sz w:val="19"/>
          <w:szCs w:val="19"/>
        </w:rPr>
        <w:t xml:space="preserve"> una mejora de precisión o que mantuvieron su nivel de precisión alta. Tal es el caso de la Encuesta Nacional de Ocupación y Empleo Nueva Edición (ENOE-NE), Encuesta Nacional de Seguridad Pública Urbana (EN</w:t>
      </w:r>
      <w:r w:rsidR="00C10FF2">
        <w:rPr>
          <w:rFonts w:ascii="Century Gothic" w:hAnsi="Century Gothic" w:cstheme="minorHAnsi"/>
          <w:sz w:val="19"/>
          <w:szCs w:val="19"/>
        </w:rPr>
        <w:t>S</w:t>
      </w:r>
      <w:r w:rsidRPr="009A501D">
        <w:rPr>
          <w:rFonts w:ascii="Century Gothic" w:hAnsi="Century Gothic" w:cstheme="minorHAnsi"/>
          <w:sz w:val="19"/>
          <w:szCs w:val="19"/>
        </w:rPr>
        <w:t>U), Módulo sobre Eventos Culturales Seleccionados (MODECULT) y la Encuesta Mensual sobre Empresas Comerciales (EMEC).</w:t>
      </w:r>
    </w:p>
    <w:p w14:paraId="65345060" w14:textId="77777777" w:rsidR="00F327DA" w:rsidRPr="009A501D" w:rsidRDefault="00F327DA" w:rsidP="00F327DA">
      <w:pPr>
        <w:jc w:val="both"/>
        <w:rPr>
          <w:rFonts w:ascii="Century Gothic" w:hAnsi="Century Gothic" w:cstheme="majorHAnsi"/>
          <w:b/>
          <w:sz w:val="19"/>
          <w:szCs w:val="19"/>
        </w:rPr>
      </w:pPr>
    </w:p>
    <w:p w14:paraId="21340C76" w14:textId="7D0E55BB" w:rsidR="00F327DA" w:rsidRPr="009A501D" w:rsidRDefault="00F327DA" w:rsidP="00F327DA">
      <w:pPr>
        <w:rPr>
          <w:rFonts w:ascii="Century Gothic" w:hAnsi="Century Gothic" w:cstheme="majorHAnsi"/>
          <w:b/>
          <w:sz w:val="19"/>
          <w:szCs w:val="19"/>
        </w:rPr>
      </w:pPr>
      <w:r w:rsidRPr="009A501D">
        <w:rPr>
          <w:rFonts w:ascii="Century Gothic" w:hAnsi="Century Gothic" w:cstheme="majorHAnsi"/>
          <w:b/>
          <w:sz w:val="19"/>
          <w:szCs w:val="19"/>
        </w:rPr>
        <w:lastRenderedPageBreak/>
        <w:t>III.5.C.4 Distribución del coeficiente de variación en encuestas que mejoraron precisión en 2022 (escala 0-50)</w:t>
      </w:r>
    </w:p>
    <w:p w14:paraId="64CED2DF" w14:textId="77777777" w:rsidR="00F327DA" w:rsidRPr="009A501D" w:rsidRDefault="00F327DA" w:rsidP="00F327DA">
      <w:pPr>
        <w:jc w:val="center"/>
      </w:pPr>
      <w:r w:rsidRPr="009A501D">
        <w:rPr>
          <w:noProof/>
          <w14:ligatures w14:val="standardContextual"/>
        </w:rPr>
        <w:drawing>
          <wp:inline distT="0" distB="0" distL="0" distR="0" wp14:anchorId="6ADC7F84" wp14:editId="2814D2BB">
            <wp:extent cx="4629408" cy="2808000"/>
            <wp:effectExtent l="0" t="0" r="0" b="0"/>
            <wp:docPr id="9" name="Imagen 9"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lendari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4629408" cy="2808000"/>
                    </a:xfrm>
                    <a:prstGeom prst="rect">
                      <a:avLst/>
                    </a:prstGeom>
                  </pic:spPr>
                </pic:pic>
              </a:graphicData>
            </a:graphic>
          </wp:inline>
        </w:drawing>
      </w:r>
    </w:p>
    <w:p w14:paraId="6D7CA434" w14:textId="77777777" w:rsidR="00F327DA" w:rsidRPr="009A501D" w:rsidRDefault="00F327DA" w:rsidP="00F327DA">
      <w:pPr>
        <w:spacing w:after="0"/>
        <w:ind w:left="1418" w:right="737"/>
        <w:rPr>
          <w:rFonts w:ascii="Century Gothic" w:hAnsi="Century Gothic" w:cstheme="majorHAnsi"/>
          <w:sz w:val="14"/>
          <w:szCs w:val="14"/>
        </w:rPr>
      </w:pPr>
      <w:r w:rsidRPr="009A501D">
        <w:rPr>
          <w:rFonts w:ascii="Century Gothic" w:hAnsi="Century Gothic" w:cstheme="majorHAnsi"/>
          <w:sz w:val="14"/>
          <w:szCs w:val="14"/>
        </w:rPr>
        <w:t>Nota 1: los datos corresponden a los informes de calidad respectivos (no consideran reemplazos posteriores en la información e indicadores de precisión).</w:t>
      </w:r>
    </w:p>
    <w:p w14:paraId="61B44E02" w14:textId="77777777" w:rsidR="00F327DA" w:rsidRPr="009A501D" w:rsidRDefault="00F327DA" w:rsidP="00F327DA">
      <w:pPr>
        <w:spacing w:after="0"/>
        <w:ind w:left="1418" w:right="737"/>
        <w:rPr>
          <w:rFonts w:ascii="Century Gothic" w:hAnsi="Century Gothic" w:cstheme="majorHAnsi"/>
          <w:sz w:val="14"/>
          <w:szCs w:val="14"/>
        </w:rPr>
      </w:pPr>
      <w:r w:rsidRPr="009A501D">
        <w:rPr>
          <w:rFonts w:ascii="Century Gothic" w:hAnsi="Century Gothic" w:cstheme="majorHAnsi"/>
          <w:sz w:val="14"/>
          <w:szCs w:val="14"/>
        </w:rPr>
        <w:t>Nota 2: Además de la EMEC, un número considerable de diferentes procesos mantuvieron sus niveles de calidad alta estables (igual a 100%) comparando contra lo reportado en el año inmediato anterior, para más detalles ver el Anexo 5.</w:t>
      </w:r>
    </w:p>
    <w:p w14:paraId="5D218AF3" w14:textId="77777777" w:rsidR="00F327DA" w:rsidRPr="009A501D" w:rsidRDefault="00F327DA" w:rsidP="00F327DA">
      <w:pPr>
        <w:spacing w:after="0"/>
        <w:ind w:left="1418" w:right="737"/>
        <w:rPr>
          <w:rFonts w:ascii="Century Gothic" w:hAnsi="Century Gothic" w:cstheme="majorHAnsi"/>
          <w:sz w:val="14"/>
          <w:szCs w:val="14"/>
        </w:rPr>
      </w:pPr>
      <w:r w:rsidRPr="009A501D">
        <w:rPr>
          <w:rFonts w:ascii="Century Gothic" w:hAnsi="Century Gothic" w:cstheme="majorHAnsi"/>
          <w:sz w:val="14"/>
          <w:szCs w:val="14"/>
        </w:rPr>
        <w:t>Nota 3: La información mostrada para la ENOE-NE, incluye información de la ENOE hasta lo reportado en el Informe de Calidad 2020.</w:t>
      </w:r>
    </w:p>
    <w:p w14:paraId="0E2DC5BD" w14:textId="77777777" w:rsidR="00F327DA" w:rsidRPr="009A501D" w:rsidRDefault="00F327DA" w:rsidP="00664A1D">
      <w:pPr>
        <w:spacing w:before="240"/>
        <w:jc w:val="both"/>
        <w:rPr>
          <w:rFonts w:ascii="Century Gothic" w:hAnsi="Century Gothic"/>
          <w:sz w:val="19"/>
          <w:szCs w:val="19"/>
        </w:rPr>
      </w:pPr>
    </w:p>
    <w:p w14:paraId="232C9CD7" w14:textId="50956418" w:rsidR="005D06E6" w:rsidRPr="009A501D" w:rsidRDefault="00931152" w:rsidP="00664A1D">
      <w:pPr>
        <w:spacing w:before="240"/>
        <w:jc w:val="both"/>
        <w:rPr>
          <w:rFonts w:ascii="Century Gothic" w:hAnsi="Century Gothic" w:cstheme="majorHAnsi"/>
          <w:sz w:val="19"/>
          <w:szCs w:val="19"/>
        </w:rPr>
      </w:pPr>
      <w:r w:rsidRPr="009A501D">
        <w:rPr>
          <w:rFonts w:ascii="Century Gothic" w:hAnsi="Century Gothic"/>
          <w:sz w:val="19"/>
          <w:szCs w:val="19"/>
        </w:rPr>
        <w:t xml:space="preserve">Se observa una recuperación importante en el número de </w:t>
      </w:r>
      <w:r w:rsidR="00946138" w:rsidRPr="009A501D">
        <w:rPr>
          <w:rFonts w:ascii="Century Gothic" w:hAnsi="Century Gothic"/>
          <w:sz w:val="19"/>
          <w:szCs w:val="19"/>
        </w:rPr>
        <w:t>procesos</w:t>
      </w:r>
      <w:r w:rsidRPr="009A501D">
        <w:rPr>
          <w:rFonts w:ascii="Century Gothic" w:hAnsi="Century Gothic"/>
          <w:sz w:val="19"/>
          <w:szCs w:val="19"/>
        </w:rPr>
        <w:t xml:space="preserve"> cuyas </w:t>
      </w:r>
      <w:r w:rsidRPr="009A501D">
        <w:rPr>
          <w:rFonts w:ascii="Century Gothic" w:hAnsi="Century Gothic"/>
          <w:i/>
          <w:iCs/>
          <w:sz w:val="19"/>
          <w:szCs w:val="19"/>
        </w:rPr>
        <w:t>tasas de no respuesta antes de imputación</w:t>
      </w:r>
      <w:r w:rsidRPr="009A501D">
        <w:rPr>
          <w:rFonts w:ascii="Century Gothic" w:hAnsi="Century Gothic"/>
          <w:sz w:val="19"/>
          <w:szCs w:val="19"/>
        </w:rPr>
        <w:t xml:space="preserve"> supera a las esperadas en los diseños muestrales</w:t>
      </w:r>
      <w:r w:rsidR="00946138" w:rsidRPr="009A501D">
        <w:rPr>
          <w:rFonts w:ascii="Century Gothic" w:hAnsi="Century Gothic"/>
          <w:sz w:val="19"/>
          <w:szCs w:val="19"/>
        </w:rPr>
        <w:t xml:space="preserve"> (ver cuadro III.</w:t>
      </w:r>
      <w:r w:rsidR="00DC47C3" w:rsidRPr="009A501D">
        <w:rPr>
          <w:rFonts w:ascii="Century Gothic" w:hAnsi="Century Gothic"/>
          <w:sz w:val="19"/>
          <w:szCs w:val="19"/>
        </w:rPr>
        <w:t>5.C</w:t>
      </w:r>
      <w:r w:rsidR="00946138" w:rsidRPr="009A501D">
        <w:rPr>
          <w:rFonts w:ascii="Century Gothic" w:hAnsi="Century Gothic"/>
          <w:sz w:val="19"/>
          <w:szCs w:val="19"/>
        </w:rPr>
        <w:t xml:space="preserve">.4). </w:t>
      </w:r>
      <w:r w:rsidR="005D06E6" w:rsidRPr="009A501D">
        <w:rPr>
          <w:rFonts w:ascii="Century Gothic" w:hAnsi="Century Gothic" w:cstheme="majorHAnsi"/>
          <w:sz w:val="19"/>
          <w:szCs w:val="19"/>
        </w:rPr>
        <w:t xml:space="preserve">Los procesos para los que se observa una </w:t>
      </w:r>
      <w:r w:rsidR="005D06E6" w:rsidRPr="009A501D">
        <w:rPr>
          <w:rFonts w:ascii="Century Gothic" w:hAnsi="Century Gothic" w:cstheme="majorHAnsi"/>
          <w:i/>
          <w:iCs/>
          <w:sz w:val="19"/>
          <w:szCs w:val="19"/>
        </w:rPr>
        <w:t xml:space="preserve">Tasa de </w:t>
      </w:r>
      <w:r w:rsidR="0087711F" w:rsidRPr="009A501D">
        <w:rPr>
          <w:rFonts w:ascii="Century Gothic" w:hAnsi="Century Gothic" w:cstheme="majorHAnsi"/>
          <w:i/>
          <w:iCs/>
          <w:sz w:val="19"/>
          <w:szCs w:val="19"/>
        </w:rPr>
        <w:t>N</w:t>
      </w:r>
      <w:r w:rsidR="0010748B" w:rsidRPr="009A501D">
        <w:rPr>
          <w:rFonts w:ascii="Century Gothic" w:hAnsi="Century Gothic" w:cstheme="majorHAnsi"/>
          <w:i/>
          <w:iCs/>
          <w:sz w:val="19"/>
          <w:szCs w:val="19"/>
        </w:rPr>
        <w:t xml:space="preserve">o </w:t>
      </w:r>
      <w:r w:rsidR="0087711F" w:rsidRPr="009A501D">
        <w:rPr>
          <w:rFonts w:ascii="Century Gothic" w:hAnsi="Century Gothic" w:cstheme="majorHAnsi"/>
          <w:i/>
          <w:iCs/>
          <w:sz w:val="19"/>
          <w:szCs w:val="19"/>
        </w:rPr>
        <w:t>R</w:t>
      </w:r>
      <w:r w:rsidR="0010748B" w:rsidRPr="009A501D">
        <w:rPr>
          <w:rFonts w:ascii="Century Gothic" w:hAnsi="Century Gothic" w:cstheme="majorHAnsi"/>
          <w:i/>
          <w:iCs/>
          <w:sz w:val="19"/>
          <w:szCs w:val="19"/>
        </w:rPr>
        <w:t xml:space="preserve">espuesta </w:t>
      </w:r>
      <w:r w:rsidR="0087711F" w:rsidRPr="009A501D">
        <w:rPr>
          <w:rFonts w:ascii="Century Gothic" w:hAnsi="Century Gothic" w:cstheme="majorHAnsi"/>
          <w:i/>
          <w:iCs/>
          <w:sz w:val="19"/>
          <w:szCs w:val="19"/>
        </w:rPr>
        <w:t>A</w:t>
      </w:r>
      <w:r w:rsidR="0010748B" w:rsidRPr="009A501D">
        <w:rPr>
          <w:rFonts w:ascii="Century Gothic" w:hAnsi="Century Gothic" w:cstheme="majorHAnsi"/>
          <w:i/>
          <w:iCs/>
          <w:sz w:val="19"/>
          <w:szCs w:val="19"/>
        </w:rPr>
        <w:t>ntes</w:t>
      </w:r>
      <w:r w:rsidR="005D06E6" w:rsidRPr="009A501D">
        <w:rPr>
          <w:rFonts w:ascii="Century Gothic" w:hAnsi="Century Gothic" w:cstheme="majorHAnsi"/>
          <w:i/>
          <w:iCs/>
          <w:sz w:val="19"/>
          <w:szCs w:val="19"/>
        </w:rPr>
        <w:t xml:space="preserve"> de </w:t>
      </w:r>
      <w:r w:rsidR="0087711F" w:rsidRPr="009A501D">
        <w:rPr>
          <w:rFonts w:ascii="Century Gothic" w:hAnsi="Century Gothic" w:cstheme="majorHAnsi"/>
          <w:i/>
          <w:iCs/>
          <w:sz w:val="19"/>
          <w:szCs w:val="19"/>
        </w:rPr>
        <w:t>I</w:t>
      </w:r>
      <w:r w:rsidR="0010748B" w:rsidRPr="009A501D">
        <w:rPr>
          <w:rFonts w:ascii="Century Gothic" w:hAnsi="Century Gothic" w:cstheme="majorHAnsi"/>
          <w:i/>
          <w:iCs/>
          <w:sz w:val="19"/>
          <w:szCs w:val="19"/>
        </w:rPr>
        <w:t>mputación</w:t>
      </w:r>
      <w:r w:rsidR="00B33E78" w:rsidRPr="009A501D">
        <w:rPr>
          <w:rFonts w:ascii="Century Gothic" w:hAnsi="Century Gothic" w:cstheme="majorHAnsi"/>
          <w:i/>
          <w:iCs/>
          <w:sz w:val="19"/>
          <w:szCs w:val="19"/>
        </w:rPr>
        <w:t xml:space="preserve"> (TNRAI)</w:t>
      </w:r>
      <w:r w:rsidR="005D06E6" w:rsidRPr="009A501D">
        <w:rPr>
          <w:rFonts w:ascii="Century Gothic" w:hAnsi="Century Gothic" w:cstheme="majorHAnsi"/>
          <w:sz w:val="19"/>
          <w:szCs w:val="19"/>
        </w:rPr>
        <w:t xml:space="preserve"> superior a la máxima esperada en el diseño muestral son: Bienestar </w:t>
      </w:r>
      <w:proofErr w:type="spellStart"/>
      <w:r w:rsidR="005D06E6" w:rsidRPr="009A501D">
        <w:rPr>
          <w:rFonts w:ascii="Century Gothic" w:hAnsi="Century Gothic" w:cstheme="majorHAnsi"/>
          <w:sz w:val="19"/>
          <w:szCs w:val="19"/>
        </w:rPr>
        <w:t>Autorreportado</w:t>
      </w:r>
      <w:proofErr w:type="spellEnd"/>
      <w:r w:rsidR="005D06E6" w:rsidRPr="009A501D">
        <w:rPr>
          <w:rFonts w:ascii="Century Gothic" w:hAnsi="Century Gothic" w:cstheme="majorHAnsi"/>
          <w:sz w:val="19"/>
          <w:szCs w:val="19"/>
        </w:rPr>
        <w:t xml:space="preserve"> (BIARE), </w:t>
      </w:r>
      <w:r w:rsidR="00EF67B5" w:rsidRPr="009A501D">
        <w:rPr>
          <w:rFonts w:ascii="Century Gothic" w:hAnsi="Century Gothic" w:cstheme="majorHAnsi"/>
          <w:sz w:val="19"/>
          <w:szCs w:val="19"/>
        </w:rPr>
        <w:t xml:space="preserve">la </w:t>
      </w:r>
      <w:r w:rsidR="005D06E6" w:rsidRPr="009A501D">
        <w:rPr>
          <w:rFonts w:ascii="Century Gothic" w:hAnsi="Century Gothic" w:cstheme="majorHAnsi"/>
          <w:sz w:val="19"/>
          <w:szCs w:val="19"/>
        </w:rPr>
        <w:t xml:space="preserve">Encuesta Anual de Comercio (EAC) y </w:t>
      </w:r>
      <w:r w:rsidR="00EF67B5" w:rsidRPr="009A501D">
        <w:rPr>
          <w:rFonts w:ascii="Century Gothic" w:hAnsi="Century Gothic" w:cstheme="majorHAnsi"/>
          <w:sz w:val="19"/>
          <w:szCs w:val="19"/>
        </w:rPr>
        <w:t xml:space="preserve">el </w:t>
      </w:r>
      <w:r w:rsidR="005D06E6" w:rsidRPr="009A501D">
        <w:rPr>
          <w:rFonts w:ascii="Century Gothic" w:hAnsi="Century Gothic" w:cstheme="majorHAnsi"/>
          <w:sz w:val="19"/>
          <w:szCs w:val="19"/>
        </w:rPr>
        <w:t xml:space="preserve">Módulo de Práctica Deportiva y Ejercicio Físico (MOPRADEF) (ver </w:t>
      </w:r>
      <w:r w:rsidR="00EF67B5" w:rsidRPr="009A501D">
        <w:rPr>
          <w:rFonts w:ascii="Century Gothic" w:hAnsi="Century Gothic" w:cstheme="majorHAnsi"/>
          <w:sz w:val="19"/>
          <w:szCs w:val="19"/>
        </w:rPr>
        <w:t>A</w:t>
      </w:r>
      <w:r w:rsidR="005D06E6" w:rsidRPr="009A501D">
        <w:rPr>
          <w:rFonts w:ascii="Century Gothic" w:hAnsi="Century Gothic" w:cstheme="majorHAnsi"/>
          <w:sz w:val="19"/>
          <w:szCs w:val="19"/>
        </w:rPr>
        <w:t xml:space="preserve">nexo </w:t>
      </w:r>
      <w:r w:rsidR="00FC24B8" w:rsidRPr="009A501D">
        <w:rPr>
          <w:rFonts w:ascii="Century Gothic" w:hAnsi="Century Gothic" w:cstheme="majorHAnsi"/>
          <w:sz w:val="19"/>
          <w:szCs w:val="19"/>
        </w:rPr>
        <w:t>5</w:t>
      </w:r>
      <w:r w:rsidR="005D06E6" w:rsidRPr="009A501D">
        <w:rPr>
          <w:rFonts w:ascii="Century Gothic" w:hAnsi="Century Gothic" w:cstheme="majorHAnsi"/>
          <w:sz w:val="19"/>
          <w:szCs w:val="19"/>
        </w:rPr>
        <w:t xml:space="preserve">).  </w:t>
      </w:r>
    </w:p>
    <w:p w14:paraId="092A5544" w14:textId="19563DCA" w:rsidR="00931152" w:rsidRPr="009A501D" w:rsidRDefault="00946138" w:rsidP="00664A1D">
      <w:pPr>
        <w:spacing w:before="240"/>
        <w:jc w:val="both"/>
        <w:rPr>
          <w:rFonts w:ascii="Century Gothic" w:hAnsi="Century Gothic"/>
          <w:sz w:val="19"/>
          <w:szCs w:val="19"/>
        </w:rPr>
      </w:pPr>
      <w:r w:rsidRPr="009A501D">
        <w:rPr>
          <w:rFonts w:ascii="Century Gothic" w:hAnsi="Century Gothic"/>
          <w:sz w:val="19"/>
          <w:szCs w:val="19"/>
        </w:rPr>
        <w:t xml:space="preserve">Este efecto también se observa al analizar las tasas de cumplimiento de la muestra mínima, donde se observa una recuperación respecto a los dos años anteriores, aunque aún no se ha alcanzado el nivel observado en 2019 </w:t>
      </w:r>
      <w:r w:rsidR="00931152" w:rsidRPr="009A501D">
        <w:rPr>
          <w:rFonts w:ascii="Century Gothic" w:hAnsi="Century Gothic"/>
          <w:sz w:val="19"/>
          <w:szCs w:val="19"/>
        </w:rPr>
        <w:t>(ver cuadro III.</w:t>
      </w:r>
      <w:r w:rsidR="001D5671" w:rsidRPr="009A501D">
        <w:rPr>
          <w:rFonts w:ascii="Century Gothic" w:hAnsi="Century Gothic"/>
          <w:sz w:val="19"/>
          <w:szCs w:val="19"/>
        </w:rPr>
        <w:t>5.C</w:t>
      </w:r>
      <w:r w:rsidR="00931152" w:rsidRPr="009A501D">
        <w:rPr>
          <w:rFonts w:ascii="Century Gothic" w:hAnsi="Century Gothic"/>
          <w:sz w:val="19"/>
          <w:szCs w:val="19"/>
        </w:rPr>
        <w:t>.</w:t>
      </w:r>
      <w:r w:rsidR="00F327DA" w:rsidRPr="009A501D">
        <w:rPr>
          <w:rFonts w:ascii="Century Gothic" w:hAnsi="Century Gothic"/>
          <w:sz w:val="19"/>
          <w:szCs w:val="19"/>
        </w:rPr>
        <w:t>5</w:t>
      </w:r>
      <w:r w:rsidR="00931152" w:rsidRPr="009A501D">
        <w:rPr>
          <w:rFonts w:ascii="Century Gothic" w:hAnsi="Century Gothic"/>
          <w:sz w:val="19"/>
          <w:szCs w:val="19"/>
        </w:rPr>
        <w:t xml:space="preserve">). </w:t>
      </w:r>
      <w:r w:rsidRPr="009A501D">
        <w:rPr>
          <w:rFonts w:ascii="Century Gothic" w:hAnsi="Century Gothic" w:cstheme="minorHAnsi"/>
          <w:sz w:val="19"/>
          <w:szCs w:val="19"/>
        </w:rPr>
        <w:t>Esta recuperación paulatina refleja el esfuerzo realizado por las áreas para mantener un estándar alto de calidad en los diferentes procesos estadísticos.</w:t>
      </w:r>
    </w:p>
    <w:p w14:paraId="3850EF54" w14:textId="3337DBC5" w:rsidR="00931152" w:rsidRPr="009A501D" w:rsidRDefault="00931152" w:rsidP="00664A1D">
      <w:pPr>
        <w:spacing w:before="240"/>
        <w:jc w:val="center"/>
        <w:rPr>
          <w:rFonts w:ascii="Century Gothic" w:hAnsi="Century Gothic"/>
        </w:rPr>
      </w:pPr>
      <w:r w:rsidRPr="009A501D">
        <w:rPr>
          <w:rFonts w:ascii="Century Gothic" w:hAnsi="Century Gothic"/>
          <w:b/>
          <w:sz w:val="19"/>
          <w:szCs w:val="19"/>
        </w:rPr>
        <w:t>III.</w:t>
      </w:r>
      <w:r w:rsidR="009B3A86" w:rsidRPr="009A501D">
        <w:rPr>
          <w:rFonts w:ascii="Century Gothic" w:hAnsi="Century Gothic"/>
          <w:b/>
          <w:sz w:val="19"/>
          <w:szCs w:val="19"/>
        </w:rPr>
        <w:t>5.C</w:t>
      </w:r>
      <w:r w:rsidRPr="009A501D">
        <w:rPr>
          <w:rFonts w:ascii="Century Gothic" w:hAnsi="Century Gothic"/>
          <w:b/>
          <w:sz w:val="19"/>
          <w:szCs w:val="19"/>
        </w:rPr>
        <w:t>.</w:t>
      </w:r>
      <w:r w:rsidR="00F327DA" w:rsidRPr="009A501D">
        <w:rPr>
          <w:rFonts w:ascii="Century Gothic" w:hAnsi="Century Gothic"/>
          <w:b/>
          <w:sz w:val="19"/>
          <w:szCs w:val="19"/>
        </w:rPr>
        <w:t>5</w:t>
      </w:r>
      <w:r w:rsidRPr="009A501D">
        <w:rPr>
          <w:rFonts w:ascii="Century Gothic" w:hAnsi="Century Gothic"/>
          <w:b/>
          <w:sz w:val="19"/>
          <w:szCs w:val="19"/>
        </w:rPr>
        <w:t xml:space="preserve"> Resultados generales de la tasa de no respuesta</w:t>
      </w:r>
    </w:p>
    <w:tbl>
      <w:tblPr>
        <w:tblStyle w:val="Tablaconcuadrcula"/>
        <w:tblW w:w="0" w:type="auto"/>
        <w:tblLook w:val="04A0" w:firstRow="1" w:lastRow="0" w:firstColumn="1" w:lastColumn="0" w:noHBand="0" w:noVBand="1"/>
      </w:tblPr>
      <w:tblGrid>
        <w:gridCol w:w="8476"/>
        <w:gridCol w:w="575"/>
        <w:gridCol w:w="575"/>
        <w:gridCol w:w="575"/>
        <w:gridCol w:w="589"/>
      </w:tblGrid>
      <w:tr w:rsidR="00DF0D54" w:rsidRPr="009A501D" w14:paraId="17249993" w14:textId="77777777" w:rsidTr="00DF0D54">
        <w:trPr>
          <w:trHeight w:val="284"/>
        </w:trPr>
        <w:tc>
          <w:tcPr>
            <w:tcW w:w="8476" w:type="dxa"/>
            <w:shd w:val="clear" w:color="auto" w:fill="002060"/>
            <w:vAlign w:val="center"/>
          </w:tcPr>
          <w:p w14:paraId="71EB9F00" w14:textId="56530F9F" w:rsidR="00015C47" w:rsidRPr="009A501D" w:rsidRDefault="00DF0D54" w:rsidP="00DF0D54">
            <w:pPr>
              <w:jc w:val="center"/>
              <w:rPr>
                <w:rFonts w:ascii="Century Gothic" w:hAnsi="Century Gothic"/>
                <w:b/>
                <w:bCs/>
                <w:color w:val="FFFFFF" w:themeColor="background1"/>
                <w:sz w:val="16"/>
                <w:szCs w:val="16"/>
              </w:rPr>
            </w:pPr>
            <w:r w:rsidRPr="009A501D">
              <w:rPr>
                <w:rFonts w:ascii="Century Gothic" w:hAnsi="Century Gothic"/>
                <w:b/>
                <w:bCs/>
                <w:color w:val="FFFFFF" w:themeColor="background1"/>
                <w:sz w:val="16"/>
                <w:szCs w:val="16"/>
              </w:rPr>
              <w:t>Indicador</w:t>
            </w:r>
          </w:p>
        </w:tc>
        <w:tc>
          <w:tcPr>
            <w:tcW w:w="575" w:type="dxa"/>
            <w:shd w:val="clear" w:color="auto" w:fill="002060"/>
            <w:vAlign w:val="center"/>
          </w:tcPr>
          <w:p w14:paraId="773FBD18" w14:textId="71CCA353" w:rsidR="00015C47" w:rsidRPr="009A501D" w:rsidRDefault="00DF0D54" w:rsidP="00DF0D54">
            <w:pPr>
              <w:jc w:val="center"/>
              <w:rPr>
                <w:rFonts w:ascii="Century Gothic" w:hAnsi="Century Gothic"/>
                <w:b/>
                <w:bCs/>
                <w:color w:val="FFFFFF" w:themeColor="background1"/>
                <w:sz w:val="16"/>
                <w:szCs w:val="16"/>
              </w:rPr>
            </w:pPr>
            <w:r w:rsidRPr="009A501D">
              <w:rPr>
                <w:rFonts w:ascii="Century Gothic" w:hAnsi="Century Gothic"/>
                <w:b/>
                <w:bCs/>
                <w:color w:val="FFFFFF" w:themeColor="background1"/>
                <w:sz w:val="16"/>
                <w:szCs w:val="16"/>
              </w:rPr>
              <w:t>2019</w:t>
            </w:r>
          </w:p>
        </w:tc>
        <w:tc>
          <w:tcPr>
            <w:tcW w:w="575" w:type="dxa"/>
            <w:shd w:val="clear" w:color="auto" w:fill="002060"/>
            <w:vAlign w:val="center"/>
          </w:tcPr>
          <w:p w14:paraId="63462E23" w14:textId="1C9B69F0" w:rsidR="00015C47" w:rsidRPr="009A501D" w:rsidRDefault="00DF0D54" w:rsidP="00DF0D54">
            <w:pPr>
              <w:jc w:val="center"/>
              <w:rPr>
                <w:rFonts w:ascii="Century Gothic" w:hAnsi="Century Gothic"/>
                <w:b/>
                <w:bCs/>
                <w:color w:val="FFFFFF" w:themeColor="background1"/>
                <w:sz w:val="16"/>
                <w:szCs w:val="16"/>
              </w:rPr>
            </w:pPr>
            <w:r w:rsidRPr="009A501D">
              <w:rPr>
                <w:rFonts w:ascii="Century Gothic" w:hAnsi="Century Gothic"/>
                <w:b/>
                <w:bCs/>
                <w:color w:val="FFFFFF" w:themeColor="background1"/>
                <w:sz w:val="16"/>
                <w:szCs w:val="16"/>
              </w:rPr>
              <w:t>2020</w:t>
            </w:r>
          </w:p>
        </w:tc>
        <w:tc>
          <w:tcPr>
            <w:tcW w:w="575" w:type="dxa"/>
            <w:shd w:val="clear" w:color="auto" w:fill="002060"/>
            <w:vAlign w:val="center"/>
          </w:tcPr>
          <w:p w14:paraId="1664EEA0" w14:textId="5F28AE40" w:rsidR="00015C47" w:rsidRPr="009A501D" w:rsidRDefault="00DF0D54" w:rsidP="00DF0D54">
            <w:pPr>
              <w:jc w:val="center"/>
              <w:rPr>
                <w:rFonts w:ascii="Century Gothic" w:hAnsi="Century Gothic"/>
                <w:b/>
                <w:bCs/>
                <w:color w:val="FFFFFF" w:themeColor="background1"/>
                <w:sz w:val="16"/>
                <w:szCs w:val="16"/>
              </w:rPr>
            </w:pPr>
            <w:r w:rsidRPr="009A501D">
              <w:rPr>
                <w:rFonts w:ascii="Century Gothic" w:hAnsi="Century Gothic"/>
                <w:b/>
                <w:bCs/>
                <w:color w:val="FFFFFF" w:themeColor="background1"/>
                <w:sz w:val="16"/>
                <w:szCs w:val="16"/>
              </w:rPr>
              <w:t>2021</w:t>
            </w:r>
          </w:p>
        </w:tc>
        <w:tc>
          <w:tcPr>
            <w:tcW w:w="589" w:type="dxa"/>
            <w:shd w:val="clear" w:color="auto" w:fill="002060"/>
            <w:vAlign w:val="center"/>
          </w:tcPr>
          <w:p w14:paraId="392337E8" w14:textId="1ADC9FA4" w:rsidR="00015C47" w:rsidRPr="009A501D" w:rsidRDefault="00DF0D54" w:rsidP="00DF0D54">
            <w:pPr>
              <w:jc w:val="center"/>
              <w:rPr>
                <w:rFonts w:ascii="Century Gothic" w:hAnsi="Century Gothic"/>
                <w:b/>
                <w:bCs/>
                <w:color w:val="FFFFFF" w:themeColor="background1"/>
                <w:sz w:val="16"/>
                <w:szCs w:val="16"/>
              </w:rPr>
            </w:pPr>
            <w:r w:rsidRPr="009A501D">
              <w:rPr>
                <w:rFonts w:ascii="Century Gothic" w:hAnsi="Century Gothic"/>
                <w:b/>
                <w:bCs/>
                <w:color w:val="FFFFFF" w:themeColor="background1"/>
                <w:sz w:val="16"/>
                <w:szCs w:val="16"/>
              </w:rPr>
              <w:t>2022</w:t>
            </w:r>
          </w:p>
        </w:tc>
      </w:tr>
      <w:tr w:rsidR="00015C47" w:rsidRPr="009A501D" w14:paraId="3FF9674C" w14:textId="77777777" w:rsidTr="00DF0D54">
        <w:trPr>
          <w:trHeight w:val="284"/>
        </w:trPr>
        <w:tc>
          <w:tcPr>
            <w:tcW w:w="8476" w:type="dxa"/>
            <w:vAlign w:val="center"/>
          </w:tcPr>
          <w:p w14:paraId="72244B28" w14:textId="7C01536E" w:rsidR="00015C47" w:rsidRPr="009A501D" w:rsidRDefault="00015C47" w:rsidP="009F2A85">
            <w:pPr>
              <w:jc w:val="both"/>
              <w:rPr>
                <w:rFonts w:ascii="Century Gothic" w:hAnsi="Century Gothic"/>
                <w:sz w:val="16"/>
                <w:szCs w:val="16"/>
              </w:rPr>
            </w:pPr>
            <w:r w:rsidRPr="009A501D">
              <w:rPr>
                <w:rFonts w:ascii="Century Gothic" w:hAnsi="Century Gothic"/>
                <w:sz w:val="16"/>
                <w:szCs w:val="16"/>
              </w:rPr>
              <w:t>Porcentaje de procesos con tasa de no respuesta superior a la esperada en el diseño muestral</w:t>
            </w:r>
          </w:p>
        </w:tc>
        <w:tc>
          <w:tcPr>
            <w:tcW w:w="575" w:type="dxa"/>
            <w:vAlign w:val="center"/>
          </w:tcPr>
          <w:p w14:paraId="7564248E" w14:textId="427DAA26" w:rsidR="00015C47" w:rsidRPr="009A501D" w:rsidRDefault="00015C47" w:rsidP="009F2A85">
            <w:pPr>
              <w:jc w:val="both"/>
              <w:rPr>
                <w:rFonts w:ascii="Century Gothic" w:hAnsi="Century Gothic"/>
                <w:sz w:val="16"/>
                <w:szCs w:val="16"/>
              </w:rPr>
            </w:pPr>
            <w:r w:rsidRPr="009A501D">
              <w:rPr>
                <w:rFonts w:ascii="Century Gothic" w:hAnsi="Century Gothic"/>
                <w:sz w:val="16"/>
                <w:szCs w:val="16"/>
              </w:rPr>
              <w:t>5%</w:t>
            </w:r>
          </w:p>
        </w:tc>
        <w:tc>
          <w:tcPr>
            <w:tcW w:w="575" w:type="dxa"/>
            <w:vAlign w:val="center"/>
          </w:tcPr>
          <w:p w14:paraId="1DDB5280" w14:textId="577EFB2C" w:rsidR="00015C47" w:rsidRPr="009A501D" w:rsidRDefault="00015C47" w:rsidP="009F2A85">
            <w:pPr>
              <w:jc w:val="both"/>
              <w:rPr>
                <w:rFonts w:ascii="Century Gothic" w:hAnsi="Century Gothic"/>
                <w:sz w:val="16"/>
                <w:szCs w:val="16"/>
              </w:rPr>
            </w:pPr>
            <w:r w:rsidRPr="009A501D">
              <w:rPr>
                <w:rFonts w:ascii="Century Gothic" w:hAnsi="Century Gothic"/>
                <w:sz w:val="16"/>
                <w:szCs w:val="16"/>
              </w:rPr>
              <w:t>26%</w:t>
            </w:r>
          </w:p>
        </w:tc>
        <w:tc>
          <w:tcPr>
            <w:tcW w:w="575" w:type="dxa"/>
            <w:vAlign w:val="center"/>
          </w:tcPr>
          <w:p w14:paraId="01F8B62C" w14:textId="2211E73F" w:rsidR="00015C47" w:rsidRPr="009A501D" w:rsidRDefault="009F2A85" w:rsidP="009F2A85">
            <w:pPr>
              <w:jc w:val="both"/>
              <w:rPr>
                <w:rFonts w:ascii="Century Gothic" w:hAnsi="Century Gothic"/>
                <w:sz w:val="16"/>
                <w:szCs w:val="16"/>
              </w:rPr>
            </w:pPr>
            <w:r w:rsidRPr="009A501D">
              <w:rPr>
                <w:rFonts w:ascii="Century Gothic" w:hAnsi="Century Gothic"/>
                <w:sz w:val="16"/>
                <w:szCs w:val="16"/>
              </w:rPr>
              <w:t>37%</w:t>
            </w:r>
          </w:p>
        </w:tc>
        <w:tc>
          <w:tcPr>
            <w:tcW w:w="589" w:type="dxa"/>
            <w:vAlign w:val="center"/>
          </w:tcPr>
          <w:p w14:paraId="3D7155E8" w14:textId="6B49EEBF" w:rsidR="00015C47" w:rsidRPr="009A501D" w:rsidRDefault="009F2A85" w:rsidP="009F2A85">
            <w:pPr>
              <w:jc w:val="both"/>
              <w:rPr>
                <w:rFonts w:ascii="Century Gothic" w:hAnsi="Century Gothic"/>
                <w:sz w:val="16"/>
                <w:szCs w:val="16"/>
              </w:rPr>
            </w:pPr>
            <w:r w:rsidRPr="009A501D">
              <w:rPr>
                <w:rFonts w:ascii="Century Gothic" w:hAnsi="Century Gothic"/>
                <w:sz w:val="16"/>
                <w:szCs w:val="16"/>
              </w:rPr>
              <w:t>1</w:t>
            </w:r>
            <w:r w:rsidR="00E729CB">
              <w:rPr>
                <w:rFonts w:ascii="Century Gothic" w:hAnsi="Century Gothic"/>
                <w:sz w:val="16"/>
                <w:szCs w:val="16"/>
              </w:rPr>
              <w:t>3</w:t>
            </w:r>
            <w:r w:rsidRPr="009A501D">
              <w:rPr>
                <w:rFonts w:ascii="Century Gothic" w:hAnsi="Century Gothic"/>
                <w:sz w:val="16"/>
                <w:szCs w:val="16"/>
              </w:rPr>
              <w:t>%</w:t>
            </w:r>
          </w:p>
        </w:tc>
      </w:tr>
      <w:tr w:rsidR="00015C47" w:rsidRPr="009A501D" w14:paraId="50702D6F" w14:textId="77777777" w:rsidTr="00DF0D54">
        <w:trPr>
          <w:trHeight w:val="284"/>
        </w:trPr>
        <w:tc>
          <w:tcPr>
            <w:tcW w:w="8476" w:type="dxa"/>
            <w:shd w:val="clear" w:color="auto" w:fill="D9D9D9" w:themeFill="background1" w:themeFillShade="D9"/>
            <w:vAlign w:val="center"/>
          </w:tcPr>
          <w:p w14:paraId="5DFC9A10" w14:textId="71B6DAEB" w:rsidR="00015C47" w:rsidRPr="009A501D" w:rsidRDefault="00015C47" w:rsidP="009F2A85">
            <w:pPr>
              <w:jc w:val="both"/>
              <w:rPr>
                <w:rFonts w:ascii="Century Gothic" w:hAnsi="Century Gothic"/>
                <w:sz w:val="16"/>
                <w:szCs w:val="16"/>
              </w:rPr>
            </w:pPr>
            <w:r w:rsidRPr="009A501D">
              <w:rPr>
                <w:rFonts w:ascii="Century Gothic" w:hAnsi="Century Gothic"/>
                <w:sz w:val="16"/>
                <w:szCs w:val="16"/>
              </w:rPr>
              <w:t>Porcentaje de procesos que presentaron un cumplimiento total en la muestra mínima esperada</w:t>
            </w:r>
          </w:p>
        </w:tc>
        <w:tc>
          <w:tcPr>
            <w:tcW w:w="575" w:type="dxa"/>
            <w:shd w:val="clear" w:color="auto" w:fill="D9D9D9" w:themeFill="background1" w:themeFillShade="D9"/>
            <w:vAlign w:val="center"/>
          </w:tcPr>
          <w:p w14:paraId="3EAF2E48" w14:textId="54C2213C" w:rsidR="00015C47" w:rsidRPr="009A501D" w:rsidRDefault="00015C47" w:rsidP="009F2A85">
            <w:pPr>
              <w:jc w:val="both"/>
              <w:rPr>
                <w:rFonts w:ascii="Century Gothic" w:hAnsi="Century Gothic"/>
                <w:sz w:val="16"/>
                <w:szCs w:val="16"/>
              </w:rPr>
            </w:pPr>
            <w:r w:rsidRPr="009A501D">
              <w:rPr>
                <w:rFonts w:ascii="Century Gothic" w:hAnsi="Century Gothic"/>
                <w:sz w:val="16"/>
                <w:szCs w:val="16"/>
              </w:rPr>
              <w:t>91%</w:t>
            </w:r>
          </w:p>
        </w:tc>
        <w:tc>
          <w:tcPr>
            <w:tcW w:w="575" w:type="dxa"/>
            <w:shd w:val="clear" w:color="auto" w:fill="D9D9D9" w:themeFill="background1" w:themeFillShade="D9"/>
            <w:vAlign w:val="center"/>
          </w:tcPr>
          <w:p w14:paraId="618F4B28" w14:textId="14155371" w:rsidR="00015C47" w:rsidRPr="009A501D" w:rsidRDefault="009F2A85" w:rsidP="009F2A85">
            <w:pPr>
              <w:jc w:val="both"/>
              <w:rPr>
                <w:rFonts w:ascii="Century Gothic" w:hAnsi="Century Gothic"/>
                <w:sz w:val="16"/>
                <w:szCs w:val="16"/>
              </w:rPr>
            </w:pPr>
            <w:r w:rsidRPr="009A501D">
              <w:rPr>
                <w:rFonts w:ascii="Century Gothic" w:hAnsi="Century Gothic"/>
                <w:sz w:val="16"/>
                <w:szCs w:val="16"/>
              </w:rPr>
              <w:t>35%</w:t>
            </w:r>
          </w:p>
        </w:tc>
        <w:tc>
          <w:tcPr>
            <w:tcW w:w="575" w:type="dxa"/>
            <w:shd w:val="clear" w:color="auto" w:fill="D9D9D9" w:themeFill="background1" w:themeFillShade="D9"/>
            <w:vAlign w:val="center"/>
          </w:tcPr>
          <w:p w14:paraId="514336EA" w14:textId="127336BB" w:rsidR="00015C47" w:rsidRPr="009A501D" w:rsidRDefault="009F2A85" w:rsidP="009F2A85">
            <w:pPr>
              <w:jc w:val="both"/>
              <w:rPr>
                <w:rFonts w:ascii="Century Gothic" w:hAnsi="Century Gothic"/>
                <w:sz w:val="16"/>
                <w:szCs w:val="16"/>
              </w:rPr>
            </w:pPr>
            <w:r w:rsidRPr="009A501D">
              <w:rPr>
                <w:rFonts w:ascii="Century Gothic" w:hAnsi="Century Gothic"/>
                <w:sz w:val="16"/>
                <w:szCs w:val="16"/>
              </w:rPr>
              <w:t>52%</w:t>
            </w:r>
          </w:p>
        </w:tc>
        <w:tc>
          <w:tcPr>
            <w:tcW w:w="589" w:type="dxa"/>
            <w:shd w:val="clear" w:color="auto" w:fill="D9D9D9" w:themeFill="background1" w:themeFillShade="D9"/>
            <w:vAlign w:val="center"/>
          </w:tcPr>
          <w:p w14:paraId="1A9E92BD" w14:textId="6ED9D42B" w:rsidR="00015C47" w:rsidRPr="009A501D" w:rsidRDefault="009F2A85" w:rsidP="009F2A85">
            <w:pPr>
              <w:jc w:val="both"/>
              <w:rPr>
                <w:rFonts w:ascii="Century Gothic" w:hAnsi="Century Gothic"/>
                <w:sz w:val="16"/>
                <w:szCs w:val="16"/>
              </w:rPr>
            </w:pPr>
            <w:r w:rsidRPr="009A501D">
              <w:rPr>
                <w:rFonts w:ascii="Century Gothic" w:hAnsi="Century Gothic"/>
                <w:sz w:val="16"/>
                <w:szCs w:val="16"/>
              </w:rPr>
              <w:t>76%</w:t>
            </w:r>
          </w:p>
        </w:tc>
      </w:tr>
    </w:tbl>
    <w:p w14:paraId="3C85F107" w14:textId="77F132CA" w:rsidR="005D06E6" w:rsidRPr="009A501D" w:rsidRDefault="005D06E6" w:rsidP="00664A1D">
      <w:pPr>
        <w:spacing w:before="240"/>
        <w:jc w:val="both"/>
        <w:rPr>
          <w:rFonts w:ascii="Century Gothic" w:hAnsi="Century Gothic"/>
          <w:sz w:val="19"/>
          <w:szCs w:val="19"/>
        </w:rPr>
      </w:pPr>
      <w:r w:rsidRPr="009A501D">
        <w:rPr>
          <w:rFonts w:ascii="Century Gothic" w:hAnsi="Century Gothic"/>
          <w:sz w:val="19"/>
          <w:szCs w:val="19"/>
        </w:rPr>
        <w:t>Una forma de hacer frente a la no respuesta es la revisión y ajuste del diseño muestral.  Por ejemplo,</w:t>
      </w:r>
      <w:r w:rsidR="00460EC4">
        <w:rPr>
          <w:rFonts w:ascii="Century Gothic" w:hAnsi="Century Gothic"/>
          <w:sz w:val="19"/>
          <w:szCs w:val="19"/>
        </w:rPr>
        <w:t xml:space="preserve"> en 2020 la </w:t>
      </w:r>
      <w:r w:rsidR="00460EC4" w:rsidRPr="009A501D">
        <w:rPr>
          <w:rFonts w:ascii="Century Gothic" w:hAnsi="Century Gothic"/>
          <w:sz w:val="19"/>
          <w:szCs w:val="19"/>
        </w:rPr>
        <w:t>Encuesta Nacional de Ingreso Gasto de los Hogares (ENIGH)</w:t>
      </w:r>
      <w:r w:rsidR="00460EC4">
        <w:rPr>
          <w:rFonts w:ascii="Century Gothic" w:hAnsi="Century Gothic"/>
          <w:sz w:val="19"/>
          <w:szCs w:val="19"/>
        </w:rPr>
        <w:t xml:space="preserve"> </w:t>
      </w:r>
      <w:r w:rsidR="00460EC4" w:rsidRPr="009A501D">
        <w:rPr>
          <w:rFonts w:ascii="Century Gothic" w:hAnsi="Century Gothic"/>
          <w:sz w:val="19"/>
          <w:szCs w:val="19"/>
        </w:rPr>
        <w:t xml:space="preserve">definió </w:t>
      </w:r>
      <w:r w:rsidR="00460EC4" w:rsidRPr="009A501D">
        <w:rPr>
          <w:rFonts w:ascii="Century Gothic" w:hAnsi="Century Gothic"/>
          <w:i/>
          <w:iCs/>
          <w:sz w:val="19"/>
          <w:szCs w:val="19"/>
        </w:rPr>
        <w:t>tasas de no respuesta máximas esperadas</w:t>
      </w:r>
      <w:r w:rsidR="00460EC4" w:rsidRPr="009A501D">
        <w:rPr>
          <w:rFonts w:ascii="Century Gothic" w:hAnsi="Century Gothic"/>
          <w:sz w:val="19"/>
          <w:szCs w:val="19"/>
        </w:rPr>
        <w:t xml:space="preserve"> diferenciadas por dominio de estudio</w:t>
      </w:r>
      <w:r w:rsidR="00460EC4">
        <w:rPr>
          <w:rFonts w:ascii="Century Gothic" w:hAnsi="Century Gothic"/>
          <w:sz w:val="19"/>
          <w:szCs w:val="19"/>
        </w:rPr>
        <w:t xml:space="preserve"> y en 2022 </w:t>
      </w:r>
      <w:r w:rsidRPr="009A501D">
        <w:rPr>
          <w:rFonts w:ascii="Century Gothic" w:hAnsi="Century Gothic"/>
          <w:sz w:val="19"/>
          <w:szCs w:val="19"/>
        </w:rPr>
        <w:t>la</w:t>
      </w:r>
      <w:r w:rsidR="00FB5E23">
        <w:rPr>
          <w:rFonts w:ascii="Century Gothic" w:hAnsi="Century Gothic"/>
          <w:sz w:val="19"/>
          <w:szCs w:val="19"/>
        </w:rPr>
        <w:t xml:space="preserve"> </w:t>
      </w:r>
      <w:r w:rsidRPr="009A501D">
        <w:rPr>
          <w:rFonts w:ascii="Century Gothic" w:hAnsi="Century Gothic"/>
          <w:sz w:val="19"/>
          <w:szCs w:val="19"/>
        </w:rPr>
        <w:t>Encuesta de Comercio Internacional de Servicios (ECIS)</w:t>
      </w:r>
      <w:r w:rsidR="00460EC4">
        <w:rPr>
          <w:rStyle w:val="Refdenotaalpie"/>
          <w:rFonts w:ascii="Century Gothic" w:hAnsi="Century Gothic"/>
          <w:sz w:val="19"/>
          <w:szCs w:val="19"/>
        </w:rPr>
        <w:footnoteReference w:id="14"/>
      </w:r>
      <w:r w:rsidR="00460EC4">
        <w:rPr>
          <w:rFonts w:ascii="Century Gothic" w:hAnsi="Century Gothic"/>
          <w:sz w:val="19"/>
          <w:szCs w:val="19"/>
        </w:rPr>
        <w:t xml:space="preserve"> incluyó en su diseño estadístico procedimientos similares.</w:t>
      </w:r>
      <w:r w:rsidRPr="009A501D">
        <w:rPr>
          <w:rFonts w:ascii="Century Gothic" w:hAnsi="Century Gothic"/>
          <w:sz w:val="19"/>
          <w:szCs w:val="19"/>
        </w:rPr>
        <w:t xml:space="preserve">  </w:t>
      </w:r>
    </w:p>
    <w:p w14:paraId="1966E6BD" w14:textId="6C72DC70" w:rsidR="005D06E6" w:rsidRPr="009A501D" w:rsidRDefault="005D06E6" w:rsidP="00664A1D">
      <w:pPr>
        <w:spacing w:before="240"/>
        <w:jc w:val="both"/>
        <w:rPr>
          <w:rFonts w:ascii="Century Gothic" w:hAnsi="Century Gothic"/>
          <w:sz w:val="19"/>
          <w:szCs w:val="19"/>
        </w:rPr>
      </w:pPr>
      <w:r w:rsidRPr="009A501D">
        <w:rPr>
          <w:rFonts w:ascii="Century Gothic" w:hAnsi="Century Gothic"/>
          <w:sz w:val="19"/>
          <w:szCs w:val="19"/>
        </w:rPr>
        <w:t>Otra</w:t>
      </w:r>
      <w:r w:rsidR="00931152" w:rsidRPr="009A501D">
        <w:rPr>
          <w:rFonts w:ascii="Century Gothic" w:hAnsi="Century Gothic"/>
          <w:sz w:val="19"/>
          <w:szCs w:val="19"/>
        </w:rPr>
        <w:t xml:space="preserve"> de las alternativas metodológicas para completar l</w:t>
      </w:r>
      <w:r w:rsidR="00832AF8" w:rsidRPr="009A501D">
        <w:rPr>
          <w:rFonts w:ascii="Century Gothic" w:hAnsi="Century Gothic"/>
          <w:sz w:val="19"/>
          <w:szCs w:val="19"/>
        </w:rPr>
        <w:t>os</w:t>
      </w:r>
      <w:r w:rsidR="00931152" w:rsidRPr="009A501D">
        <w:rPr>
          <w:rFonts w:ascii="Century Gothic" w:hAnsi="Century Gothic"/>
          <w:sz w:val="19"/>
          <w:szCs w:val="19"/>
        </w:rPr>
        <w:t xml:space="preserve"> </w:t>
      </w:r>
      <w:r w:rsidR="00832AF8" w:rsidRPr="009A501D">
        <w:rPr>
          <w:rFonts w:ascii="Century Gothic" w:hAnsi="Century Gothic"/>
          <w:sz w:val="19"/>
          <w:szCs w:val="19"/>
        </w:rPr>
        <w:t>datos</w:t>
      </w:r>
      <w:r w:rsidR="00931152" w:rsidRPr="009A501D">
        <w:rPr>
          <w:rFonts w:ascii="Century Gothic" w:hAnsi="Century Gothic"/>
          <w:sz w:val="19"/>
          <w:szCs w:val="19"/>
        </w:rPr>
        <w:t xml:space="preserve"> en caso de no respuesta es la imputación.  Por ello, a la par </w:t>
      </w:r>
      <w:r w:rsidR="005D53A2" w:rsidRPr="009A501D">
        <w:rPr>
          <w:rFonts w:ascii="Century Gothic" w:hAnsi="Century Gothic"/>
          <w:sz w:val="19"/>
          <w:szCs w:val="19"/>
        </w:rPr>
        <w:t xml:space="preserve">de </w:t>
      </w:r>
      <w:r w:rsidR="00962F6A" w:rsidRPr="009A501D">
        <w:rPr>
          <w:rFonts w:ascii="Century Gothic" w:hAnsi="Century Gothic"/>
          <w:sz w:val="19"/>
          <w:szCs w:val="19"/>
        </w:rPr>
        <w:t>la disminución de</w:t>
      </w:r>
      <w:r w:rsidR="00931152" w:rsidRPr="009A501D">
        <w:rPr>
          <w:rFonts w:ascii="Century Gothic" w:hAnsi="Century Gothic"/>
          <w:sz w:val="19"/>
          <w:szCs w:val="19"/>
        </w:rPr>
        <w:t xml:space="preserve"> las </w:t>
      </w:r>
      <w:r w:rsidR="00931152" w:rsidRPr="009A501D">
        <w:rPr>
          <w:rFonts w:ascii="Century Gothic" w:hAnsi="Century Gothic"/>
          <w:i/>
          <w:iCs/>
          <w:sz w:val="19"/>
          <w:szCs w:val="19"/>
        </w:rPr>
        <w:t>tasas de no respuesta</w:t>
      </w:r>
      <w:r w:rsidR="00931152" w:rsidRPr="009A501D">
        <w:rPr>
          <w:rFonts w:ascii="Century Gothic" w:hAnsi="Century Gothic"/>
          <w:sz w:val="19"/>
          <w:szCs w:val="19"/>
        </w:rPr>
        <w:t xml:space="preserve">, se esperaría observar una reducción equiparable en </w:t>
      </w:r>
      <w:r w:rsidR="00931152" w:rsidRPr="009A501D">
        <w:rPr>
          <w:rFonts w:ascii="Century Gothic" w:hAnsi="Century Gothic"/>
          <w:i/>
          <w:iCs/>
          <w:sz w:val="19"/>
          <w:szCs w:val="19"/>
        </w:rPr>
        <w:t xml:space="preserve">las tasas </w:t>
      </w:r>
      <w:r w:rsidR="00931152" w:rsidRPr="009A501D">
        <w:rPr>
          <w:rFonts w:ascii="Century Gothic" w:hAnsi="Century Gothic"/>
          <w:i/>
          <w:iCs/>
          <w:sz w:val="19"/>
          <w:szCs w:val="19"/>
        </w:rPr>
        <w:lastRenderedPageBreak/>
        <w:t>de imputación</w:t>
      </w:r>
      <w:r w:rsidRPr="009A501D">
        <w:rPr>
          <w:rFonts w:ascii="Century Gothic" w:hAnsi="Century Gothic"/>
          <w:sz w:val="19"/>
          <w:szCs w:val="19"/>
        </w:rPr>
        <w:t>.</w:t>
      </w:r>
      <w:r w:rsidR="00931152" w:rsidRPr="009A501D">
        <w:rPr>
          <w:rFonts w:ascii="Century Gothic" w:hAnsi="Century Gothic"/>
          <w:sz w:val="19"/>
          <w:szCs w:val="19"/>
        </w:rPr>
        <w:t xml:space="preserve"> </w:t>
      </w:r>
      <w:r w:rsidRPr="009A501D">
        <w:rPr>
          <w:rFonts w:ascii="Century Gothic" w:hAnsi="Century Gothic"/>
          <w:sz w:val="19"/>
          <w:szCs w:val="19"/>
        </w:rPr>
        <w:t xml:space="preserve">Si bien se observa una ligera disminución, aún </w:t>
      </w:r>
      <w:r w:rsidR="001B046D" w:rsidRPr="009A501D">
        <w:rPr>
          <w:rFonts w:ascii="Century Gothic" w:hAnsi="Century Gothic"/>
          <w:sz w:val="19"/>
          <w:szCs w:val="19"/>
        </w:rPr>
        <w:t xml:space="preserve">se encuentra </w:t>
      </w:r>
      <w:r w:rsidRPr="009A501D">
        <w:rPr>
          <w:rFonts w:ascii="Century Gothic" w:hAnsi="Century Gothic"/>
          <w:sz w:val="19"/>
          <w:szCs w:val="19"/>
        </w:rPr>
        <w:t>en niveles registrados durante el primer año de la pandemia</w:t>
      </w:r>
      <w:r w:rsidR="00A055AA" w:rsidRPr="009A501D">
        <w:rPr>
          <w:rFonts w:ascii="Century Gothic" w:hAnsi="Century Gothic"/>
          <w:sz w:val="19"/>
          <w:szCs w:val="19"/>
        </w:rPr>
        <w:t xml:space="preserve"> (ver cuadro III.5</w:t>
      </w:r>
      <w:r w:rsidR="007209F6" w:rsidRPr="009A501D">
        <w:rPr>
          <w:rFonts w:ascii="Century Gothic" w:hAnsi="Century Gothic"/>
          <w:sz w:val="19"/>
          <w:szCs w:val="19"/>
        </w:rPr>
        <w:t>.C.</w:t>
      </w:r>
      <w:r w:rsidR="00F327DA" w:rsidRPr="009A501D">
        <w:rPr>
          <w:rFonts w:ascii="Century Gothic" w:hAnsi="Century Gothic"/>
          <w:sz w:val="19"/>
          <w:szCs w:val="19"/>
        </w:rPr>
        <w:t>6</w:t>
      </w:r>
      <w:r w:rsidR="007209F6" w:rsidRPr="009A501D">
        <w:rPr>
          <w:rFonts w:ascii="Century Gothic" w:hAnsi="Century Gothic"/>
          <w:sz w:val="19"/>
          <w:szCs w:val="19"/>
        </w:rPr>
        <w:t>)</w:t>
      </w:r>
      <w:r w:rsidRPr="009A501D">
        <w:rPr>
          <w:rFonts w:ascii="Century Gothic" w:hAnsi="Century Gothic"/>
          <w:sz w:val="19"/>
          <w:szCs w:val="19"/>
        </w:rPr>
        <w:t>.</w:t>
      </w:r>
    </w:p>
    <w:p w14:paraId="73F7867F" w14:textId="77163300" w:rsidR="00931152" w:rsidRPr="009A501D" w:rsidRDefault="00931152" w:rsidP="00664A1D">
      <w:pPr>
        <w:spacing w:before="240"/>
        <w:jc w:val="center"/>
        <w:rPr>
          <w:rFonts w:ascii="Century Gothic" w:hAnsi="Century Gothic"/>
        </w:rPr>
      </w:pPr>
      <w:r w:rsidRPr="009A501D">
        <w:rPr>
          <w:rFonts w:ascii="Century Gothic" w:hAnsi="Century Gothic"/>
          <w:b/>
          <w:sz w:val="19"/>
          <w:szCs w:val="19"/>
        </w:rPr>
        <w:t>III.</w:t>
      </w:r>
      <w:r w:rsidR="009B3A86" w:rsidRPr="009A501D">
        <w:rPr>
          <w:rFonts w:ascii="Century Gothic" w:hAnsi="Century Gothic"/>
          <w:b/>
          <w:sz w:val="19"/>
          <w:szCs w:val="19"/>
        </w:rPr>
        <w:t>5.C</w:t>
      </w:r>
      <w:r w:rsidRPr="009A501D">
        <w:rPr>
          <w:rFonts w:ascii="Century Gothic" w:hAnsi="Century Gothic"/>
          <w:b/>
          <w:sz w:val="19"/>
          <w:szCs w:val="19"/>
        </w:rPr>
        <w:t>.</w:t>
      </w:r>
      <w:r w:rsidR="00F327DA" w:rsidRPr="009A501D">
        <w:rPr>
          <w:rFonts w:ascii="Century Gothic" w:hAnsi="Century Gothic"/>
          <w:b/>
          <w:sz w:val="19"/>
          <w:szCs w:val="19"/>
        </w:rPr>
        <w:t>6</w:t>
      </w:r>
      <w:r w:rsidRPr="009A501D">
        <w:rPr>
          <w:rFonts w:ascii="Century Gothic" w:hAnsi="Century Gothic"/>
          <w:b/>
          <w:sz w:val="19"/>
          <w:szCs w:val="19"/>
        </w:rPr>
        <w:t xml:space="preserve"> Promedio de las tasas de imputación a nivel unidad de observación por Unidad Administrativa</w:t>
      </w:r>
    </w:p>
    <w:tbl>
      <w:tblPr>
        <w:tblW w:w="566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96"/>
        <w:gridCol w:w="993"/>
        <w:gridCol w:w="1019"/>
        <w:gridCol w:w="965"/>
        <w:gridCol w:w="992"/>
      </w:tblGrid>
      <w:tr w:rsidR="00931152" w:rsidRPr="009A501D" w14:paraId="089B67FC" w14:textId="77777777" w:rsidTr="00460BCB">
        <w:trPr>
          <w:trHeight w:val="284"/>
          <w:jc w:val="center"/>
        </w:trPr>
        <w:tc>
          <w:tcPr>
            <w:tcW w:w="1696" w:type="dxa"/>
            <w:shd w:val="clear" w:color="000000" w:fill="002060"/>
            <w:noWrap/>
            <w:vAlign w:val="center"/>
            <w:hideMark/>
          </w:tcPr>
          <w:p w14:paraId="79EFAA59" w14:textId="77777777" w:rsidR="00931152" w:rsidRPr="009A501D" w:rsidRDefault="00931152" w:rsidP="00832D61">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993" w:type="dxa"/>
            <w:shd w:val="clear" w:color="000000" w:fill="002060"/>
            <w:noWrap/>
            <w:vAlign w:val="center"/>
            <w:hideMark/>
          </w:tcPr>
          <w:p w14:paraId="7A670E0B" w14:textId="77777777" w:rsidR="00931152" w:rsidRPr="009A501D" w:rsidRDefault="00931152" w:rsidP="00832D61">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019" w:type="dxa"/>
            <w:shd w:val="clear" w:color="000000" w:fill="002060"/>
            <w:noWrap/>
            <w:vAlign w:val="center"/>
            <w:hideMark/>
          </w:tcPr>
          <w:p w14:paraId="5E92A39F" w14:textId="77777777" w:rsidR="00931152" w:rsidRPr="009A501D" w:rsidRDefault="00931152" w:rsidP="00832D61">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965" w:type="dxa"/>
            <w:shd w:val="clear" w:color="000000" w:fill="002060"/>
            <w:noWrap/>
            <w:vAlign w:val="center"/>
            <w:hideMark/>
          </w:tcPr>
          <w:p w14:paraId="3A9BECB2" w14:textId="77777777" w:rsidR="00931152" w:rsidRPr="009A501D" w:rsidRDefault="00931152" w:rsidP="00832D61">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992" w:type="dxa"/>
            <w:shd w:val="clear" w:color="000000" w:fill="002060"/>
            <w:noWrap/>
            <w:vAlign w:val="center"/>
            <w:hideMark/>
          </w:tcPr>
          <w:p w14:paraId="0AD42BA7" w14:textId="77777777" w:rsidR="00931152" w:rsidRPr="009A501D" w:rsidRDefault="00931152" w:rsidP="00832D61">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931152" w:rsidRPr="009A501D" w14:paraId="39B26B71" w14:textId="77777777" w:rsidTr="00EE4F8B">
        <w:trPr>
          <w:trHeight w:val="284"/>
          <w:jc w:val="center"/>
        </w:trPr>
        <w:tc>
          <w:tcPr>
            <w:tcW w:w="1696" w:type="dxa"/>
            <w:shd w:val="clear" w:color="auto" w:fill="auto"/>
            <w:noWrap/>
            <w:vAlign w:val="center"/>
            <w:hideMark/>
          </w:tcPr>
          <w:p w14:paraId="4CF0D882" w14:textId="77777777" w:rsidR="00931152" w:rsidRPr="009A501D" w:rsidRDefault="00931152" w:rsidP="00832D61">
            <w:pPr>
              <w:spacing w:after="0"/>
              <w:rPr>
                <w:rFonts w:ascii="Century Gothic" w:hAnsi="Century Gothic" w:cs="Calibri"/>
                <w:color w:val="000000"/>
                <w:sz w:val="16"/>
                <w:szCs w:val="16"/>
              </w:rPr>
            </w:pPr>
            <w:r w:rsidRPr="009A501D">
              <w:rPr>
                <w:rFonts w:ascii="Century Gothic" w:hAnsi="Century Gothic" w:cs="Calibri"/>
                <w:color w:val="000000"/>
                <w:sz w:val="16"/>
                <w:szCs w:val="16"/>
              </w:rPr>
              <w:t>DGIAI</w:t>
            </w:r>
          </w:p>
        </w:tc>
        <w:tc>
          <w:tcPr>
            <w:tcW w:w="993" w:type="dxa"/>
            <w:shd w:val="clear" w:color="auto" w:fill="auto"/>
            <w:noWrap/>
            <w:vAlign w:val="center"/>
            <w:hideMark/>
          </w:tcPr>
          <w:p w14:paraId="4EAEC246"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019" w:type="dxa"/>
            <w:shd w:val="clear" w:color="auto" w:fill="auto"/>
            <w:noWrap/>
            <w:vAlign w:val="center"/>
            <w:hideMark/>
          </w:tcPr>
          <w:p w14:paraId="215FE979"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65" w:type="dxa"/>
            <w:shd w:val="clear" w:color="auto" w:fill="auto"/>
            <w:noWrap/>
            <w:vAlign w:val="center"/>
            <w:hideMark/>
          </w:tcPr>
          <w:p w14:paraId="778C8BF7"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92" w:type="dxa"/>
            <w:shd w:val="clear" w:color="auto" w:fill="auto"/>
            <w:noWrap/>
            <w:vAlign w:val="center"/>
            <w:hideMark/>
          </w:tcPr>
          <w:p w14:paraId="65E267BB"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931152" w:rsidRPr="009A501D" w14:paraId="6B3278EC" w14:textId="77777777" w:rsidTr="00460BCB">
        <w:trPr>
          <w:trHeight w:val="284"/>
          <w:jc w:val="center"/>
        </w:trPr>
        <w:tc>
          <w:tcPr>
            <w:tcW w:w="1696" w:type="dxa"/>
            <w:shd w:val="clear" w:color="auto" w:fill="D9D9D9" w:themeFill="background1" w:themeFillShade="D9"/>
            <w:noWrap/>
            <w:vAlign w:val="center"/>
            <w:hideMark/>
          </w:tcPr>
          <w:p w14:paraId="0CD0A738" w14:textId="77777777" w:rsidR="00931152" w:rsidRPr="009A501D" w:rsidRDefault="00931152" w:rsidP="00832D61">
            <w:pPr>
              <w:spacing w:after="0"/>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993" w:type="dxa"/>
            <w:shd w:val="clear" w:color="auto" w:fill="D9D9D9" w:themeFill="background1" w:themeFillShade="D9"/>
            <w:noWrap/>
            <w:vAlign w:val="center"/>
            <w:hideMark/>
          </w:tcPr>
          <w:p w14:paraId="3BABC8AA"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7%</w:t>
            </w:r>
          </w:p>
        </w:tc>
        <w:tc>
          <w:tcPr>
            <w:tcW w:w="1019" w:type="dxa"/>
            <w:shd w:val="clear" w:color="auto" w:fill="D9D9D9" w:themeFill="background1" w:themeFillShade="D9"/>
            <w:noWrap/>
            <w:vAlign w:val="center"/>
            <w:hideMark/>
          </w:tcPr>
          <w:p w14:paraId="483DF9E0"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965" w:type="dxa"/>
            <w:shd w:val="clear" w:color="auto" w:fill="D9D9D9" w:themeFill="background1" w:themeFillShade="D9"/>
            <w:noWrap/>
            <w:vAlign w:val="center"/>
            <w:hideMark/>
          </w:tcPr>
          <w:p w14:paraId="0CA7D13B"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992" w:type="dxa"/>
            <w:shd w:val="clear" w:color="auto" w:fill="D9D9D9" w:themeFill="background1" w:themeFillShade="D9"/>
            <w:noWrap/>
            <w:vAlign w:val="center"/>
            <w:hideMark/>
          </w:tcPr>
          <w:p w14:paraId="1D128985" w14:textId="1C092A6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r w:rsidR="00A441F8">
              <w:rPr>
                <w:rFonts w:ascii="Century Gothic" w:hAnsi="Century Gothic" w:cs="Calibri"/>
                <w:color w:val="000000"/>
                <w:sz w:val="16"/>
                <w:szCs w:val="16"/>
              </w:rPr>
              <w:t>5</w:t>
            </w:r>
            <w:r w:rsidRPr="009A501D">
              <w:rPr>
                <w:rFonts w:ascii="Century Gothic" w:hAnsi="Century Gothic" w:cs="Calibri"/>
                <w:color w:val="000000"/>
                <w:sz w:val="16"/>
                <w:szCs w:val="16"/>
              </w:rPr>
              <w:t>%</w:t>
            </w:r>
          </w:p>
        </w:tc>
      </w:tr>
      <w:tr w:rsidR="00931152" w:rsidRPr="009A501D" w14:paraId="1C58A773" w14:textId="77777777" w:rsidTr="00EE4F8B">
        <w:trPr>
          <w:trHeight w:val="284"/>
          <w:jc w:val="center"/>
        </w:trPr>
        <w:tc>
          <w:tcPr>
            <w:tcW w:w="1696" w:type="dxa"/>
            <w:shd w:val="clear" w:color="auto" w:fill="auto"/>
            <w:noWrap/>
            <w:vAlign w:val="center"/>
            <w:hideMark/>
          </w:tcPr>
          <w:p w14:paraId="0A55EC20" w14:textId="77777777" w:rsidR="00931152" w:rsidRPr="009A501D" w:rsidRDefault="00931152" w:rsidP="00832D61">
            <w:pPr>
              <w:spacing w:after="0"/>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993" w:type="dxa"/>
            <w:shd w:val="clear" w:color="auto" w:fill="auto"/>
            <w:noWrap/>
            <w:vAlign w:val="center"/>
            <w:hideMark/>
          </w:tcPr>
          <w:p w14:paraId="1D503ACE"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019" w:type="dxa"/>
            <w:shd w:val="clear" w:color="auto" w:fill="auto"/>
            <w:noWrap/>
            <w:vAlign w:val="center"/>
            <w:hideMark/>
          </w:tcPr>
          <w:p w14:paraId="29ECA6A3"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65" w:type="dxa"/>
            <w:shd w:val="clear" w:color="auto" w:fill="auto"/>
            <w:noWrap/>
            <w:vAlign w:val="center"/>
            <w:hideMark/>
          </w:tcPr>
          <w:p w14:paraId="76C17EB9"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92" w:type="dxa"/>
            <w:shd w:val="clear" w:color="auto" w:fill="auto"/>
            <w:noWrap/>
            <w:vAlign w:val="center"/>
            <w:hideMark/>
          </w:tcPr>
          <w:p w14:paraId="7827724B"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931152" w:rsidRPr="009A501D" w14:paraId="63AE1561" w14:textId="77777777" w:rsidTr="00460BCB">
        <w:trPr>
          <w:trHeight w:val="284"/>
          <w:jc w:val="center"/>
        </w:trPr>
        <w:tc>
          <w:tcPr>
            <w:tcW w:w="1696" w:type="dxa"/>
            <w:shd w:val="clear" w:color="auto" w:fill="D9D9D9" w:themeFill="background1" w:themeFillShade="D9"/>
            <w:noWrap/>
            <w:vAlign w:val="center"/>
            <w:hideMark/>
          </w:tcPr>
          <w:p w14:paraId="101CB887" w14:textId="77777777" w:rsidR="00931152" w:rsidRPr="009A501D" w:rsidRDefault="00931152" w:rsidP="00832D61">
            <w:pPr>
              <w:spacing w:after="0"/>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993" w:type="dxa"/>
            <w:shd w:val="clear" w:color="auto" w:fill="D9D9D9" w:themeFill="background1" w:themeFillShade="D9"/>
            <w:noWrap/>
            <w:vAlign w:val="center"/>
            <w:hideMark/>
          </w:tcPr>
          <w:p w14:paraId="38DFCD0A"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019" w:type="dxa"/>
            <w:shd w:val="clear" w:color="auto" w:fill="D9D9D9" w:themeFill="background1" w:themeFillShade="D9"/>
            <w:noWrap/>
            <w:vAlign w:val="center"/>
            <w:hideMark/>
          </w:tcPr>
          <w:p w14:paraId="7CC9C2BC"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65" w:type="dxa"/>
            <w:shd w:val="clear" w:color="auto" w:fill="D9D9D9" w:themeFill="background1" w:themeFillShade="D9"/>
            <w:noWrap/>
            <w:vAlign w:val="center"/>
            <w:hideMark/>
          </w:tcPr>
          <w:p w14:paraId="634098C9"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92" w:type="dxa"/>
            <w:shd w:val="clear" w:color="auto" w:fill="D9D9D9" w:themeFill="background1" w:themeFillShade="D9"/>
            <w:noWrap/>
            <w:vAlign w:val="center"/>
            <w:hideMark/>
          </w:tcPr>
          <w:p w14:paraId="403245D7" w14:textId="77777777" w:rsidR="00931152" w:rsidRPr="009A501D" w:rsidRDefault="00931152" w:rsidP="00832D61">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bl>
    <w:p w14:paraId="7E1FC8AB" w14:textId="4F4FB74A" w:rsidR="00931152" w:rsidRPr="009A501D" w:rsidRDefault="00931152"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En el cuadro III.</w:t>
      </w:r>
      <w:r w:rsidR="001D5671" w:rsidRPr="009A501D">
        <w:rPr>
          <w:rFonts w:ascii="Century Gothic" w:hAnsi="Century Gothic" w:cstheme="minorHAnsi"/>
          <w:sz w:val="19"/>
          <w:szCs w:val="19"/>
        </w:rPr>
        <w:t>5.C</w:t>
      </w:r>
      <w:r w:rsidRPr="009A501D">
        <w:rPr>
          <w:rFonts w:ascii="Century Gothic" w:hAnsi="Century Gothic" w:cstheme="minorHAnsi"/>
          <w:sz w:val="19"/>
          <w:szCs w:val="19"/>
        </w:rPr>
        <w:t>.</w:t>
      </w:r>
      <w:r w:rsidR="00F327DA" w:rsidRPr="009A501D">
        <w:rPr>
          <w:rFonts w:ascii="Century Gothic" w:hAnsi="Century Gothic" w:cstheme="minorHAnsi"/>
          <w:sz w:val="19"/>
          <w:szCs w:val="19"/>
        </w:rPr>
        <w:t>7</w:t>
      </w:r>
      <w:r w:rsidRPr="009A501D">
        <w:rPr>
          <w:rFonts w:ascii="Century Gothic" w:hAnsi="Century Gothic" w:cstheme="minorHAnsi"/>
          <w:sz w:val="19"/>
          <w:szCs w:val="19"/>
        </w:rPr>
        <w:t xml:space="preserve"> se presentan los </w:t>
      </w:r>
      <w:r w:rsidR="005F6B27" w:rsidRPr="009A501D">
        <w:rPr>
          <w:rFonts w:ascii="Century Gothic" w:hAnsi="Century Gothic" w:cstheme="minorHAnsi"/>
          <w:sz w:val="19"/>
          <w:szCs w:val="19"/>
        </w:rPr>
        <w:t>procesos de producción</w:t>
      </w:r>
      <w:r w:rsidRPr="009A501D">
        <w:rPr>
          <w:rFonts w:ascii="Century Gothic" w:hAnsi="Century Gothic" w:cstheme="minorHAnsi"/>
          <w:sz w:val="19"/>
          <w:szCs w:val="19"/>
        </w:rPr>
        <w:t xml:space="preserve"> para los que </w:t>
      </w:r>
      <w:r w:rsidR="001B046D" w:rsidRPr="009A501D">
        <w:rPr>
          <w:rFonts w:ascii="Century Gothic" w:hAnsi="Century Gothic" w:cstheme="minorHAnsi"/>
          <w:sz w:val="19"/>
          <w:szCs w:val="19"/>
        </w:rPr>
        <w:t>se observaron</w:t>
      </w:r>
      <w:r w:rsidRPr="009A501D">
        <w:rPr>
          <w:rFonts w:ascii="Century Gothic" w:hAnsi="Century Gothic" w:cstheme="minorHAnsi"/>
          <w:sz w:val="19"/>
          <w:szCs w:val="19"/>
        </w:rPr>
        <w:t xml:space="preserve"> altas </w:t>
      </w:r>
      <w:r w:rsidR="005D53A2" w:rsidRPr="009A501D">
        <w:rPr>
          <w:rFonts w:ascii="Century Gothic" w:hAnsi="Century Gothic" w:cstheme="minorHAnsi"/>
          <w:i/>
          <w:iCs/>
          <w:sz w:val="19"/>
          <w:szCs w:val="19"/>
        </w:rPr>
        <w:t>t</w:t>
      </w:r>
      <w:r w:rsidRPr="009A501D">
        <w:rPr>
          <w:rFonts w:ascii="Century Gothic" w:hAnsi="Century Gothic" w:cstheme="minorHAnsi"/>
          <w:i/>
          <w:iCs/>
          <w:sz w:val="19"/>
          <w:szCs w:val="19"/>
        </w:rPr>
        <w:t xml:space="preserve">asas de </w:t>
      </w:r>
      <w:r w:rsidR="005D53A2" w:rsidRPr="009A501D">
        <w:rPr>
          <w:rFonts w:ascii="Century Gothic" w:hAnsi="Century Gothic" w:cstheme="minorHAnsi"/>
          <w:i/>
          <w:iCs/>
          <w:sz w:val="19"/>
          <w:szCs w:val="19"/>
        </w:rPr>
        <w:t>i</w:t>
      </w:r>
      <w:r w:rsidRPr="009A501D">
        <w:rPr>
          <w:rFonts w:ascii="Century Gothic" w:hAnsi="Century Gothic" w:cstheme="minorHAnsi"/>
          <w:i/>
          <w:iCs/>
          <w:sz w:val="19"/>
          <w:szCs w:val="19"/>
        </w:rPr>
        <w:t>mputación</w:t>
      </w:r>
      <w:r w:rsidR="001B046D" w:rsidRPr="009A501D">
        <w:rPr>
          <w:rFonts w:ascii="Century Gothic" w:hAnsi="Century Gothic" w:cstheme="minorHAnsi"/>
          <w:sz w:val="19"/>
          <w:szCs w:val="19"/>
        </w:rPr>
        <w:t xml:space="preserve"> en 2022</w:t>
      </w:r>
      <w:r w:rsidR="005D53A2" w:rsidRPr="009A501D">
        <w:rPr>
          <w:rFonts w:ascii="Century Gothic" w:hAnsi="Century Gothic" w:cstheme="minorHAnsi"/>
          <w:sz w:val="19"/>
          <w:szCs w:val="19"/>
        </w:rPr>
        <w:t>.</w:t>
      </w:r>
      <w:r w:rsidRPr="009A501D">
        <w:rPr>
          <w:rFonts w:ascii="Century Gothic" w:hAnsi="Century Gothic" w:cstheme="minorHAnsi"/>
          <w:sz w:val="19"/>
          <w:szCs w:val="19"/>
        </w:rPr>
        <w:t xml:space="preserve"> </w:t>
      </w:r>
      <w:r w:rsidR="005D53A2" w:rsidRPr="009A501D">
        <w:rPr>
          <w:rFonts w:ascii="Century Gothic" w:hAnsi="Century Gothic" w:cstheme="minorHAnsi"/>
          <w:sz w:val="19"/>
          <w:szCs w:val="19"/>
        </w:rPr>
        <w:t>P</w:t>
      </w:r>
      <w:r w:rsidRPr="009A501D">
        <w:rPr>
          <w:rFonts w:ascii="Century Gothic" w:hAnsi="Century Gothic" w:cstheme="minorHAnsi"/>
          <w:sz w:val="19"/>
          <w:szCs w:val="19"/>
        </w:rPr>
        <w:t>ara algunos de estos casos</w:t>
      </w:r>
      <w:r w:rsidR="003C5640" w:rsidRPr="009A501D">
        <w:rPr>
          <w:rFonts w:ascii="Century Gothic" w:hAnsi="Century Gothic" w:cstheme="minorHAnsi"/>
          <w:sz w:val="19"/>
          <w:szCs w:val="19"/>
        </w:rPr>
        <w:t>,</w:t>
      </w:r>
      <w:r w:rsidRPr="009A501D">
        <w:rPr>
          <w:rFonts w:ascii="Century Gothic" w:hAnsi="Century Gothic" w:cstheme="minorHAnsi"/>
          <w:sz w:val="19"/>
          <w:szCs w:val="19"/>
        </w:rPr>
        <w:t xml:space="preserve"> se observa</w:t>
      </w:r>
      <w:r w:rsidR="003C5640" w:rsidRPr="009A501D">
        <w:rPr>
          <w:rFonts w:ascii="Century Gothic" w:hAnsi="Century Gothic" w:cstheme="minorHAnsi"/>
          <w:sz w:val="19"/>
          <w:szCs w:val="19"/>
        </w:rPr>
        <w:t>n algunos</w:t>
      </w:r>
      <w:r w:rsidR="007C4D30" w:rsidRPr="009A501D">
        <w:rPr>
          <w:rFonts w:ascii="Century Gothic" w:hAnsi="Century Gothic" w:cstheme="minorHAnsi"/>
          <w:sz w:val="19"/>
          <w:szCs w:val="19"/>
        </w:rPr>
        <w:t xml:space="preserve"> </w:t>
      </w:r>
      <w:r w:rsidRPr="009A501D">
        <w:rPr>
          <w:rFonts w:ascii="Century Gothic" w:hAnsi="Century Gothic" w:cstheme="minorHAnsi"/>
          <w:sz w:val="19"/>
          <w:szCs w:val="19"/>
        </w:rPr>
        <w:t>incremento</w:t>
      </w:r>
      <w:r w:rsidR="000A3823" w:rsidRPr="009A501D">
        <w:rPr>
          <w:rFonts w:ascii="Century Gothic" w:hAnsi="Century Gothic" w:cstheme="minorHAnsi"/>
          <w:sz w:val="19"/>
          <w:szCs w:val="19"/>
        </w:rPr>
        <w:t>s</w:t>
      </w:r>
      <w:r w:rsidRPr="009A501D">
        <w:rPr>
          <w:rFonts w:ascii="Century Gothic" w:hAnsi="Century Gothic" w:cstheme="minorHAnsi"/>
          <w:sz w:val="19"/>
          <w:szCs w:val="19"/>
        </w:rPr>
        <w:t xml:space="preserve"> con relación al año inmediato anterior</w:t>
      </w:r>
      <w:r w:rsidR="005D53A2" w:rsidRPr="009A501D">
        <w:rPr>
          <w:rFonts w:ascii="Century Gothic" w:hAnsi="Century Gothic" w:cstheme="minorHAnsi"/>
          <w:sz w:val="19"/>
          <w:szCs w:val="19"/>
        </w:rPr>
        <w:t>.</w:t>
      </w:r>
      <w:r w:rsidR="00E420FC" w:rsidRPr="009A501D">
        <w:rPr>
          <w:rFonts w:ascii="Century Gothic" w:hAnsi="Century Gothic"/>
          <w:sz w:val="19"/>
          <w:szCs w:val="19"/>
        </w:rPr>
        <w:t xml:space="preserve"> </w:t>
      </w:r>
      <w:r w:rsidR="005D53A2" w:rsidRPr="009A501D">
        <w:rPr>
          <w:rFonts w:ascii="Century Gothic" w:hAnsi="Century Gothic"/>
          <w:sz w:val="19"/>
          <w:szCs w:val="19"/>
        </w:rPr>
        <w:t>E</w:t>
      </w:r>
      <w:r w:rsidR="00E420FC" w:rsidRPr="009A501D">
        <w:rPr>
          <w:rFonts w:ascii="Century Gothic" w:hAnsi="Century Gothic"/>
          <w:sz w:val="19"/>
          <w:szCs w:val="19"/>
        </w:rPr>
        <w:t xml:space="preserve">s </w:t>
      </w:r>
      <w:r w:rsidR="00EE4F8B" w:rsidRPr="009A501D">
        <w:rPr>
          <w:rFonts w:ascii="Century Gothic" w:hAnsi="Century Gothic"/>
          <w:sz w:val="19"/>
          <w:szCs w:val="19"/>
        </w:rPr>
        <w:t>necesario</w:t>
      </w:r>
      <w:r w:rsidR="00E420FC" w:rsidRPr="009A501D">
        <w:rPr>
          <w:rFonts w:ascii="Century Gothic" w:hAnsi="Century Gothic"/>
          <w:sz w:val="19"/>
          <w:szCs w:val="19"/>
        </w:rPr>
        <w:t xml:space="preserve"> realizar un análisis más profundo de los principales motivos.</w:t>
      </w:r>
    </w:p>
    <w:p w14:paraId="6915EE8D" w14:textId="27801D26" w:rsidR="00931152" w:rsidRPr="009A501D" w:rsidRDefault="00931152" w:rsidP="00664A1D">
      <w:pPr>
        <w:spacing w:before="240"/>
        <w:jc w:val="center"/>
        <w:rPr>
          <w:rFonts w:ascii="Century Gothic" w:hAnsi="Century Gothic" w:cstheme="minorHAnsi"/>
          <w:sz w:val="19"/>
          <w:szCs w:val="19"/>
        </w:rPr>
      </w:pPr>
      <w:r w:rsidRPr="009A501D">
        <w:rPr>
          <w:rFonts w:ascii="Century Gothic" w:hAnsi="Century Gothic"/>
          <w:b/>
          <w:sz w:val="19"/>
          <w:szCs w:val="19"/>
        </w:rPr>
        <w:t>III.</w:t>
      </w:r>
      <w:r w:rsidR="009B3A86" w:rsidRPr="009A501D">
        <w:rPr>
          <w:rFonts w:ascii="Century Gothic" w:hAnsi="Century Gothic"/>
          <w:b/>
          <w:sz w:val="19"/>
          <w:szCs w:val="19"/>
        </w:rPr>
        <w:t>5.C</w:t>
      </w:r>
      <w:r w:rsidRPr="009A501D">
        <w:rPr>
          <w:rFonts w:ascii="Century Gothic" w:hAnsi="Century Gothic"/>
          <w:b/>
          <w:sz w:val="19"/>
          <w:szCs w:val="19"/>
        </w:rPr>
        <w:t>.</w:t>
      </w:r>
      <w:r w:rsidR="00F327DA" w:rsidRPr="009A501D">
        <w:rPr>
          <w:rFonts w:ascii="Century Gothic" w:hAnsi="Century Gothic"/>
          <w:b/>
          <w:sz w:val="19"/>
          <w:szCs w:val="19"/>
        </w:rPr>
        <w:t>7</w:t>
      </w:r>
      <w:r w:rsidRPr="009A501D">
        <w:rPr>
          <w:rFonts w:ascii="Century Gothic" w:hAnsi="Century Gothic"/>
          <w:b/>
          <w:sz w:val="19"/>
          <w:szCs w:val="19"/>
        </w:rPr>
        <w:t xml:space="preserve"> </w:t>
      </w:r>
      <w:r w:rsidR="0051167B" w:rsidRPr="009A501D">
        <w:rPr>
          <w:rFonts w:ascii="Century Gothic" w:hAnsi="Century Gothic"/>
          <w:b/>
          <w:sz w:val="19"/>
          <w:szCs w:val="19"/>
        </w:rPr>
        <w:t>P</w:t>
      </w:r>
      <w:r w:rsidR="005F6B27" w:rsidRPr="009A501D">
        <w:rPr>
          <w:rFonts w:ascii="Century Gothic" w:hAnsi="Century Gothic"/>
          <w:b/>
          <w:sz w:val="19"/>
          <w:szCs w:val="19"/>
        </w:rPr>
        <w:t>rocesos de producción</w:t>
      </w:r>
      <w:r w:rsidRPr="009A501D">
        <w:rPr>
          <w:rFonts w:ascii="Century Gothic" w:hAnsi="Century Gothic"/>
          <w:b/>
          <w:sz w:val="19"/>
          <w:szCs w:val="19"/>
        </w:rPr>
        <w:t xml:space="preserve"> para los que se observan</w:t>
      </w:r>
      <w:r w:rsidR="0051167B" w:rsidRPr="009A501D">
        <w:rPr>
          <w:rFonts w:ascii="Century Gothic" w:hAnsi="Century Gothic"/>
          <w:b/>
          <w:sz w:val="19"/>
          <w:szCs w:val="19"/>
        </w:rPr>
        <w:t xml:space="preserve"> las diez</w:t>
      </w:r>
      <w:r w:rsidRPr="009A501D">
        <w:rPr>
          <w:rFonts w:ascii="Century Gothic" w:hAnsi="Century Gothic"/>
          <w:b/>
          <w:sz w:val="19"/>
          <w:szCs w:val="19"/>
        </w:rPr>
        <w:t xml:space="preserve"> tasas de imputación</w:t>
      </w:r>
      <w:r w:rsidR="0051167B" w:rsidRPr="009A501D">
        <w:rPr>
          <w:rFonts w:ascii="Century Gothic" w:hAnsi="Century Gothic"/>
          <w:b/>
          <w:sz w:val="19"/>
          <w:szCs w:val="19"/>
        </w:rPr>
        <w:t xml:space="preserve"> más altas en 2022</w:t>
      </w:r>
    </w:p>
    <w:tbl>
      <w:tblPr>
        <w:tblW w:w="9771" w:type="dxa"/>
        <w:jc w:val="center"/>
        <w:tblCellMar>
          <w:left w:w="70" w:type="dxa"/>
          <w:right w:w="70" w:type="dxa"/>
        </w:tblCellMar>
        <w:tblLook w:val="04A0" w:firstRow="1" w:lastRow="0" w:firstColumn="1" w:lastColumn="0" w:noHBand="0" w:noVBand="1"/>
      </w:tblPr>
      <w:tblGrid>
        <w:gridCol w:w="5519"/>
        <w:gridCol w:w="992"/>
        <w:gridCol w:w="992"/>
        <w:gridCol w:w="1134"/>
        <w:gridCol w:w="1134"/>
      </w:tblGrid>
      <w:tr w:rsidR="000F6852" w:rsidRPr="009A501D" w14:paraId="0BE5BA7D" w14:textId="77777777" w:rsidTr="00430123">
        <w:trPr>
          <w:trHeight w:val="135"/>
          <w:jc w:val="center"/>
        </w:trPr>
        <w:tc>
          <w:tcPr>
            <w:tcW w:w="5519" w:type="dxa"/>
            <w:vMerge w:val="restart"/>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040131A2"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Proceso</w:t>
            </w:r>
          </w:p>
        </w:tc>
        <w:tc>
          <w:tcPr>
            <w:tcW w:w="4252" w:type="dxa"/>
            <w:gridSpan w:val="4"/>
            <w:tcBorders>
              <w:top w:val="single" w:sz="8" w:space="0" w:color="BFBFBF"/>
              <w:left w:val="nil"/>
              <w:bottom w:val="single" w:sz="8" w:space="0" w:color="BFBFBF"/>
              <w:right w:val="single" w:sz="8" w:space="0" w:color="BFBFBF"/>
            </w:tcBorders>
            <w:shd w:val="clear" w:color="000000" w:fill="002060"/>
            <w:vAlign w:val="center"/>
            <w:hideMark/>
          </w:tcPr>
          <w:p w14:paraId="3CD9D5A4"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xml:space="preserve">Tasa de imputación (ponderada) </w:t>
            </w:r>
          </w:p>
        </w:tc>
      </w:tr>
      <w:tr w:rsidR="000F6852" w:rsidRPr="009A501D" w14:paraId="2B02779C" w14:textId="77777777" w:rsidTr="00430123">
        <w:trPr>
          <w:trHeight w:val="67"/>
          <w:jc w:val="center"/>
        </w:trPr>
        <w:tc>
          <w:tcPr>
            <w:tcW w:w="5519" w:type="dxa"/>
            <w:vMerge/>
            <w:tcBorders>
              <w:top w:val="single" w:sz="8" w:space="0" w:color="BFBFBF"/>
              <w:left w:val="single" w:sz="8" w:space="0" w:color="BFBFBF"/>
              <w:bottom w:val="single" w:sz="8" w:space="0" w:color="BFBFBF"/>
              <w:right w:val="single" w:sz="8" w:space="0" w:color="BFBFBF"/>
            </w:tcBorders>
            <w:vAlign w:val="center"/>
            <w:hideMark/>
          </w:tcPr>
          <w:p w14:paraId="073012F3" w14:textId="77777777" w:rsidR="000F6852" w:rsidRPr="009A501D" w:rsidRDefault="000F6852" w:rsidP="00430123">
            <w:pPr>
              <w:spacing w:after="0" w:line="240" w:lineRule="auto"/>
              <w:rPr>
                <w:rFonts w:ascii="Century Gothic" w:eastAsia="Times New Roman" w:hAnsi="Century Gothic" w:cs="Calibri"/>
                <w:b/>
                <w:bCs/>
                <w:color w:val="FFFFFF"/>
                <w:sz w:val="16"/>
                <w:szCs w:val="16"/>
                <w:lang w:eastAsia="es-MX"/>
              </w:rPr>
            </w:pPr>
          </w:p>
        </w:tc>
        <w:tc>
          <w:tcPr>
            <w:tcW w:w="992" w:type="dxa"/>
            <w:tcBorders>
              <w:top w:val="nil"/>
              <w:left w:val="nil"/>
              <w:bottom w:val="single" w:sz="8" w:space="0" w:color="BFBFBF"/>
              <w:right w:val="single" w:sz="8" w:space="0" w:color="BFBFBF"/>
            </w:tcBorders>
            <w:shd w:val="clear" w:color="000000" w:fill="002060"/>
            <w:noWrap/>
            <w:vAlign w:val="center"/>
            <w:hideMark/>
          </w:tcPr>
          <w:p w14:paraId="5A5396F8"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2019</w:t>
            </w:r>
          </w:p>
        </w:tc>
        <w:tc>
          <w:tcPr>
            <w:tcW w:w="992" w:type="dxa"/>
            <w:tcBorders>
              <w:top w:val="nil"/>
              <w:left w:val="nil"/>
              <w:bottom w:val="single" w:sz="8" w:space="0" w:color="BFBFBF"/>
              <w:right w:val="single" w:sz="8" w:space="0" w:color="BFBFBF"/>
            </w:tcBorders>
            <w:shd w:val="clear" w:color="000000" w:fill="002060"/>
            <w:noWrap/>
            <w:vAlign w:val="center"/>
            <w:hideMark/>
          </w:tcPr>
          <w:p w14:paraId="53D385C1"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2020</w:t>
            </w:r>
          </w:p>
        </w:tc>
        <w:tc>
          <w:tcPr>
            <w:tcW w:w="1134" w:type="dxa"/>
            <w:tcBorders>
              <w:top w:val="nil"/>
              <w:left w:val="nil"/>
              <w:bottom w:val="single" w:sz="8" w:space="0" w:color="BFBFBF"/>
              <w:right w:val="single" w:sz="8" w:space="0" w:color="BFBFBF"/>
            </w:tcBorders>
            <w:shd w:val="clear" w:color="000000" w:fill="002060"/>
            <w:noWrap/>
            <w:vAlign w:val="center"/>
            <w:hideMark/>
          </w:tcPr>
          <w:p w14:paraId="74BF18E6"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2021</w:t>
            </w:r>
          </w:p>
        </w:tc>
        <w:tc>
          <w:tcPr>
            <w:tcW w:w="1134" w:type="dxa"/>
            <w:tcBorders>
              <w:top w:val="nil"/>
              <w:left w:val="nil"/>
              <w:bottom w:val="single" w:sz="8" w:space="0" w:color="BFBFBF"/>
              <w:right w:val="single" w:sz="8" w:space="0" w:color="BFBFBF"/>
            </w:tcBorders>
            <w:shd w:val="clear" w:color="000000" w:fill="002060"/>
            <w:noWrap/>
            <w:vAlign w:val="center"/>
            <w:hideMark/>
          </w:tcPr>
          <w:p w14:paraId="622B1CF3" w14:textId="77777777" w:rsidR="000F6852" w:rsidRPr="009A501D" w:rsidRDefault="000F6852"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2022*</w:t>
            </w:r>
          </w:p>
        </w:tc>
      </w:tr>
      <w:tr w:rsidR="000F6852" w:rsidRPr="009A501D" w14:paraId="15D96AA0" w14:textId="77777777" w:rsidTr="00430123">
        <w:trPr>
          <w:trHeight w:val="200"/>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18B373A4"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Anual de Comercio (EAC)</w:t>
            </w:r>
          </w:p>
        </w:tc>
        <w:tc>
          <w:tcPr>
            <w:tcW w:w="992" w:type="dxa"/>
            <w:tcBorders>
              <w:top w:val="nil"/>
              <w:left w:val="nil"/>
              <w:bottom w:val="single" w:sz="8" w:space="0" w:color="BFBFBF"/>
              <w:right w:val="single" w:sz="8" w:space="0" w:color="BFBFBF"/>
            </w:tcBorders>
            <w:shd w:val="clear" w:color="000000" w:fill="FFFFFF"/>
            <w:noWrap/>
            <w:vAlign w:val="center"/>
            <w:hideMark/>
          </w:tcPr>
          <w:p w14:paraId="3768177F"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2F5A307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1134" w:type="dxa"/>
            <w:tcBorders>
              <w:top w:val="nil"/>
              <w:left w:val="nil"/>
              <w:bottom w:val="single" w:sz="8" w:space="0" w:color="BFBFBF"/>
              <w:right w:val="single" w:sz="8" w:space="0" w:color="BFBFBF"/>
            </w:tcBorders>
            <w:shd w:val="clear" w:color="000000" w:fill="FFFFFF"/>
            <w:noWrap/>
            <w:vAlign w:val="center"/>
            <w:hideMark/>
          </w:tcPr>
          <w:p w14:paraId="32020A1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134" w:type="dxa"/>
            <w:tcBorders>
              <w:top w:val="nil"/>
              <w:left w:val="nil"/>
              <w:bottom w:val="single" w:sz="8" w:space="0" w:color="BFBFBF"/>
              <w:right w:val="single" w:sz="8" w:space="0" w:color="BFBFBF"/>
            </w:tcBorders>
            <w:shd w:val="clear" w:color="000000" w:fill="FFFFFF"/>
            <w:noWrap/>
            <w:vAlign w:val="center"/>
            <w:hideMark/>
          </w:tcPr>
          <w:p w14:paraId="1349EB6D"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r>
      <w:tr w:rsidR="000F6852" w:rsidRPr="009A501D" w14:paraId="013E275B" w14:textId="77777777" w:rsidTr="00430123">
        <w:trPr>
          <w:trHeight w:val="118"/>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50DC2E2D"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Anual de Empresas Constructoras (EAEC)</w:t>
            </w:r>
          </w:p>
        </w:tc>
        <w:tc>
          <w:tcPr>
            <w:tcW w:w="992" w:type="dxa"/>
            <w:tcBorders>
              <w:top w:val="nil"/>
              <w:left w:val="nil"/>
              <w:bottom w:val="single" w:sz="8" w:space="0" w:color="BFBFBF"/>
              <w:right w:val="single" w:sz="8" w:space="0" w:color="BFBFBF"/>
            </w:tcBorders>
            <w:shd w:val="clear" w:color="000000" w:fill="FFFFFF"/>
            <w:noWrap/>
            <w:vAlign w:val="center"/>
            <w:hideMark/>
          </w:tcPr>
          <w:p w14:paraId="29E45B13"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3886C2DE"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34" w:type="dxa"/>
            <w:tcBorders>
              <w:top w:val="nil"/>
              <w:left w:val="nil"/>
              <w:bottom w:val="single" w:sz="8" w:space="0" w:color="BFBFBF"/>
              <w:right w:val="single" w:sz="8" w:space="0" w:color="BFBFBF"/>
            </w:tcBorders>
            <w:shd w:val="clear" w:color="000000" w:fill="FFFFFF"/>
            <w:noWrap/>
            <w:vAlign w:val="center"/>
            <w:hideMark/>
          </w:tcPr>
          <w:p w14:paraId="24EE85C2"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34" w:type="dxa"/>
            <w:tcBorders>
              <w:top w:val="nil"/>
              <w:left w:val="nil"/>
              <w:bottom w:val="single" w:sz="8" w:space="0" w:color="BFBFBF"/>
              <w:right w:val="single" w:sz="8" w:space="0" w:color="BFBFBF"/>
            </w:tcBorders>
            <w:shd w:val="clear" w:color="000000" w:fill="FFFFFF"/>
            <w:noWrap/>
            <w:vAlign w:val="center"/>
            <w:hideMark/>
          </w:tcPr>
          <w:p w14:paraId="6D8E2569"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r>
      <w:tr w:rsidR="000F6852" w:rsidRPr="009A501D" w14:paraId="1580EB83" w14:textId="77777777" w:rsidTr="00430123">
        <w:trPr>
          <w:trHeight w:val="19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48788B6D"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Anual de la Industria Manufacturera (EAIM)</w:t>
            </w:r>
          </w:p>
        </w:tc>
        <w:tc>
          <w:tcPr>
            <w:tcW w:w="992" w:type="dxa"/>
            <w:tcBorders>
              <w:top w:val="nil"/>
              <w:left w:val="nil"/>
              <w:bottom w:val="single" w:sz="8" w:space="0" w:color="BFBFBF"/>
              <w:right w:val="single" w:sz="8" w:space="0" w:color="BFBFBF"/>
            </w:tcBorders>
            <w:shd w:val="clear" w:color="000000" w:fill="FFFFFF"/>
            <w:noWrap/>
            <w:vAlign w:val="center"/>
            <w:hideMark/>
          </w:tcPr>
          <w:p w14:paraId="5389A55F"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629A0B78"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134" w:type="dxa"/>
            <w:tcBorders>
              <w:top w:val="nil"/>
              <w:left w:val="nil"/>
              <w:bottom w:val="single" w:sz="8" w:space="0" w:color="BFBFBF"/>
              <w:right w:val="single" w:sz="8" w:space="0" w:color="BFBFBF"/>
            </w:tcBorders>
            <w:shd w:val="clear" w:color="000000" w:fill="FFFFFF"/>
            <w:noWrap/>
            <w:vAlign w:val="center"/>
            <w:hideMark/>
          </w:tcPr>
          <w:p w14:paraId="4AB6F241"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34" w:type="dxa"/>
            <w:tcBorders>
              <w:top w:val="nil"/>
              <w:left w:val="nil"/>
              <w:bottom w:val="single" w:sz="8" w:space="0" w:color="BFBFBF"/>
              <w:right w:val="single" w:sz="8" w:space="0" w:color="BFBFBF"/>
            </w:tcBorders>
            <w:shd w:val="clear" w:color="000000" w:fill="FFFFFF"/>
            <w:noWrap/>
            <w:vAlign w:val="center"/>
            <w:hideMark/>
          </w:tcPr>
          <w:p w14:paraId="67788486"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r>
      <w:tr w:rsidR="000F6852" w:rsidRPr="009A501D" w14:paraId="5A4B29A3" w14:textId="77777777" w:rsidTr="00430123">
        <w:trPr>
          <w:trHeight w:val="110"/>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0DD7CA79"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Anual de Servicios Privados no Financieros (EASPNF)</w:t>
            </w:r>
          </w:p>
        </w:tc>
        <w:tc>
          <w:tcPr>
            <w:tcW w:w="992" w:type="dxa"/>
            <w:tcBorders>
              <w:top w:val="nil"/>
              <w:left w:val="nil"/>
              <w:bottom w:val="single" w:sz="8" w:space="0" w:color="BFBFBF"/>
              <w:right w:val="single" w:sz="8" w:space="0" w:color="BFBFBF"/>
            </w:tcBorders>
            <w:shd w:val="clear" w:color="000000" w:fill="FFFFFF"/>
            <w:noWrap/>
            <w:vAlign w:val="center"/>
            <w:hideMark/>
          </w:tcPr>
          <w:p w14:paraId="2A7F3B2E"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6E0E288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1134" w:type="dxa"/>
            <w:tcBorders>
              <w:top w:val="nil"/>
              <w:left w:val="nil"/>
              <w:bottom w:val="single" w:sz="8" w:space="0" w:color="BFBFBF"/>
              <w:right w:val="single" w:sz="8" w:space="0" w:color="BFBFBF"/>
            </w:tcBorders>
            <w:shd w:val="clear" w:color="000000" w:fill="FFFFFF"/>
            <w:noWrap/>
            <w:vAlign w:val="center"/>
            <w:hideMark/>
          </w:tcPr>
          <w:p w14:paraId="3035B490"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134" w:type="dxa"/>
            <w:tcBorders>
              <w:top w:val="nil"/>
              <w:left w:val="nil"/>
              <w:bottom w:val="single" w:sz="8" w:space="0" w:color="BFBFBF"/>
              <w:right w:val="single" w:sz="8" w:space="0" w:color="BFBFBF"/>
            </w:tcBorders>
            <w:shd w:val="clear" w:color="000000" w:fill="FFFFFF"/>
            <w:noWrap/>
            <w:vAlign w:val="center"/>
            <w:hideMark/>
          </w:tcPr>
          <w:p w14:paraId="175CB2FC"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r>
      <w:tr w:rsidR="000F6852" w:rsidRPr="009A501D" w14:paraId="30B4DD7C"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108945FB"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Anual de Transportes (EAT)</w:t>
            </w:r>
          </w:p>
        </w:tc>
        <w:tc>
          <w:tcPr>
            <w:tcW w:w="992" w:type="dxa"/>
            <w:tcBorders>
              <w:top w:val="nil"/>
              <w:left w:val="nil"/>
              <w:bottom w:val="single" w:sz="8" w:space="0" w:color="BFBFBF"/>
              <w:right w:val="single" w:sz="8" w:space="0" w:color="BFBFBF"/>
            </w:tcBorders>
            <w:shd w:val="clear" w:color="000000" w:fill="FFFFFF"/>
            <w:noWrap/>
            <w:vAlign w:val="center"/>
            <w:hideMark/>
          </w:tcPr>
          <w:p w14:paraId="7D4E7A02"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46AB9809"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1134" w:type="dxa"/>
            <w:tcBorders>
              <w:top w:val="nil"/>
              <w:left w:val="nil"/>
              <w:bottom w:val="single" w:sz="8" w:space="0" w:color="BFBFBF"/>
              <w:right w:val="single" w:sz="8" w:space="0" w:color="BFBFBF"/>
            </w:tcBorders>
            <w:shd w:val="clear" w:color="000000" w:fill="FFFFFF"/>
            <w:noWrap/>
            <w:vAlign w:val="center"/>
            <w:hideMark/>
          </w:tcPr>
          <w:p w14:paraId="3FF46E1B"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1134" w:type="dxa"/>
            <w:tcBorders>
              <w:top w:val="nil"/>
              <w:left w:val="nil"/>
              <w:bottom w:val="single" w:sz="8" w:space="0" w:color="BFBFBF"/>
              <w:right w:val="single" w:sz="8" w:space="0" w:color="BFBFBF"/>
            </w:tcBorders>
            <w:shd w:val="clear" w:color="000000" w:fill="FFFFFF"/>
            <w:noWrap/>
            <w:vAlign w:val="center"/>
            <w:hideMark/>
          </w:tcPr>
          <w:p w14:paraId="1F30DDAC"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r>
      <w:tr w:rsidR="000F6852" w:rsidRPr="009A501D" w14:paraId="5061A8F2"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25A1BB42"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sobre Empresas Comerciales (EMEC)</w:t>
            </w:r>
          </w:p>
        </w:tc>
        <w:tc>
          <w:tcPr>
            <w:tcW w:w="992" w:type="dxa"/>
            <w:tcBorders>
              <w:top w:val="nil"/>
              <w:left w:val="nil"/>
              <w:bottom w:val="single" w:sz="8" w:space="0" w:color="BFBFBF"/>
              <w:right w:val="single" w:sz="8" w:space="0" w:color="BFBFBF"/>
            </w:tcBorders>
            <w:shd w:val="clear" w:color="000000" w:fill="FFFFFF"/>
            <w:noWrap/>
            <w:vAlign w:val="center"/>
            <w:hideMark/>
          </w:tcPr>
          <w:p w14:paraId="4899AB51"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992" w:type="dxa"/>
            <w:tcBorders>
              <w:top w:val="nil"/>
              <w:left w:val="nil"/>
              <w:bottom w:val="single" w:sz="8" w:space="0" w:color="BFBFBF"/>
              <w:right w:val="single" w:sz="8" w:space="0" w:color="BFBFBF"/>
            </w:tcBorders>
            <w:shd w:val="clear" w:color="000000" w:fill="FFFFFF"/>
            <w:noWrap/>
            <w:vAlign w:val="center"/>
            <w:hideMark/>
          </w:tcPr>
          <w:p w14:paraId="4A4E222F"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134" w:type="dxa"/>
            <w:tcBorders>
              <w:top w:val="nil"/>
              <w:left w:val="nil"/>
              <w:bottom w:val="single" w:sz="8" w:space="0" w:color="BFBFBF"/>
              <w:right w:val="single" w:sz="8" w:space="0" w:color="BFBFBF"/>
            </w:tcBorders>
            <w:shd w:val="clear" w:color="000000" w:fill="FFFFFF"/>
            <w:noWrap/>
            <w:vAlign w:val="center"/>
            <w:hideMark/>
          </w:tcPr>
          <w:p w14:paraId="32824429"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134" w:type="dxa"/>
            <w:tcBorders>
              <w:top w:val="nil"/>
              <w:left w:val="nil"/>
              <w:bottom w:val="single" w:sz="8" w:space="0" w:color="BFBFBF"/>
              <w:right w:val="single" w:sz="8" w:space="0" w:color="BFBFBF"/>
            </w:tcBorders>
            <w:shd w:val="clear" w:color="000000" w:fill="FFFFFF"/>
            <w:noWrap/>
            <w:vAlign w:val="center"/>
            <w:hideMark/>
          </w:tcPr>
          <w:p w14:paraId="4A7D9FA0"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r>
      <w:tr w:rsidR="000F6852" w:rsidRPr="009A501D" w14:paraId="75CA9B6F"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4D9B345D"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la Industria Manufacturera (EMIM)</w:t>
            </w:r>
          </w:p>
        </w:tc>
        <w:tc>
          <w:tcPr>
            <w:tcW w:w="992" w:type="dxa"/>
            <w:tcBorders>
              <w:top w:val="nil"/>
              <w:left w:val="nil"/>
              <w:bottom w:val="single" w:sz="8" w:space="0" w:color="BFBFBF"/>
              <w:right w:val="single" w:sz="8" w:space="0" w:color="BFBFBF"/>
            </w:tcBorders>
            <w:shd w:val="clear" w:color="000000" w:fill="FFFFFF"/>
            <w:noWrap/>
            <w:vAlign w:val="center"/>
            <w:hideMark/>
          </w:tcPr>
          <w:p w14:paraId="5634B591"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992" w:type="dxa"/>
            <w:tcBorders>
              <w:top w:val="nil"/>
              <w:left w:val="nil"/>
              <w:bottom w:val="single" w:sz="8" w:space="0" w:color="BFBFBF"/>
              <w:right w:val="single" w:sz="8" w:space="0" w:color="BFBFBF"/>
            </w:tcBorders>
            <w:shd w:val="clear" w:color="000000" w:fill="FFFFFF"/>
            <w:noWrap/>
            <w:vAlign w:val="center"/>
            <w:hideMark/>
          </w:tcPr>
          <w:p w14:paraId="3F26571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34" w:type="dxa"/>
            <w:tcBorders>
              <w:top w:val="nil"/>
              <w:left w:val="nil"/>
              <w:bottom w:val="single" w:sz="8" w:space="0" w:color="BFBFBF"/>
              <w:right w:val="single" w:sz="8" w:space="0" w:color="BFBFBF"/>
            </w:tcBorders>
            <w:shd w:val="clear" w:color="000000" w:fill="FFFFFF"/>
            <w:noWrap/>
            <w:vAlign w:val="center"/>
            <w:hideMark/>
          </w:tcPr>
          <w:p w14:paraId="3CE7D7E9"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34" w:type="dxa"/>
            <w:tcBorders>
              <w:top w:val="nil"/>
              <w:left w:val="nil"/>
              <w:bottom w:val="single" w:sz="8" w:space="0" w:color="BFBFBF"/>
              <w:right w:val="single" w:sz="8" w:space="0" w:color="BFBFBF"/>
            </w:tcBorders>
            <w:shd w:val="clear" w:color="000000" w:fill="FFFFFF"/>
            <w:noWrap/>
            <w:vAlign w:val="center"/>
            <w:hideMark/>
          </w:tcPr>
          <w:p w14:paraId="2552D538"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0F6852" w:rsidRPr="009A501D" w14:paraId="6E9C8C63"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78B9E636"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Opinión Empresarial (EMOE) - COMERCIO</w:t>
            </w:r>
          </w:p>
        </w:tc>
        <w:tc>
          <w:tcPr>
            <w:tcW w:w="992" w:type="dxa"/>
            <w:tcBorders>
              <w:top w:val="nil"/>
              <w:left w:val="nil"/>
              <w:bottom w:val="single" w:sz="8" w:space="0" w:color="BFBFBF"/>
              <w:right w:val="single" w:sz="8" w:space="0" w:color="BFBFBF"/>
            </w:tcBorders>
            <w:shd w:val="clear" w:color="000000" w:fill="FFFFFF"/>
            <w:noWrap/>
            <w:vAlign w:val="center"/>
            <w:hideMark/>
          </w:tcPr>
          <w:p w14:paraId="0EC18D3F"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32546575"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34" w:type="dxa"/>
            <w:tcBorders>
              <w:top w:val="nil"/>
              <w:left w:val="nil"/>
              <w:bottom w:val="single" w:sz="8" w:space="0" w:color="BFBFBF"/>
              <w:right w:val="single" w:sz="8" w:space="0" w:color="BFBFBF"/>
            </w:tcBorders>
            <w:shd w:val="clear" w:color="000000" w:fill="FFFFFF"/>
            <w:noWrap/>
            <w:vAlign w:val="center"/>
            <w:hideMark/>
          </w:tcPr>
          <w:p w14:paraId="6AC4FC7D"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34" w:type="dxa"/>
            <w:vMerge w:val="restart"/>
            <w:tcBorders>
              <w:top w:val="nil"/>
              <w:left w:val="single" w:sz="8" w:space="0" w:color="BFBFBF"/>
              <w:bottom w:val="single" w:sz="8" w:space="0" w:color="BFBFBF"/>
              <w:right w:val="single" w:sz="8" w:space="0" w:color="BFBFBF"/>
            </w:tcBorders>
            <w:shd w:val="clear" w:color="000000" w:fill="FFFFFF"/>
            <w:noWrap/>
            <w:vAlign w:val="center"/>
            <w:hideMark/>
          </w:tcPr>
          <w:p w14:paraId="22173016"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r>
      <w:tr w:rsidR="000F6852" w:rsidRPr="009A501D" w14:paraId="0ED9FA5F" w14:textId="77777777" w:rsidTr="00430123">
        <w:trPr>
          <w:trHeight w:val="168"/>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06C2AE5A"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Opinión Empresarial (EMOE) - CONSTRUCCIÓN</w:t>
            </w:r>
          </w:p>
        </w:tc>
        <w:tc>
          <w:tcPr>
            <w:tcW w:w="992" w:type="dxa"/>
            <w:tcBorders>
              <w:top w:val="nil"/>
              <w:left w:val="nil"/>
              <w:bottom w:val="single" w:sz="8" w:space="0" w:color="BFBFBF"/>
              <w:right w:val="single" w:sz="8" w:space="0" w:color="BFBFBF"/>
            </w:tcBorders>
            <w:shd w:val="clear" w:color="000000" w:fill="FFFFFF"/>
            <w:noWrap/>
            <w:vAlign w:val="center"/>
            <w:hideMark/>
          </w:tcPr>
          <w:p w14:paraId="75A753E3"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2F4A173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134" w:type="dxa"/>
            <w:tcBorders>
              <w:top w:val="nil"/>
              <w:left w:val="nil"/>
              <w:bottom w:val="single" w:sz="8" w:space="0" w:color="BFBFBF"/>
              <w:right w:val="single" w:sz="8" w:space="0" w:color="BFBFBF"/>
            </w:tcBorders>
            <w:shd w:val="clear" w:color="000000" w:fill="FFFFFF"/>
            <w:noWrap/>
            <w:vAlign w:val="center"/>
            <w:hideMark/>
          </w:tcPr>
          <w:p w14:paraId="48695440"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134" w:type="dxa"/>
            <w:vMerge/>
            <w:tcBorders>
              <w:top w:val="nil"/>
              <w:left w:val="single" w:sz="8" w:space="0" w:color="BFBFBF"/>
              <w:bottom w:val="single" w:sz="8" w:space="0" w:color="BFBFBF"/>
              <w:right w:val="single" w:sz="8" w:space="0" w:color="BFBFBF"/>
            </w:tcBorders>
            <w:vAlign w:val="center"/>
            <w:hideMark/>
          </w:tcPr>
          <w:p w14:paraId="0BD1E8BB"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p>
        </w:tc>
      </w:tr>
      <w:tr w:rsidR="000F6852" w:rsidRPr="009A501D" w14:paraId="7630ECFA" w14:textId="77777777" w:rsidTr="00430123">
        <w:trPr>
          <w:trHeight w:val="101"/>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5B66B6F9"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Opinión Empresarial (EMOE) - MANUFACTURA</w:t>
            </w:r>
          </w:p>
        </w:tc>
        <w:tc>
          <w:tcPr>
            <w:tcW w:w="992" w:type="dxa"/>
            <w:tcBorders>
              <w:top w:val="nil"/>
              <w:left w:val="nil"/>
              <w:bottom w:val="single" w:sz="8" w:space="0" w:color="BFBFBF"/>
              <w:right w:val="single" w:sz="8" w:space="0" w:color="BFBFBF"/>
            </w:tcBorders>
            <w:shd w:val="clear" w:color="000000" w:fill="FFFFFF"/>
            <w:noWrap/>
            <w:vAlign w:val="center"/>
            <w:hideMark/>
          </w:tcPr>
          <w:p w14:paraId="0E864B99"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510ED797"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34" w:type="dxa"/>
            <w:tcBorders>
              <w:top w:val="nil"/>
              <w:left w:val="nil"/>
              <w:bottom w:val="single" w:sz="8" w:space="0" w:color="BFBFBF"/>
              <w:right w:val="single" w:sz="8" w:space="0" w:color="BFBFBF"/>
            </w:tcBorders>
            <w:shd w:val="clear" w:color="000000" w:fill="FFFFFF"/>
            <w:noWrap/>
            <w:vAlign w:val="center"/>
            <w:hideMark/>
          </w:tcPr>
          <w:p w14:paraId="41719FBC"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34" w:type="dxa"/>
            <w:vMerge/>
            <w:tcBorders>
              <w:top w:val="nil"/>
              <w:left w:val="single" w:sz="8" w:space="0" w:color="BFBFBF"/>
              <w:bottom w:val="single" w:sz="8" w:space="0" w:color="BFBFBF"/>
              <w:right w:val="single" w:sz="8" w:space="0" w:color="BFBFBF"/>
            </w:tcBorders>
            <w:vAlign w:val="center"/>
            <w:hideMark/>
          </w:tcPr>
          <w:p w14:paraId="3F09CE02"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p>
        </w:tc>
      </w:tr>
      <w:tr w:rsidR="000F6852" w:rsidRPr="009A501D" w14:paraId="3018E4CD"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4E00333F"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Opinión Empresarial (EMOE) - SERVICIOS</w:t>
            </w:r>
          </w:p>
        </w:tc>
        <w:tc>
          <w:tcPr>
            <w:tcW w:w="992" w:type="dxa"/>
            <w:tcBorders>
              <w:top w:val="nil"/>
              <w:left w:val="nil"/>
              <w:bottom w:val="single" w:sz="8" w:space="0" w:color="BFBFBF"/>
              <w:right w:val="single" w:sz="8" w:space="0" w:color="BFBFBF"/>
            </w:tcBorders>
            <w:shd w:val="clear" w:color="000000" w:fill="FFFFFF"/>
            <w:noWrap/>
            <w:vAlign w:val="center"/>
            <w:hideMark/>
          </w:tcPr>
          <w:p w14:paraId="78BADE9C"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33FB0800"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134" w:type="dxa"/>
            <w:tcBorders>
              <w:top w:val="nil"/>
              <w:left w:val="nil"/>
              <w:bottom w:val="single" w:sz="8" w:space="0" w:color="BFBFBF"/>
              <w:right w:val="single" w:sz="8" w:space="0" w:color="BFBFBF"/>
            </w:tcBorders>
            <w:shd w:val="clear" w:color="000000" w:fill="FFFFFF"/>
            <w:noWrap/>
            <w:vAlign w:val="center"/>
            <w:hideMark/>
          </w:tcPr>
          <w:p w14:paraId="406EAF42"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w:t>
            </w:r>
          </w:p>
        </w:tc>
        <w:tc>
          <w:tcPr>
            <w:tcW w:w="1134" w:type="dxa"/>
            <w:vMerge/>
            <w:tcBorders>
              <w:top w:val="nil"/>
              <w:left w:val="single" w:sz="8" w:space="0" w:color="BFBFBF"/>
              <w:bottom w:val="single" w:sz="8" w:space="0" w:color="BFBFBF"/>
              <w:right w:val="single" w:sz="8" w:space="0" w:color="BFBFBF"/>
            </w:tcBorders>
            <w:vAlign w:val="center"/>
            <w:hideMark/>
          </w:tcPr>
          <w:p w14:paraId="714646D9"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p>
        </w:tc>
      </w:tr>
      <w:tr w:rsidR="000F6852" w:rsidRPr="009A501D" w14:paraId="026C796E"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460E4A97"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Mensual de Servicios (EMS)</w:t>
            </w:r>
          </w:p>
        </w:tc>
        <w:tc>
          <w:tcPr>
            <w:tcW w:w="992" w:type="dxa"/>
            <w:tcBorders>
              <w:top w:val="nil"/>
              <w:left w:val="nil"/>
              <w:bottom w:val="single" w:sz="8" w:space="0" w:color="BFBFBF"/>
              <w:right w:val="single" w:sz="8" w:space="0" w:color="BFBFBF"/>
            </w:tcBorders>
            <w:shd w:val="clear" w:color="000000" w:fill="FFFFFF"/>
            <w:noWrap/>
            <w:vAlign w:val="center"/>
            <w:hideMark/>
          </w:tcPr>
          <w:p w14:paraId="2D504C96"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992" w:type="dxa"/>
            <w:tcBorders>
              <w:top w:val="nil"/>
              <w:left w:val="nil"/>
              <w:bottom w:val="single" w:sz="8" w:space="0" w:color="BFBFBF"/>
              <w:right w:val="single" w:sz="8" w:space="0" w:color="BFBFBF"/>
            </w:tcBorders>
            <w:shd w:val="clear" w:color="000000" w:fill="FFFFFF"/>
            <w:noWrap/>
            <w:vAlign w:val="center"/>
            <w:hideMark/>
          </w:tcPr>
          <w:p w14:paraId="7C96E623"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w:t>
            </w:r>
          </w:p>
        </w:tc>
        <w:tc>
          <w:tcPr>
            <w:tcW w:w="1134" w:type="dxa"/>
            <w:tcBorders>
              <w:top w:val="nil"/>
              <w:left w:val="nil"/>
              <w:bottom w:val="single" w:sz="8" w:space="0" w:color="BFBFBF"/>
              <w:right w:val="single" w:sz="8" w:space="0" w:color="BFBFBF"/>
            </w:tcBorders>
            <w:shd w:val="clear" w:color="000000" w:fill="FFFFFF"/>
            <w:noWrap/>
            <w:vAlign w:val="center"/>
            <w:hideMark/>
          </w:tcPr>
          <w:p w14:paraId="4407D024"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1134" w:type="dxa"/>
            <w:tcBorders>
              <w:top w:val="nil"/>
              <w:left w:val="nil"/>
              <w:bottom w:val="single" w:sz="8" w:space="0" w:color="BFBFBF"/>
              <w:right w:val="single" w:sz="8" w:space="0" w:color="BFBFBF"/>
            </w:tcBorders>
            <w:shd w:val="clear" w:color="000000" w:fill="FFFFFF"/>
            <w:noWrap/>
            <w:vAlign w:val="center"/>
            <w:hideMark/>
          </w:tcPr>
          <w:p w14:paraId="7AC8BFA1"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r>
      <w:tr w:rsidR="000F6852" w:rsidRPr="009A501D" w14:paraId="3196936F" w14:textId="77777777" w:rsidTr="00430123">
        <w:trPr>
          <w:trHeight w:val="53"/>
          <w:jc w:val="center"/>
        </w:trPr>
        <w:tc>
          <w:tcPr>
            <w:tcW w:w="5519" w:type="dxa"/>
            <w:tcBorders>
              <w:top w:val="nil"/>
              <w:left w:val="single" w:sz="8" w:space="0" w:color="BFBFBF"/>
              <w:bottom w:val="single" w:sz="8" w:space="0" w:color="BFBFBF"/>
              <w:right w:val="single" w:sz="8" w:space="0" w:color="BFBFBF"/>
            </w:tcBorders>
            <w:shd w:val="clear" w:color="000000" w:fill="FFFFFF"/>
            <w:noWrap/>
            <w:vAlign w:val="center"/>
            <w:hideMark/>
          </w:tcPr>
          <w:p w14:paraId="167B20D8" w14:textId="77777777" w:rsidR="000F6852" w:rsidRPr="009A501D" w:rsidRDefault="000F6852"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Empresas Constructoras (ENEC)</w:t>
            </w:r>
          </w:p>
        </w:tc>
        <w:tc>
          <w:tcPr>
            <w:tcW w:w="992" w:type="dxa"/>
            <w:tcBorders>
              <w:top w:val="nil"/>
              <w:left w:val="nil"/>
              <w:bottom w:val="single" w:sz="8" w:space="0" w:color="BFBFBF"/>
              <w:right w:val="single" w:sz="8" w:space="0" w:color="BFBFBF"/>
            </w:tcBorders>
            <w:shd w:val="clear" w:color="000000" w:fill="FFFFFF"/>
            <w:noWrap/>
            <w:vAlign w:val="center"/>
            <w:hideMark/>
          </w:tcPr>
          <w:p w14:paraId="0CA7B493"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NR</w:t>
            </w:r>
          </w:p>
        </w:tc>
        <w:tc>
          <w:tcPr>
            <w:tcW w:w="992" w:type="dxa"/>
            <w:tcBorders>
              <w:top w:val="nil"/>
              <w:left w:val="nil"/>
              <w:bottom w:val="single" w:sz="8" w:space="0" w:color="BFBFBF"/>
              <w:right w:val="single" w:sz="8" w:space="0" w:color="BFBFBF"/>
            </w:tcBorders>
            <w:shd w:val="clear" w:color="000000" w:fill="FFFFFF"/>
            <w:noWrap/>
            <w:vAlign w:val="center"/>
            <w:hideMark/>
          </w:tcPr>
          <w:p w14:paraId="18C71511"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34" w:type="dxa"/>
            <w:tcBorders>
              <w:top w:val="nil"/>
              <w:left w:val="nil"/>
              <w:bottom w:val="single" w:sz="8" w:space="0" w:color="BFBFBF"/>
              <w:right w:val="single" w:sz="8" w:space="0" w:color="BFBFBF"/>
            </w:tcBorders>
            <w:shd w:val="clear" w:color="000000" w:fill="FFFFFF"/>
            <w:noWrap/>
            <w:vAlign w:val="center"/>
            <w:hideMark/>
          </w:tcPr>
          <w:p w14:paraId="287FE05B"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34" w:type="dxa"/>
            <w:tcBorders>
              <w:top w:val="nil"/>
              <w:left w:val="nil"/>
              <w:bottom w:val="single" w:sz="8" w:space="0" w:color="BFBFBF"/>
              <w:right w:val="single" w:sz="8" w:space="0" w:color="BFBFBF"/>
            </w:tcBorders>
            <w:shd w:val="clear" w:color="000000" w:fill="FFFFFF"/>
            <w:noWrap/>
            <w:vAlign w:val="center"/>
            <w:hideMark/>
          </w:tcPr>
          <w:p w14:paraId="4CCEB8DB" w14:textId="77777777" w:rsidR="000F6852" w:rsidRPr="009A501D" w:rsidRDefault="000F6852"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r>
    </w:tbl>
    <w:p w14:paraId="78A2D60C" w14:textId="77777777" w:rsidR="000F6852" w:rsidRPr="009A501D" w:rsidRDefault="000F6852" w:rsidP="000F6852">
      <w:pPr>
        <w:spacing w:after="0"/>
        <w:ind w:left="567"/>
        <w:jc w:val="both"/>
        <w:rPr>
          <w:rFonts w:ascii="Century Gothic" w:hAnsi="Century Gothic" w:cstheme="minorHAnsi"/>
          <w:sz w:val="14"/>
          <w:szCs w:val="14"/>
        </w:rPr>
      </w:pPr>
      <w:r w:rsidRPr="009A501D">
        <w:rPr>
          <w:rFonts w:ascii="Century Gothic" w:hAnsi="Century Gothic" w:cstheme="minorHAnsi"/>
          <w:sz w:val="14"/>
          <w:szCs w:val="14"/>
        </w:rPr>
        <w:t>NR: no reportó.</w:t>
      </w:r>
    </w:p>
    <w:p w14:paraId="73E524E6" w14:textId="6CE01F5E" w:rsidR="00361920" w:rsidRPr="009A501D" w:rsidRDefault="000F6852" w:rsidP="00361920">
      <w:pPr>
        <w:spacing w:after="0"/>
        <w:ind w:left="567" w:right="594"/>
        <w:jc w:val="both"/>
        <w:rPr>
          <w:rFonts w:ascii="Century Gothic" w:hAnsi="Century Gothic" w:cstheme="minorHAnsi"/>
          <w:sz w:val="14"/>
          <w:szCs w:val="14"/>
        </w:rPr>
      </w:pPr>
      <w:r w:rsidRPr="009A501D">
        <w:rPr>
          <w:rFonts w:ascii="Century Gothic" w:hAnsi="Century Gothic" w:cstheme="minorHAnsi"/>
          <w:sz w:val="14"/>
          <w:szCs w:val="14"/>
        </w:rPr>
        <w:t>*</w:t>
      </w:r>
      <w:bookmarkStart w:id="20" w:name="_Hlk130826230"/>
      <w:r w:rsidRPr="009A501D">
        <w:rPr>
          <w:rFonts w:ascii="Century Gothic" w:hAnsi="Century Gothic" w:cstheme="minorHAnsi"/>
          <w:sz w:val="14"/>
          <w:szCs w:val="14"/>
        </w:rPr>
        <w:t>Para el cálculo en 2022 únicamente se considera el agregado Nacional por encuesta. En contraste, para los años 2019, 2020 y 2021, el cálculo considera el total de dominios de estudio a excepción del agregado Nacional.</w:t>
      </w:r>
      <w:bookmarkEnd w:id="20"/>
    </w:p>
    <w:p w14:paraId="093F94E3" w14:textId="77777777" w:rsidR="00361920" w:rsidRPr="009A501D" w:rsidRDefault="00361920">
      <w:pPr>
        <w:rPr>
          <w:rFonts w:ascii="Century Gothic" w:hAnsi="Century Gothic" w:cstheme="minorHAnsi"/>
          <w:sz w:val="14"/>
          <w:szCs w:val="14"/>
        </w:rPr>
      </w:pPr>
      <w:r w:rsidRPr="009A501D">
        <w:rPr>
          <w:rFonts w:ascii="Century Gothic" w:hAnsi="Century Gothic" w:cstheme="minorHAnsi"/>
          <w:sz w:val="14"/>
          <w:szCs w:val="14"/>
        </w:rPr>
        <w:br w:type="page"/>
      </w:r>
    </w:p>
    <w:p w14:paraId="76D1EE26" w14:textId="38C56EFC" w:rsidR="00840A53" w:rsidRPr="00893989" w:rsidRDefault="00840A53" w:rsidP="00893989">
      <w:pPr>
        <w:pStyle w:val="Ttulo3"/>
        <w:spacing w:before="240"/>
        <w:rPr>
          <w:rFonts w:ascii="Century Gothic" w:hAnsi="Century Gothic"/>
          <w:color w:val="0079BF"/>
        </w:rPr>
      </w:pPr>
      <w:bookmarkStart w:id="21" w:name="_Toc131161805"/>
      <w:r w:rsidRPr="009A501D">
        <w:rPr>
          <w:rFonts w:ascii="Century Gothic" w:hAnsi="Century Gothic"/>
          <w:color w:val="0079BF"/>
        </w:rPr>
        <w:lastRenderedPageBreak/>
        <w:t xml:space="preserve">III.5.D. Indicadores de precisión de información </w:t>
      </w:r>
      <w:r w:rsidR="006020C6" w:rsidRPr="009A501D">
        <w:rPr>
          <w:rFonts w:ascii="Century Gothic" w:hAnsi="Century Gothic"/>
          <w:color w:val="0079BF"/>
        </w:rPr>
        <w:t>geográfica</w:t>
      </w:r>
      <w:bookmarkEnd w:id="21"/>
      <w:r w:rsidRPr="00893989">
        <w:rPr>
          <w:rFonts w:ascii="Century Gothic" w:hAnsi="Century Gothic"/>
          <w:color w:val="0079BF"/>
        </w:rPr>
        <w:t xml:space="preserve"> </w:t>
      </w:r>
    </w:p>
    <w:p w14:paraId="2BAA9364" w14:textId="78B63CEF" w:rsidR="005A6B7C" w:rsidRPr="009A501D" w:rsidRDefault="005F1229" w:rsidP="00664A1D">
      <w:pPr>
        <w:spacing w:before="240"/>
        <w:jc w:val="both"/>
        <w:rPr>
          <w:rFonts w:ascii="Century Gothic" w:hAnsi="Century Gothic"/>
          <w:sz w:val="19"/>
          <w:szCs w:val="19"/>
        </w:rPr>
      </w:pPr>
      <w:r w:rsidRPr="009A501D">
        <w:rPr>
          <w:rFonts w:ascii="Century Gothic" w:hAnsi="Century Gothic"/>
          <w:sz w:val="19"/>
          <w:szCs w:val="19"/>
        </w:rPr>
        <w:t>En 2017 se aprobaron dos indicadores de exactitud posiciona</w:t>
      </w:r>
      <w:r w:rsidR="00911182" w:rsidRPr="009A501D">
        <w:rPr>
          <w:rStyle w:val="Refdenotaalpie"/>
          <w:rFonts w:ascii="Century Gothic" w:hAnsi="Century Gothic"/>
          <w:sz w:val="19"/>
          <w:szCs w:val="19"/>
        </w:rPr>
        <w:footnoteReference w:id="15"/>
      </w:r>
      <w:r w:rsidRPr="009A501D">
        <w:rPr>
          <w:rFonts w:ascii="Century Gothic" w:hAnsi="Century Gothic"/>
          <w:sz w:val="19"/>
          <w:szCs w:val="19"/>
        </w:rPr>
        <w:t xml:space="preserve">l: el </w:t>
      </w:r>
      <w:r w:rsidR="000D23AC" w:rsidRPr="009A501D">
        <w:rPr>
          <w:rFonts w:ascii="Century Gothic" w:hAnsi="Century Gothic"/>
          <w:i/>
          <w:iCs/>
          <w:sz w:val="19"/>
          <w:szCs w:val="19"/>
        </w:rPr>
        <w:t xml:space="preserve">Error </w:t>
      </w:r>
      <w:r w:rsidRPr="009A501D">
        <w:rPr>
          <w:rFonts w:ascii="Century Gothic" w:hAnsi="Century Gothic"/>
          <w:i/>
          <w:iCs/>
          <w:sz w:val="19"/>
          <w:szCs w:val="19"/>
        </w:rPr>
        <w:t>medio cuadrático planimétrico</w:t>
      </w:r>
      <w:r w:rsidRPr="009A501D">
        <w:rPr>
          <w:rFonts w:ascii="Century Gothic" w:hAnsi="Century Gothic"/>
          <w:sz w:val="19"/>
          <w:szCs w:val="19"/>
        </w:rPr>
        <w:t xml:space="preserve"> y el </w:t>
      </w:r>
      <w:r w:rsidR="000D23AC" w:rsidRPr="009A501D">
        <w:rPr>
          <w:rFonts w:ascii="Century Gothic" w:hAnsi="Century Gothic"/>
          <w:i/>
          <w:iCs/>
          <w:sz w:val="19"/>
          <w:szCs w:val="19"/>
        </w:rPr>
        <w:t xml:space="preserve">Error </w:t>
      </w:r>
      <w:r w:rsidRPr="009A501D">
        <w:rPr>
          <w:rFonts w:ascii="Century Gothic" w:hAnsi="Century Gothic"/>
          <w:i/>
          <w:iCs/>
          <w:sz w:val="19"/>
          <w:szCs w:val="19"/>
        </w:rPr>
        <w:t>medio cuadrático vertical</w:t>
      </w:r>
      <w:r w:rsidRPr="009A501D">
        <w:rPr>
          <w:rFonts w:ascii="Century Gothic" w:hAnsi="Century Gothic"/>
          <w:sz w:val="19"/>
          <w:szCs w:val="19"/>
        </w:rPr>
        <w:t>. Adicionalmente, se acordó que</w:t>
      </w:r>
      <w:r w:rsidR="005D53A2" w:rsidRPr="009A501D">
        <w:rPr>
          <w:rFonts w:ascii="Century Gothic" w:hAnsi="Century Gothic"/>
          <w:sz w:val="19"/>
          <w:szCs w:val="19"/>
        </w:rPr>
        <w:t>, durante 2018,</w:t>
      </w:r>
      <w:r w:rsidRPr="009A501D">
        <w:rPr>
          <w:rFonts w:ascii="Century Gothic" w:hAnsi="Century Gothic"/>
          <w:sz w:val="19"/>
          <w:szCs w:val="19"/>
        </w:rPr>
        <w:t xml:space="preserve"> para cada uno se realizar</w:t>
      </w:r>
      <w:r w:rsidR="00BF553A" w:rsidRPr="009A501D">
        <w:rPr>
          <w:rFonts w:ascii="Century Gothic" w:hAnsi="Century Gothic"/>
          <w:sz w:val="19"/>
          <w:szCs w:val="19"/>
        </w:rPr>
        <w:t>í</w:t>
      </w:r>
      <w:r w:rsidRPr="009A501D">
        <w:rPr>
          <w:rFonts w:ascii="Century Gothic" w:hAnsi="Century Gothic"/>
          <w:sz w:val="19"/>
          <w:szCs w:val="19"/>
        </w:rPr>
        <w:t xml:space="preserve">a una prueba piloto </w:t>
      </w:r>
      <w:r w:rsidR="005D53A2" w:rsidRPr="009A501D">
        <w:rPr>
          <w:rFonts w:ascii="Century Gothic" w:hAnsi="Century Gothic"/>
          <w:sz w:val="19"/>
          <w:szCs w:val="19"/>
        </w:rPr>
        <w:t>en un proceso de producción</w:t>
      </w:r>
      <w:r w:rsidRPr="009A501D">
        <w:rPr>
          <w:rFonts w:ascii="Century Gothic" w:hAnsi="Century Gothic"/>
          <w:sz w:val="19"/>
          <w:szCs w:val="19"/>
        </w:rPr>
        <w:t>. Después de varias alternativas y análisis del grupo de trabajo, e</w:t>
      </w:r>
      <w:r w:rsidR="005A6B7C" w:rsidRPr="009A501D">
        <w:rPr>
          <w:rFonts w:ascii="Century Gothic" w:hAnsi="Century Gothic"/>
          <w:sz w:val="19"/>
          <w:szCs w:val="19"/>
        </w:rPr>
        <w:t xml:space="preserve">n 2021 se aprobó el indicador </w:t>
      </w:r>
      <w:r w:rsidR="005A6B7C" w:rsidRPr="009A501D">
        <w:rPr>
          <w:rFonts w:ascii="Century Gothic" w:hAnsi="Century Gothic"/>
          <w:i/>
          <w:iCs/>
          <w:sz w:val="19"/>
          <w:szCs w:val="19"/>
        </w:rPr>
        <w:t xml:space="preserve">Cota de </w:t>
      </w:r>
      <w:r w:rsidR="00E52BC9" w:rsidRPr="009A501D">
        <w:rPr>
          <w:rFonts w:ascii="Century Gothic" w:hAnsi="Century Gothic"/>
          <w:i/>
          <w:iCs/>
          <w:sz w:val="19"/>
          <w:szCs w:val="19"/>
        </w:rPr>
        <w:t>C</w:t>
      </w:r>
      <w:r w:rsidR="005A6B7C" w:rsidRPr="009A501D">
        <w:rPr>
          <w:rFonts w:ascii="Century Gothic" w:hAnsi="Century Gothic"/>
          <w:i/>
          <w:iCs/>
          <w:sz w:val="19"/>
          <w:szCs w:val="19"/>
        </w:rPr>
        <w:t>onfianza de Precisión Posicional</w:t>
      </w:r>
      <w:r w:rsidR="00EE4F8B" w:rsidRPr="009A501D">
        <w:rPr>
          <w:rFonts w:ascii="Century Gothic" w:hAnsi="Century Gothic"/>
          <w:sz w:val="19"/>
          <w:szCs w:val="19"/>
        </w:rPr>
        <w:t xml:space="preserve"> y</w:t>
      </w:r>
      <w:r w:rsidR="005A6B7C" w:rsidRPr="009A501D">
        <w:rPr>
          <w:rFonts w:ascii="Century Gothic" w:hAnsi="Century Gothic"/>
          <w:sz w:val="19"/>
          <w:szCs w:val="19"/>
        </w:rPr>
        <w:t xml:space="preserve"> se estableció que sería aplicado </w:t>
      </w:r>
      <w:r w:rsidR="005D53A2" w:rsidRPr="009A501D">
        <w:rPr>
          <w:rFonts w:ascii="Century Gothic" w:hAnsi="Century Gothic"/>
          <w:sz w:val="19"/>
          <w:szCs w:val="19"/>
        </w:rPr>
        <w:t>al</w:t>
      </w:r>
      <w:r w:rsidR="005A6B7C" w:rsidRPr="009A501D">
        <w:rPr>
          <w:rFonts w:ascii="Century Gothic" w:hAnsi="Century Gothic"/>
          <w:sz w:val="19"/>
          <w:szCs w:val="19"/>
        </w:rPr>
        <w:t xml:space="preserve"> Mapa Topográfico a partir de 2022.</w:t>
      </w:r>
    </w:p>
    <w:p w14:paraId="752C0170" w14:textId="2B6B4382" w:rsidR="005A6B7C" w:rsidRPr="009A501D" w:rsidRDefault="005A6B7C" w:rsidP="00664A1D">
      <w:pPr>
        <w:spacing w:before="240"/>
        <w:jc w:val="both"/>
        <w:rPr>
          <w:rFonts w:ascii="Century Gothic" w:hAnsi="Century Gothic"/>
          <w:sz w:val="19"/>
          <w:szCs w:val="19"/>
        </w:rPr>
      </w:pPr>
      <w:r w:rsidRPr="009A501D">
        <w:rPr>
          <w:rFonts w:ascii="Century Gothic" w:hAnsi="Century Gothic"/>
          <w:sz w:val="19"/>
          <w:szCs w:val="19"/>
        </w:rPr>
        <w:t xml:space="preserve">En la tercera sesión </w:t>
      </w:r>
      <w:r w:rsidR="000A3823" w:rsidRPr="009A501D">
        <w:rPr>
          <w:rFonts w:ascii="Century Gothic" w:hAnsi="Century Gothic"/>
          <w:sz w:val="19"/>
          <w:szCs w:val="19"/>
        </w:rPr>
        <w:t xml:space="preserve">de </w:t>
      </w:r>
      <w:r w:rsidRPr="009A501D">
        <w:rPr>
          <w:rFonts w:ascii="Century Gothic" w:hAnsi="Century Gothic"/>
          <w:sz w:val="19"/>
          <w:szCs w:val="19"/>
        </w:rPr>
        <w:t xml:space="preserve">2022 </w:t>
      </w:r>
      <w:r w:rsidR="00AE50EB" w:rsidRPr="009A501D">
        <w:rPr>
          <w:rFonts w:ascii="Century Gothic" w:hAnsi="Century Gothic"/>
          <w:sz w:val="19"/>
          <w:szCs w:val="19"/>
        </w:rPr>
        <w:t>d</w:t>
      </w:r>
      <w:r w:rsidRPr="009A501D">
        <w:rPr>
          <w:rFonts w:ascii="Century Gothic" w:hAnsi="Century Gothic"/>
          <w:sz w:val="19"/>
          <w:szCs w:val="19"/>
        </w:rPr>
        <w:t>el Comité</w:t>
      </w:r>
      <w:r w:rsidR="005D53A2" w:rsidRPr="009A501D">
        <w:rPr>
          <w:rFonts w:ascii="Century Gothic" w:hAnsi="Century Gothic"/>
          <w:sz w:val="19"/>
          <w:szCs w:val="19"/>
        </w:rPr>
        <w:t>,</w:t>
      </w:r>
      <w:r w:rsidRPr="009A501D">
        <w:rPr>
          <w:rFonts w:ascii="Century Gothic" w:hAnsi="Century Gothic"/>
          <w:sz w:val="19"/>
          <w:szCs w:val="19"/>
        </w:rPr>
        <w:t xml:space="preserve"> </w:t>
      </w:r>
      <w:r w:rsidR="00AE50EB" w:rsidRPr="009A501D">
        <w:rPr>
          <w:rFonts w:ascii="Century Gothic" w:hAnsi="Century Gothic"/>
          <w:sz w:val="19"/>
          <w:szCs w:val="19"/>
        </w:rPr>
        <w:t xml:space="preserve">la </w:t>
      </w:r>
      <w:r w:rsidR="00D1604B" w:rsidRPr="009A501D">
        <w:rPr>
          <w:rFonts w:ascii="Century Gothic" w:hAnsi="Century Gothic"/>
          <w:sz w:val="19"/>
          <w:szCs w:val="19"/>
        </w:rPr>
        <w:t>DG</w:t>
      </w:r>
      <w:r w:rsidR="00404A28" w:rsidRPr="009A501D">
        <w:rPr>
          <w:rFonts w:ascii="Century Gothic" w:hAnsi="Century Gothic"/>
          <w:sz w:val="19"/>
          <w:szCs w:val="19"/>
        </w:rPr>
        <w:t>GMA</w:t>
      </w:r>
      <w:r w:rsidR="00AE50EB" w:rsidRPr="009A501D">
        <w:rPr>
          <w:rFonts w:ascii="Century Gothic" w:hAnsi="Century Gothic"/>
          <w:sz w:val="19"/>
          <w:szCs w:val="19"/>
        </w:rPr>
        <w:t xml:space="preserve"> presentó los primeros resultados para estos indicadores</w:t>
      </w:r>
      <w:r w:rsidR="00B62FF0" w:rsidRPr="009A501D">
        <w:rPr>
          <w:rFonts w:ascii="Century Gothic" w:hAnsi="Century Gothic"/>
          <w:sz w:val="19"/>
          <w:szCs w:val="19"/>
        </w:rPr>
        <w:t xml:space="preserve"> (ver</w:t>
      </w:r>
      <w:r w:rsidR="00AE50EB" w:rsidRPr="009A501D">
        <w:rPr>
          <w:rFonts w:ascii="Century Gothic" w:hAnsi="Century Gothic"/>
          <w:sz w:val="19"/>
          <w:szCs w:val="19"/>
        </w:rPr>
        <w:t xml:space="preserve"> cuadros III.</w:t>
      </w:r>
      <w:r w:rsidR="001D5671" w:rsidRPr="009A501D">
        <w:rPr>
          <w:rFonts w:ascii="Century Gothic" w:hAnsi="Century Gothic"/>
          <w:sz w:val="19"/>
          <w:szCs w:val="19"/>
        </w:rPr>
        <w:t>5.D</w:t>
      </w:r>
      <w:r w:rsidR="00AE50EB" w:rsidRPr="009A501D">
        <w:rPr>
          <w:rFonts w:ascii="Century Gothic" w:hAnsi="Century Gothic"/>
          <w:sz w:val="19"/>
          <w:szCs w:val="19"/>
        </w:rPr>
        <w:t>.</w:t>
      </w:r>
      <w:r w:rsidR="001D5671" w:rsidRPr="009A501D">
        <w:rPr>
          <w:rFonts w:ascii="Century Gothic" w:hAnsi="Century Gothic"/>
          <w:sz w:val="19"/>
          <w:szCs w:val="19"/>
        </w:rPr>
        <w:t>1</w:t>
      </w:r>
      <w:r w:rsidR="00AE50EB" w:rsidRPr="009A501D">
        <w:rPr>
          <w:rFonts w:ascii="Century Gothic" w:hAnsi="Century Gothic"/>
          <w:sz w:val="19"/>
          <w:szCs w:val="19"/>
        </w:rPr>
        <w:t xml:space="preserve"> y III.</w:t>
      </w:r>
      <w:r w:rsidR="001D5671" w:rsidRPr="009A501D">
        <w:rPr>
          <w:rFonts w:ascii="Century Gothic" w:hAnsi="Century Gothic"/>
          <w:sz w:val="19"/>
          <w:szCs w:val="19"/>
        </w:rPr>
        <w:t>5.D.2</w:t>
      </w:r>
      <w:r w:rsidR="00B62FF0" w:rsidRPr="009A501D">
        <w:rPr>
          <w:rFonts w:ascii="Century Gothic" w:hAnsi="Century Gothic"/>
          <w:sz w:val="19"/>
          <w:szCs w:val="19"/>
        </w:rPr>
        <w:t>)</w:t>
      </w:r>
      <w:r w:rsidR="007209F6" w:rsidRPr="009A501D">
        <w:rPr>
          <w:rFonts w:ascii="Century Gothic" w:hAnsi="Century Gothic"/>
          <w:sz w:val="19"/>
          <w:szCs w:val="19"/>
        </w:rPr>
        <w:t>.</w:t>
      </w:r>
    </w:p>
    <w:p w14:paraId="68AC6C65" w14:textId="1635E6A2" w:rsidR="00AE50EB" w:rsidRPr="009A501D" w:rsidRDefault="00AE50EB" w:rsidP="00664A1D">
      <w:pPr>
        <w:spacing w:before="240"/>
        <w:jc w:val="center"/>
        <w:rPr>
          <w:rFonts w:ascii="Century Gothic" w:hAnsi="Century Gothic"/>
          <w:sz w:val="19"/>
          <w:szCs w:val="19"/>
        </w:rPr>
      </w:pPr>
      <w:r w:rsidRPr="009A501D">
        <w:rPr>
          <w:rFonts w:ascii="Century Gothic" w:hAnsi="Century Gothic"/>
          <w:b/>
          <w:sz w:val="19"/>
          <w:szCs w:val="19"/>
        </w:rPr>
        <w:t>III.</w:t>
      </w:r>
      <w:r w:rsidR="009B3A86" w:rsidRPr="009A501D">
        <w:rPr>
          <w:rFonts w:ascii="Century Gothic" w:hAnsi="Century Gothic"/>
          <w:b/>
          <w:sz w:val="19"/>
          <w:szCs w:val="19"/>
        </w:rPr>
        <w:t>5.D</w:t>
      </w:r>
      <w:r w:rsidRPr="009A501D">
        <w:rPr>
          <w:rFonts w:ascii="Century Gothic" w:hAnsi="Century Gothic"/>
          <w:b/>
          <w:sz w:val="19"/>
          <w:szCs w:val="19"/>
        </w:rPr>
        <w:t>.</w:t>
      </w:r>
      <w:r w:rsidR="009B3A86" w:rsidRPr="009A501D">
        <w:rPr>
          <w:rFonts w:ascii="Century Gothic" w:hAnsi="Century Gothic"/>
          <w:b/>
          <w:sz w:val="19"/>
          <w:szCs w:val="19"/>
        </w:rPr>
        <w:t>1</w:t>
      </w:r>
      <w:r w:rsidRPr="009A501D">
        <w:rPr>
          <w:rFonts w:ascii="Century Gothic" w:hAnsi="Century Gothic"/>
          <w:b/>
          <w:sz w:val="19"/>
          <w:szCs w:val="19"/>
        </w:rPr>
        <w:t xml:space="preserve"> Error cuadrático medio vertical</w:t>
      </w:r>
    </w:p>
    <w:tbl>
      <w:tblPr>
        <w:tblW w:w="10820" w:type="dxa"/>
        <w:tblCellMar>
          <w:left w:w="70" w:type="dxa"/>
          <w:right w:w="70" w:type="dxa"/>
        </w:tblCellMar>
        <w:tblLook w:val="04A0" w:firstRow="1" w:lastRow="0" w:firstColumn="1" w:lastColumn="0" w:noHBand="0" w:noVBand="1"/>
      </w:tblPr>
      <w:tblGrid>
        <w:gridCol w:w="2300"/>
        <w:gridCol w:w="2160"/>
        <w:gridCol w:w="1840"/>
        <w:gridCol w:w="1900"/>
        <w:gridCol w:w="2620"/>
      </w:tblGrid>
      <w:tr w:rsidR="00AE50EB" w:rsidRPr="009A501D" w14:paraId="6744EA73" w14:textId="77777777" w:rsidTr="00664A1D">
        <w:trPr>
          <w:trHeight w:val="284"/>
        </w:trPr>
        <w:tc>
          <w:tcPr>
            <w:tcW w:w="2300" w:type="dxa"/>
            <w:shd w:val="clear" w:color="auto" w:fill="002060"/>
            <w:vAlign w:val="center"/>
            <w:hideMark/>
          </w:tcPr>
          <w:p w14:paraId="266638FC" w14:textId="77777777" w:rsidR="00AE50EB" w:rsidRPr="009A501D" w:rsidRDefault="00AE50EB" w:rsidP="00404A2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Producto</w:t>
            </w:r>
          </w:p>
        </w:tc>
        <w:tc>
          <w:tcPr>
            <w:tcW w:w="2160" w:type="dxa"/>
            <w:shd w:val="clear" w:color="auto" w:fill="002060"/>
            <w:noWrap/>
            <w:vAlign w:val="center"/>
            <w:hideMark/>
          </w:tcPr>
          <w:p w14:paraId="3AA4E521" w14:textId="19531A26" w:rsidR="00AE50EB" w:rsidRPr="009A501D" w:rsidRDefault="00AE50EB" w:rsidP="00404A2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Dominio de estudio</w:t>
            </w:r>
          </w:p>
        </w:tc>
        <w:tc>
          <w:tcPr>
            <w:tcW w:w="1840" w:type="dxa"/>
            <w:shd w:val="clear" w:color="auto" w:fill="002060"/>
            <w:vAlign w:val="center"/>
            <w:hideMark/>
          </w:tcPr>
          <w:p w14:paraId="62F6E4B3" w14:textId="77777777" w:rsidR="00AE50EB" w:rsidRPr="009A501D" w:rsidRDefault="00AE50EB" w:rsidP="00404A2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Número de puntos de verificación</w:t>
            </w:r>
          </w:p>
        </w:tc>
        <w:tc>
          <w:tcPr>
            <w:tcW w:w="1900" w:type="dxa"/>
            <w:shd w:val="clear" w:color="auto" w:fill="002060"/>
            <w:vAlign w:val="center"/>
            <w:hideMark/>
          </w:tcPr>
          <w:p w14:paraId="34B08C55" w14:textId="77777777" w:rsidR="00AE50EB" w:rsidRPr="009A501D" w:rsidRDefault="00AE50EB" w:rsidP="00404A2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Error cuadrático medio vertical</w:t>
            </w:r>
          </w:p>
        </w:tc>
        <w:tc>
          <w:tcPr>
            <w:tcW w:w="2620" w:type="dxa"/>
            <w:shd w:val="clear" w:color="auto" w:fill="002060"/>
            <w:vAlign w:val="center"/>
            <w:hideMark/>
          </w:tcPr>
          <w:p w14:paraId="74046288" w14:textId="77777777" w:rsidR="00AE50EB" w:rsidRPr="009A501D" w:rsidRDefault="00AE50EB" w:rsidP="00404A28">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Cota de confianza</w:t>
            </w:r>
          </w:p>
        </w:tc>
      </w:tr>
      <w:tr w:rsidR="00AE50EB" w:rsidRPr="009A501D" w14:paraId="3B8D66D0" w14:textId="77777777" w:rsidTr="00664A1D">
        <w:trPr>
          <w:trHeight w:val="284"/>
        </w:trPr>
        <w:tc>
          <w:tcPr>
            <w:tcW w:w="2300" w:type="dxa"/>
            <w:shd w:val="clear" w:color="auto" w:fill="F2F2F2" w:themeFill="background1" w:themeFillShade="F2"/>
            <w:vAlign w:val="center"/>
            <w:hideMark/>
          </w:tcPr>
          <w:p w14:paraId="59E31F1C" w14:textId="31532466"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Modelos digitales de </w:t>
            </w:r>
            <w:r w:rsidR="00866B1A" w:rsidRPr="009A501D">
              <w:rPr>
                <w:rFonts w:ascii="Century Gothic" w:eastAsia="Times New Roman" w:hAnsi="Century Gothic" w:cs="Calibri"/>
                <w:color w:val="000000"/>
                <w:sz w:val="16"/>
                <w:szCs w:val="16"/>
                <w:lang w:eastAsia="es-MX"/>
              </w:rPr>
              <w:t>e</w:t>
            </w:r>
            <w:r w:rsidRPr="009A501D">
              <w:rPr>
                <w:rFonts w:ascii="Century Gothic" w:eastAsia="Times New Roman" w:hAnsi="Century Gothic" w:cs="Calibri"/>
                <w:color w:val="000000"/>
                <w:sz w:val="16"/>
                <w:szCs w:val="16"/>
                <w:lang w:eastAsia="es-MX"/>
              </w:rPr>
              <w:t>levación</w:t>
            </w:r>
          </w:p>
        </w:tc>
        <w:tc>
          <w:tcPr>
            <w:tcW w:w="2160" w:type="dxa"/>
            <w:shd w:val="clear" w:color="auto" w:fill="F2F2F2" w:themeFill="background1" w:themeFillShade="F2"/>
            <w:noWrap/>
            <w:vAlign w:val="center"/>
            <w:hideMark/>
          </w:tcPr>
          <w:p w14:paraId="792D4D22"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w:t>
            </w:r>
          </w:p>
        </w:tc>
        <w:tc>
          <w:tcPr>
            <w:tcW w:w="1840" w:type="dxa"/>
            <w:shd w:val="clear" w:color="auto" w:fill="F2F2F2" w:themeFill="background1" w:themeFillShade="F2"/>
            <w:noWrap/>
            <w:vAlign w:val="center"/>
            <w:hideMark/>
          </w:tcPr>
          <w:p w14:paraId="59F51AFE"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900" w:type="dxa"/>
            <w:shd w:val="clear" w:color="auto" w:fill="F2F2F2" w:themeFill="background1" w:themeFillShade="F2"/>
            <w:noWrap/>
            <w:vAlign w:val="center"/>
            <w:hideMark/>
          </w:tcPr>
          <w:p w14:paraId="2B19760A"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1.03 m</w:t>
            </w:r>
          </w:p>
        </w:tc>
        <w:tc>
          <w:tcPr>
            <w:tcW w:w="2620" w:type="dxa"/>
            <w:shd w:val="clear" w:color="auto" w:fill="F2F2F2" w:themeFill="background1" w:themeFillShade="F2"/>
            <w:noWrap/>
            <w:vAlign w:val="center"/>
            <w:hideMark/>
          </w:tcPr>
          <w:p w14:paraId="0AD22977" w14:textId="221254B0" w:rsidR="00AE50EB" w:rsidRPr="009A501D" w:rsidRDefault="00EB3000"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w:t>
            </w:r>
          </w:p>
        </w:tc>
      </w:tr>
      <w:tr w:rsidR="00AE50EB" w:rsidRPr="009A501D" w14:paraId="6559C0B6" w14:textId="77777777" w:rsidTr="006E516C">
        <w:trPr>
          <w:trHeight w:val="284"/>
        </w:trPr>
        <w:tc>
          <w:tcPr>
            <w:tcW w:w="2300" w:type="dxa"/>
            <w:vMerge w:val="restart"/>
            <w:shd w:val="clear" w:color="auto" w:fill="auto"/>
            <w:vAlign w:val="center"/>
            <w:hideMark/>
          </w:tcPr>
          <w:p w14:paraId="3AAE1653" w14:textId="7B9EACBC"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Continuo de elevaciones </w:t>
            </w:r>
            <w:r w:rsidR="005D53A2" w:rsidRPr="009A501D">
              <w:rPr>
                <w:rFonts w:ascii="Century Gothic" w:eastAsia="Times New Roman" w:hAnsi="Century Gothic" w:cs="Calibri"/>
                <w:color w:val="000000"/>
                <w:sz w:val="16"/>
                <w:szCs w:val="16"/>
                <w:lang w:eastAsia="es-MX"/>
              </w:rPr>
              <w:t>m</w:t>
            </w:r>
            <w:r w:rsidRPr="009A501D">
              <w:rPr>
                <w:rFonts w:ascii="Century Gothic" w:eastAsia="Times New Roman" w:hAnsi="Century Gothic" w:cs="Calibri"/>
                <w:color w:val="000000"/>
                <w:sz w:val="16"/>
                <w:szCs w:val="16"/>
                <w:lang w:eastAsia="es-MX"/>
              </w:rPr>
              <w:t>exicano</w:t>
            </w:r>
          </w:p>
        </w:tc>
        <w:tc>
          <w:tcPr>
            <w:tcW w:w="2160" w:type="dxa"/>
            <w:shd w:val="clear" w:color="auto" w:fill="auto"/>
            <w:noWrap/>
            <w:vAlign w:val="center"/>
            <w:hideMark/>
          </w:tcPr>
          <w:p w14:paraId="439B430C"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Pendiente 0 - 14 %</w:t>
            </w:r>
          </w:p>
        </w:tc>
        <w:tc>
          <w:tcPr>
            <w:tcW w:w="1840" w:type="dxa"/>
            <w:shd w:val="clear" w:color="auto" w:fill="auto"/>
            <w:noWrap/>
            <w:vAlign w:val="center"/>
            <w:hideMark/>
          </w:tcPr>
          <w:p w14:paraId="3667F57B"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14,140</w:t>
            </w:r>
          </w:p>
        </w:tc>
        <w:tc>
          <w:tcPr>
            <w:tcW w:w="1900" w:type="dxa"/>
            <w:shd w:val="clear" w:color="auto" w:fill="auto"/>
            <w:noWrap/>
            <w:vAlign w:val="center"/>
            <w:hideMark/>
          </w:tcPr>
          <w:p w14:paraId="4D414C85"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4.61 m</w:t>
            </w:r>
          </w:p>
        </w:tc>
        <w:tc>
          <w:tcPr>
            <w:tcW w:w="2620" w:type="dxa"/>
            <w:vMerge w:val="restart"/>
            <w:shd w:val="clear" w:color="auto" w:fill="auto"/>
            <w:noWrap/>
            <w:vAlign w:val="center"/>
            <w:hideMark/>
          </w:tcPr>
          <w:p w14:paraId="5D21662D" w14:textId="3E44450A" w:rsidR="00AE50EB" w:rsidRPr="009A501D" w:rsidRDefault="00EB3000"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w:t>
            </w:r>
          </w:p>
        </w:tc>
      </w:tr>
      <w:tr w:rsidR="00AE50EB" w:rsidRPr="009A501D" w14:paraId="323CF99D" w14:textId="77777777" w:rsidTr="006E516C">
        <w:trPr>
          <w:trHeight w:val="284"/>
        </w:trPr>
        <w:tc>
          <w:tcPr>
            <w:tcW w:w="2300" w:type="dxa"/>
            <w:vMerge/>
            <w:vAlign w:val="center"/>
            <w:hideMark/>
          </w:tcPr>
          <w:p w14:paraId="3F42E354"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auto"/>
            <w:noWrap/>
            <w:vAlign w:val="center"/>
            <w:hideMark/>
          </w:tcPr>
          <w:p w14:paraId="0417E5DC"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Pendiente 15 - 36 %</w:t>
            </w:r>
          </w:p>
        </w:tc>
        <w:tc>
          <w:tcPr>
            <w:tcW w:w="1840" w:type="dxa"/>
            <w:shd w:val="clear" w:color="auto" w:fill="auto"/>
            <w:noWrap/>
            <w:vAlign w:val="center"/>
            <w:hideMark/>
          </w:tcPr>
          <w:p w14:paraId="23D9E252"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1,861</w:t>
            </w:r>
          </w:p>
        </w:tc>
        <w:tc>
          <w:tcPr>
            <w:tcW w:w="1900" w:type="dxa"/>
            <w:shd w:val="clear" w:color="auto" w:fill="auto"/>
            <w:noWrap/>
            <w:vAlign w:val="center"/>
            <w:hideMark/>
          </w:tcPr>
          <w:p w14:paraId="78CC1C82"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5.8 m</w:t>
            </w:r>
          </w:p>
        </w:tc>
        <w:tc>
          <w:tcPr>
            <w:tcW w:w="2620" w:type="dxa"/>
            <w:vMerge/>
            <w:vAlign w:val="center"/>
            <w:hideMark/>
          </w:tcPr>
          <w:p w14:paraId="496E9452"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r>
      <w:tr w:rsidR="00AE50EB" w:rsidRPr="009A501D" w14:paraId="16147BE9" w14:textId="77777777" w:rsidTr="006E516C">
        <w:trPr>
          <w:trHeight w:val="284"/>
        </w:trPr>
        <w:tc>
          <w:tcPr>
            <w:tcW w:w="2300" w:type="dxa"/>
            <w:vMerge/>
            <w:vAlign w:val="center"/>
            <w:hideMark/>
          </w:tcPr>
          <w:p w14:paraId="6840BE1F"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auto"/>
            <w:noWrap/>
            <w:vAlign w:val="center"/>
            <w:hideMark/>
          </w:tcPr>
          <w:p w14:paraId="16CA8D0C"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Pendiente &gt; 36 %</w:t>
            </w:r>
          </w:p>
        </w:tc>
        <w:tc>
          <w:tcPr>
            <w:tcW w:w="1840" w:type="dxa"/>
            <w:shd w:val="clear" w:color="auto" w:fill="auto"/>
            <w:noWrap/>
            <w:vAlign w:val="center"/>
            <w:hideMark/>
          </w:tcPr>
          <w:p w14:paraId="7391BA68"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530</w:t>
            </w:r>
          </w:p>
        </w:tc>
        <w:tc>
          <w:tcPr>
            <w:tcW w:w="1900" w:type="dxa"/>
            <w:shd w:val="clear" w:color="auto" w:fill="auto"/>
            <w:noWrap/>
            <w:vAlign w:val="center"/>
            <w:hideMark/>
          </w:tcPr>
          <w:p w14:paraId="38A918B3"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7.26 m</w:t>
            </w:r>
          </w:p>
        </w:tc>
        <w:tc>
          <w:tcPr>
            <w:tcW w:w="2620" w:type="dxa"/>
            <w:vMerge/>
            <w:vAlign w:val="center"/>
            <w:hideMark/>
          </w:tcPr>
          <w:p w14:paraId="4A255AAD"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r>
      <w:tr w:rsidR="00AE50EB" w:rsidRPr="009A501D" w14:paraId="15CE1827" w14:textId="77777777" w:rsidTr="00664A1D">
        <w:trPr>
          <w:trHeight w:val="284"/>
        </w:trPr>
        <w:tc>
          <w:tcPr>
            <w:tcW w:w="2300" w:type="dxa"/>
            <w:vMerge w:val="restart"/>
            <w:shd w:val="clear" w:color="auto" w:fill="F2F2F2" w:themeFill="background1" w:themeFillShade="F2"/>
            <w:vAlign w:val="center"/>
            <w:hideMark/>
          </w:tcPr>
          <w:p w14:paraId="2AE2640D"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proofErr w:type="spellStart"/>
            <w:r w:rsidRPr="009A501D">
              <w:rPr>
                <w:rFonts w:ascii="Century Gothic" w:eastAsia="Times New Roman" w:hAnsi="Century Gothic" w:cs="Calibri"/>
                <w:color w:val="000000"/>
                <w:sz w:val="16"/>
                <w:szCs w:val="16"/>
                <w:lang w:eastAsia="es-MX"/>
              </w:rPr>
              <w:t>Aerotriangulación</w:t>
            </w:r>
            <w:proofErr w:type="spellEnd"/>
            <w:r w:rsidRPr="009A501D">
              <w:rPr>
                <w:rFonts w:ascii="Century Gothic" w:eastAsia="Times New Roman" w:hAnsi="Century Gothic" w:cs="Calibri"/>
                <w:color w:val="000000"/>
                <w:sz w:val="16"/>
                <w:szCs w:val="16"/>
                <w:lang w:eastAsia="es-MX"/>
              </w:rPr>
              <w:t xml:space="preserve"> del mapa topográfico</w:t>
            </w:r>
          </w:p>
        </w:tc>
        <w:tc>
          <w:tcPr>
            <w:tcW w:w="2160" w:type="dxa"/>
            <w:shd w:val="clear" w:color="auto" w:fill="F2F2F2" w:themeFill="background1" w:themeFillShade="F2"/>
            <w:noWrap/>
            <w:vAlign w:val="center"/>
            <w:hideMark/>
          </w:tcPr>
          <w:p w14:paraId="4A25085C"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Palenque</w:t>
            </w:r>
          </w:p>
        </w:tc>
        <w:tc>
          <w:tcPr>
            <w:tcW w:w="1840" w:type="dxa"/>
            <w:shd w:val="clear" w:color="auto" w:fill="F2F2F2" w:themeFill="background1" w:themeFillShade="F2"/>
            <w:noWrap/>
            <w:vAlign w:val="center"/>
            <w:hideMark/>
          </w:tcPr>
          <w:p w14:paraId="09BE8FC3"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 </w:t>
            </w:r>
          </w:p>
        </w:tc>
        <w:tc>
          <w:tcPr>
            <w:tcW w:w="1900" w:type="dxa"/>
            <w:shd w:val="clear" w:color="auto" w:fill="F2F2F2" w:themeFill="background1" w:themeFillShade="F2"/>
            <w:noWrap/>
            <w:vAlign w:val="center"/>
            <w:hideMark/>
          </w:tcPr>
          <w:p w14:paraId="6E9DD340"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0.2457 m</w:t>
            </w:r>
          </w:p>
        </w:tc>
        <w:tc>
          <w:tcPr>
            <w:tcW w:w="2620" w:type="dxa"/>
            <w:shd w:val="clear" w:color="auto" w:fill="F2F2F2" w:themeFill="background1" w:themeFillShade="F2"/>
            <w:vAlign w:val="center"/>
            <w:hideMark/>
          </w:tcPr>
          <w:p w14:paraId="37BE2CEC"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25cm al 95% de confianza</w:t>
            </w:r>
          </w:p>
        </w:tc>
      </w:tr>
      <w:tr w:rsidR="00AE50EB" w:rsidRPr="009A501D" w14:paraId="4E91C912" w14:textId="77777777" w:rsidTr="00664A1D">
        <w:trPr>
          <w:trHeight w:val="284"/>
        </w:trPr>
        <w:tc>
          <w:tcPr>
            <w:tcW w:w="2300" w:type="dxa"/>
            <w:vMerge/>
            <w:shd w:val="clear" w:color="auto" w:fill="F2F2F2" w:themeFill="background1" w:themeFillShade="F2"/>
            <w:vAlign w:val="center"/>
            <w:hideMark/>
          </w:tcPr>
          <w:p w14:paraId="1E814F69"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F2F2F2" w:themeFill="background1" w:themeFillShade="F2"/>
            <w:noWrap/>
            <w:vAlign w:val="center"/>
            <w:hideMark/>
          </w:tcPr>
          <w:p w14:paraId="61D02E4F"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Campeche</w:t>
            </w:r>
          </w:p>
        </w:tc>
        <w:tc>
          <w:tcPr>
            <w:tcW w:w="1840" w:type="dxa"/>
            <w:shd w:val="clear" w:color="auto" w:fill="F2F2F2" w:themeFill="background1" w:themeFillShade="F2"/>
            <w:noWrap/>
            <w:vAlign w:val="center"/>
            <w:hideMark/>
          </w:tcPr>
          <w:p w14:paraId="0A8D6B43"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 </w:t>
            </w:r>
          </w:p>
        </w:tc>
        <w:tc>
          <w:tcPr>
            <w:tcW w:w="1900" w:type="dxa"/>
            <w:shd w:val="clear" w:color="auto" w:fill="F2F2F2" w:themeFill="background1" w:themeFillShade="F2"/>
            <w:noWrap/>
            <w:vAlign w:val="center"/>
            <w:hideMark/>
          </w:tcPr>
          <w:p w14:paraId="6E58A5A8"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0.3448 m</w:t>
            </w:r>
          </w:p>
        </w:tc>
        <w:tc>
          <w:tcPr>
            <w:tcW w:w="2620" w:type="dxa"/>
            <w:shd w:val="clear" w:color="auto" w:fill="F2F2F2" w:themeFill="background1" w:themeFillShade="F2"/>
            <w:vAlign w:val="center"/>
            <w:hideMark/>
          </w:tcPr>
          <w:p w14:paraId="59D80056"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35cm al 95% de confianza</w:t>
            </w:r>
          </w:p>
        </w:tc>
      </w:tr>
      <w:tr w:rsidR="00AE50EB" w:rsidRPr="009A501D" w14:paraId="2690A803" w14:textId="77777777" w:rsidTr="00664A1D">
        <w:trPr>
          <w:trHeight w:val="284"/>
        </w:trPr>
        <w:tc>
          <w:tcPr>
            <w:tcW w:w="2300" w:type="dxa"/>
            <w:vMerge/>
            <w:shd w:val="clear" w:color="auto" w:fill="F2F2F2" w:themeFill="background1" w:themeFillShade="F2"/>
            <w:vAlign w:val="center"/>
            <w:hideMark/>
          </w:tcPr>
          <w:p w14:paraId="49DB8B9C"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F2F2F2" w:themeFill="background1" w:themeFillShade="F2"/>
            <w:noWrap/>
            <w:vAlign w:val="center"/>
            <w:hideMark/>
          </w:tcPr>
          <w:p w14:paraId="0687B1DF"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Escárcega</w:t>
            </w:r>
          </w:p>
        </w:tc>
        <w:tc>
          <w:tcPr>
            <w:tcW w:w="1840" w:type="dxa"/>
            <w:shd w:val="clear" w:color="auto" w:fill="F2F2F2" w:themeFill="background1" w:themeFillShade="F2"/>
            <w:noWrap/>
            <w:vAlign w:val="center"/>
            <w:hideMark/>
          </w:tcPr>
          <w:p w14:paraId="1EBF7575"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 </w:t>
            </w:r>
          </w:p>
        </w:tc>
        <w:tc>
          <w:tcPr>
            <w:tcW w:w="1900" w:type="dxa"/>
            <w:shd w:val="clear" w:color="auto" w:fill="F2F2F2" w:themeFill="background1" w:themeFillShade="F2"/>
            <w:noWrap/>
            <w:vAlign w:val="center"/>
            <w:hideMark/>
          </w:tcPr>
          <w:p w14:paraId="3209BAE2"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0.317 m</w:t>
            </w:r>
          </w:p>
        </w:tc>
        <w:tc>
          <w:tcPr>
            <w:tcW w:w="2620" w:type="dxa"/>
            <w:shd w:val="clear" w:color="auto" w:fill="F2F2F2" w:themeFill="background1" w:themeFillShade="F2"/>
            <w:vAlign w:val="center"/>
            <w:hideMark/>
          </w:tcPr>
          <w:p w14:paraId="3A533E7A"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30cm al 95% de confianza</w:t>
            </w:r>
          </w:p>
        </w:tc>
      </w:tr>
      <w:tr w:rsidR="00AE50EB" w:rsidRPr="009A501D" w14:paraId="0BB843F2" w14:textId="77777777" w:rsidTr="00664A1D">
        <w:trPr>
          <w:trHeight w:val="284"/>
        </w:trPr>
        <w:tc>
          <w:tcPr>
            <w:tcW w:w="2300" w:type="dxa"/>
            <w:vMerge/>
            <w:shd w:val="clear" w:color="auto" w:fill="F2F2F2" w:themeFill="background1" w:themeFillShade="F2"/>
            <w:vAlign w:val="center"/>
            <w:hideMark/>
          </w:tcPr>
          <w:p w14:paraId="168A3ED4"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F2F2F2" w:themeFill="background1" w:themeFillShade="F2"/>
            <w:noWrap/>
            <w:vAlign w:val="center"/>
            <w:hideMark/>
          </w:tcPr>
          <w:p w14:paraId="50990649"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Mérida</w:t>
            </w:r>
          </w:p>
        </w:tc>
        <w:tc>
          <w:tcPr>
            <w:tcW w:w="1840" w:type="dxa"/>
            <w:shd w:val="clear" w:color="auto" w:fill="F2F2F2" w:themeFill="background1" w:themeFillShade="F2"/>
            <w:noWrap/>
            <w:vAlign w:val="center"/>
            <w:hideMark/>
          </w:tcPr>
          <w:p w14:paraId="1992EC00"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 </w:t>
            </w:r>
          </w:p>
        </w:tc>
        <w:tc>
          <w:tcPr>
            <w:tcW w:w="1900" w:type="dxa"/>
            <w:shd w:val="clear" w:color="auto" w:fill="F2F2F2" w:themeFill="background1" w:themeFillShade="F2"/>
            <w:noWrap/>
            <w:vAlign w:val="center"/>
            <w:hideMark/>
          </w:tcPr>
          <w:p w14:paraId="3474686F"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0.3272 m</w:t>
            </w:r>
          </w:p>
        </w:tc>
        <w:tc>
          <w:tcPr>
            <w:tcW w:w="2620" w:type="dxa"/>
            <w:shd w:val="clear" w:color="auto" w:fill="F2F2F2" w:themeFill="background1" w:themeFillShade="F2"/>
            <w:vAlign w:val="center"/>
            <w:hideMark/>
          </w:tcPr>
          <w:p w14:paraId="70D73925"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35cm al 95% de confianza</w:t>
            </w:r>
          </w:p>
        </w:tc>
      </w:tr>
      <w:tr w:rsidR="00AE50EB" w:rsidRPr="009A501D" w14:paraId="754E1BF3" w14:textId="77777777" w:rsidTr="00664A1D">
        <w:trPr>
          <w:trHeight w:val="284"/>
        </w:trPr>
        <w:tc>
          <w:tcPr>
            <w:tcW w:w="2300" w:type="dxa"/>
            <w:vMerge/>
            <w:shd w:val="clear" w:color="auto" w:fill="F2F2F2" w:themeFill="background1" w:themeFillShade="F2"/>
            <w:vAlign w:val="center"/>
            <w:hideMark/>
          </w:tcPr>
          <w:p w14:paraId="37134600" w14:textId="77777777" w:rsidR="00AE50EB" w:rsidRPr="009A501D" w:rsidRDefault="00AE50EB" w:rsidP="00404A28">
            <w:pPr>
              <w:spacing w:after="0" w:line="240" w:lineRule="auto"/>
              <w:rPr>
                <w:rFonts w:ascii="Century Gothic" w:eastAsia="Times New Roman" w:hAnsi="Century Gothic" w:cs="Calibri"/>
                <w:color w:val="000000"/>
                <w:sz w:val="16"/>
                <w:szCs w:val="16"/>
                <w:lang w:eastAsia="es-MX"/>
              </w:rPr>
            </w:pPr>
          </w:p>
        </w:tc>
        <w:tc>
          <w:tcPr>
            <w:tcW w:w="2160" w:type="dxa"/>
            <w:shd w:val="clear" w:color="auto" w:fill="F2F2F2" w:themeFill="background1" w:themeFillShade="F2"/>
            <w:noWrap/>
            <w:vAlign w:val="center"/>
            <w:hideMark/>
          </w:tcPr>
          <w:p w14:paraId="7971327B"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Cancún</w:t>
            </w:r>
          </w:p>
        </w:tc>
        <w:tc>
          <w:tcPr>
            <w:tcW w:w="1840" w:type="dxa"/>
            <w:shd w:val="clear" w:color="auto" w:fill="F2F2F2" w:themeFill="background1" w:themeFillShade="F2"/>
            <w:noWrap/>
            <w:vAlign w:val="center"/>
            <w:hideMark/>
          </w:tcPr>
          <w:p w14:paraId="06AA99A4"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 </w:t>
            </w:r>
          </w:p>
        </w:tc>
        <w:tc>
          <w:tcPr>
            <w:tcW w:w="1900" w:type="dxa"/>
            <w:shd w:val="clear" w:color="auto" w:fill="F2F2F2" w:themeFill="background1" w:themeFillShade="F2"/>
            <w:noWrap/>
            <w:vAlign w:val="center"/>
            <w:hideMark/>
          </w:tcPr>
          <w:p w14:paraId="59D4CCEB"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0.1464 m</w:t>
            </w:r>
          </w:p>
        </w:tc>
        <w:tc>
          <w:tcPr>
            <w:tcW w:w="2620" w:type="dxa"/>
            <w:shd w:val="clear" w:color="auto" w:fill="F2F2F2" w:themeFill="background1" w:themeFillShade="F2"/>
            <w:vAlign w:val="center"/>
            <w:hideMark/>
          </w:tcPr>
          <w:p w14:paraId="53C630E1" w14:textId="77777777" w:rsidR="00AE50EB" w:rsidRPr="009A501D" w:rsidRDefault="00AE50EB" w:rsidP="00404A28">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15cm al 95% de confianza</w:t>
            </w:r>
          </w:p>
        </w:tc>
      </w:tr>
    </w:tbl>
    <w:p w14:paraId="23289A9B" w14:textId="63BB30EB" w:rsidR="00EB3000" w:rsidRPr="009A501D" w:rsidRDefault="00EB3000" w:rsidP="00EB3000">
      <w:pPr>
        <w:spacing w:after="0"/>
        <w:ind w:left="284"/>
        <w:rPr>
          <w:rFonts w:ascii="Century Gothic" w:hAnsi="Century Gothic" w:cstheme="minorHAnsi"/>
          <w:sz w:val="14"/>
          <w:szCs w:val="14"/>
        </w:rPr>
      </w:pPr>
      <w:r w:rsidRPr="009A501D">
        <w:rPr>
          <w:rFonts w:ascii="Century Gothic" w:hAnsi="Century Gothic" w:cstheme="minorHAnsi"/>
          <w:sz w:val="14"/>
          <w:szCs w:val="14"/>
        </w:rPr>
        <w:t>NA: no aplica.</w:t>
      </w:r>
    </w:p>
    <w:p w14:paraId="499AFBD4" w14:textId="56E3EB72" w:rsidR="00AE50EB" w:rsidRPr="009A501D" w:rsidRDefault="00AE50EB" w:rsidP="00664A1D">
      <w:pPr>
        <w:spacing w:before="240"/>
        <w:jc w:val="center"/>
        <w:rPr>
          <w:rFonts w:ascii="Century Gothic" w:hAnsi="Century Gothic"/>
          <w:sz w:val="19"/>
          <w:szCs w:val="19"/>
        </w:rPr>
      </w:pPr>
      <w:r w:rsidRPr="009A501D">
        <w:rPr>
          <w:rFonts w:ascii="Century Gothic" w:hAnsi="Century Gothic"/>
          <w:b/>
          <w:sz w:val="19"/>
          <w:szCs w:val="19"/>
        </w:rPr>
        <w:t>III.</w:t>
      </w:r>
      <w:r w:rsidR="009B3A86" w:rsidRPr="009A501D">
        <w:rPr>
          <w:rFonts w:ascii="Century Gothic" w:hAnsi="Century Gothic"/>
          <w:b/>
          <w:sz w:val="19"/>
          <w:szCs w:val="19"/>
        </w:rPr>
        <w:t>5.D</w:t>
      </w:r>
      <w:r w:rsidRPr="009A501D">
        <w:rPr>
          <w:rFonts w:ascii="Century Gothic" w:hAnsi="Century Gothic"/>
          <w:b/>
          <w:sz w:val="19"/>
          <w:szCs w:val="19"/>
        </w:rPr>
        <w:t>.</w:t>
      </w:r>
      <w:r w:rsidR="009B3A86" w:rsidRPr="009A501D">
        <w:rPr>
          <w:rFonts w:ascii="Century Gothic" w:hAnsi="Century Gothic"/>
          <w:b/>
          <w:sz w:val="19"/>
          <w:szCs w:val="19"/>
        </w:rPr>
        <w:t>2</w:t>
      </w:r>
      <w:r w:rsidRPr="009A501D">
        <w:rPr>
          <w:rFonts w:ascii="Century Gothic" w:hAnsi="Century Gothic"/>
          <w:b/>
          <w:sz w:val="19"/>
          <w:szCs w:val="19"/>
        </w:rPr>
        <w:t xml:space="preserve"> Error cuadrático medio horizontal</w:t>
      </w:r>
    </w:p>
    <w:tbl>
      <w:tblPr>
        <w:tblW w:w="8120" w:type="dxa"/>
        <w:jc w:val="center"/>
        <w:tblCellMar>
          <w:left w:w="70" w:type="dxa"/>
          <w:right w:w="70" w:type="dxa"/>
        </w:tblCellMar>
        <w:tblLook w:val="04A0" w:firstRow="1" w:lastRow="0" w:firstColumn="1" w:lastColumn="0" w:noHBand="0" w:noVBand="1"/>
      </w:tblPr>
      <w:tblGrid>
        <w:gridCol w:w="2300"/>
        <w:gridCol w:w="1300"/>
        <w:gridCol w:w="1840"/>
        <w:gridCol w:w="2680"/>
      </w:tblGrid>
      <w:tr w:rsidR="00AE50EB" w:rsidRPr="009A501D" w14:paraId="44F396CD" w14:textId="77777777" w:rsidTr="00664A1D">
        <w:trPr>
          <w:trHeight w:val="600"/>
          <w:jc w:val="center"/>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C187EAF" w14:textId="77777777" w:rsidR="00AE50EB" w:rsidRPr="009A501D" w:rsidRDefault="00AE50EB" w:rsidP="006C332E">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Producto</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2C0D213" w14:textId="77777777" w:rsidR="00AE50EB" w:rsidRPr="009A501D" w:rsidRDefault="00AE50EB" w:rsidP="006C332E">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Dominio de estudio</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A47D5DB" w14:textId="77777777" w:rsidR="00AE50EB" w:rsidRPr="009A501D" w:rsidRDefault="00AE50EB" w:rsidP="006C332E">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Error cuadrático medio horizontal</w:t>
            </w:r>
          </w:p>
        </w:tc>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0E3F9D2" w14:textId="77777777" w:rsidR="00AE50EB" w:rsidRPr="009A501D" w:rsidRDefault="00AE50EB" w:rsidP="006C332E">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Cota de confianza</w:t>
            </w:r>
          </w:p>
        </w:tc>
      </w:tr>
      <w:tr w:rsidR="00AE50EB" w:rsidRPr="009A501D" w14:paraId="01AAE6EE" w14:textId="77777777" w:rsidTr="00664A1D">
        <w:trPr>
          <w:trHeight w:val="300"/>
          <w:jc w:val="center"/>
        </w:trPr>
        <w:tc>
          <w:tcPr>
            <w:tcW w:w="23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FED0213"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proofErr w:type="spellStart"/>
            <w:r w:rsidRPr="009A501D">
              <w:rPr>
                <w:rFonts w:ascii="Century Gothic" w:eastAsia="Times New Roman" w:hAnsi="Century Gothic" w:cs="Calibri"/>
                <w:color w:val="000000"/>
                <w:sz w:val="16"/>
                <w:szCs w:val="16"/>
                <w:lang w:eastAsia="es-MX"/>
              </w:rPr>
              <w:t>Aerotriangulación</w:t>
            </w:r>
            <w:proofErr w:type="spellEnd"/>
            <w:r w:rsidRPr="009A501D">
              <w:rPr>
                <w:rFonts w:ascii="Century Gothic" w:eastAsia="Times New Roman" w:hAnsi="Century Gothic" w:cs="Calibri"/>
                <w:color w:val="000000"/>
                <w:sz w:val="16"/>
                <w:szCs w:val="16"/>
                <w:lang w:eastAsia="es-MX"/>
              </w:rPr>
              <w:t xml:space="preserve"> del mapa topográfico</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27582C5"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Palenque</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126A0AD"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0.216 m</w:t>
            </w:r>
          </w:p>
        </w:tc>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1EECFE9"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25cm al 95% de confianza</w:t>
            </w:r>
          </w:p>
        </w:tc>
      </w:tr>
      <w:tr w:rsidR="00AE50EB" w:rsidRPr="009A501D" w14:paraId="5CF4145E" w14:textId="77777777" w:rsidTr="00381B7F">
        <w:trPr>
          <w:trHeight w:val="300"/>
          <w:jc w:val="center"/>
        </w:trPr>
        <w:tc>
          <w:tcPr>
            <w:tcW w:w="23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469E9C4"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E39CB9D"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Campeche</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A45147C"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0.3246 m</w:t>
            </w:r>
          </w:p>
        </w:tc>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2FB9B4"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35cm al 95% de confianza</w:t>
            </w:r>
          </w:p>
        </w:tc>
      </w:tr>
      <w:tr w:rsidR="00AE50EB" w:rsidRPr="009A501D" w14:paraId="05233E8C" w14:textId="77777777" w:rsidTr="00664A1D">
        <w:trPr>
          <w:trHeight w:val="300"/>
          <w:jc w:val="center"/>
        </w:trPr>
        <w:tc>
          <w:tcPr>
            <w:tcW w:w="23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ABE3C28"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F16947D"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Escárcega</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04B3D99"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0.307 m</w:t>
            </w:r>
          </w:p>
        </w:tc>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1870DA5"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30cm al 95% de confianza</w:t>
            </w:r>
          </w:p>
        </w:tc>
      </w:tr>
      <w:tr w:rsidR="00AE50EB" w:rsidRPr="009A501D" w14:paraId="477741F0" w14:textId="77777777" w:rsidTr="00381B7F">
        <w:trPr>
          <w:trHeight w:val="300"/>
          <w:jc w:val="center"/>
        </w:trPr>
        <w:tc>
          <w:tcPr>
            <w:tcW w:w="23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4233EE7"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30E6AE"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Mérida</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A0E74FB"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0.2133 m</w:t>
            </w:r>
          </w:p>
        </w:tc>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AA9DDE"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25cm al 95% de confianza</w:t>
            </w:r>
          </w:p>
        </w:tc>
      </w:tr>
      <w:tr w:rsidR="00AE50EB" w:rsidRPr="009A501D" w14:paraId="70A391B3" w14:textId="77777777" w:rsidTr="00664A1D">
        <w:trPr>
          <w:trHeight w:val="300"/>
          <w:jc w:val="center"/>
        </w:trPr>
        <w:tc>
          <w:tcPr>
            <w:tcW w:w="2300" w:type="dxa"/>
            <w:vMerge/>
            <w:tcBorders>
              <w:top w:val="single" w:sz="4" w:space="0" w:color="FFFFFF" w:themeColor="background1"/>
              <w:left w:val="nil"/>
              <w:bottom w:val="nil"/>
              <w:right w:val="nil"/>
            </w:tcBorders>
            <w:shd w:val="clear" w:color="auto" w:fill="D9D9D9" w:themeFill="background1" w:themeFillShade="D9"/>
            <w:vAlign w:val="center"/>
            <w:hideMark/>
          </w:tcPr>
          <w:p w14:paraId="45296A6E"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p>
        </w:tc>
        <w:tc>
          <w:tcPr>
            <w:tcW w:w="1300" w:type="dxa"/>
            <w:tcBorders>
              <w:top w:val="single" w:sz="4" w:space="0" w:color="FFFFFF" w:themeColor="background1"/>
              <w:left w:val="nil"/>
              <w:bottom w:val="nil"/>
              <w:right w:val="nil"/>
            </w:tcBorders>
            <w:shd w:val="clear" w:color="auto" w:fill="F2F2F2" w:themeFill="background1" w:themeFillShade="F2"/>
            <w:noWrap/>
            <w:vAlign w:val="center"/>
            <w:hideMark/>
          </w:tcPr>
          <w:p w14:paraId="60E4DA6C"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Cancún</w:t>
            </w:r>
          </w:p>
        </w:tc>
        <w:tc>
          <w:tcPr>
            <w:tcW w:w="1840" w:type="dxa"/>
            <w:tcBorders>
              <w:top w:val="single" w:sz="4" w:space="0" w:color="FFFFFF" w:themeColor="background1"/>
              <w:left w:val="nil"/>
              <w:bottom w:val="nil"/>
              <w:right w:val="nil"/>
            </w:tcBorders>
            <w:shd w:val="clear" w:color="auto" w:fill="F2F2F2" w:themeFill="background1" w:themeFillShade="F2"/>
            <w:noWrap/>
            <w:vAlign w:val="center"/>
            <w:hideMark/>
          </w:tcPr>
          <w:p w14:paraId="469C409E"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0.2101 m</w:t>
            </w:r>
          </w:p>
        </w:tc>
        <w:tc>
          <w:tcPr>
            <w:tcW w:w="2680" w:type="dxa"/>
            <w:tcBorders>
              <w:top w:val="single" w:sz="4" w:space="0" w:color="FFFFFF" w:themeColor="background1"/>
              <w:left w:val="nil"/>
              <w:bottom w:val="nil"/>
              <w:right w:val="nil"/>
            </w:tcBorders>
            <w:shd w:val="clear" w:color="auto" w:fill="F2F2F2" w:themeFill="background1" w:themeFillShade="F2"/>
            <w:noWrap/>
            <w:vAlign w:val="center"/>
            <w:hideMark/>
          </w:tcPr>
          <w:p w14:paraId="7367D000" w14:textId="77777777" w:rsidR="00AE50EB" w:rsidRPr="009A501D" w:rsidRDefault="00AE50EB" w:rsidP="006C332E">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20cm al 95% de confianza</w:t>
            </w:r>
          </w:p>
        </w:tc>
      </w:tr>
    </w:tbl>
    <w:p w14:paraId="5D449CB8" w14:textId="4D099FA1" w:rsidR="00AE50EB" w:rsidRPr="009A501D" w:rsidRDefault="00616D0F" w:rsidP="00664A1D">
      <w:pPr>
        <w:spacing w:before="240"/>
        <w:jc w:val="both"/>
        <w:rPr>
          <w:rFonts w:ascii="Century Gothic" w:hAnsi="Century Gothic"/>
          <w:sz w:val="19"/>
          <w:szCs w:val="19"/>
        </w:rPr>
      </w:pPr>
      <w:r w:rsidRPr="009A501D">
        <w:rPr>
          <w:rFonts w:ascii="Century Gothic" w:hAnsi="Century Gothic"/>
          <w:sz w:val="19"/>
          <w:szCs w:val="19"/>
        </w:rPr>
        <w:t xml:space="preserve">La </w:t>
      </w:r>
      <w:r w:rsidR="006C332E" w:rsidRPr="009A501D">
        <w:rPr>
          <w:rFonts w:ascii="Century Gothic" w:hAnsi="Century Gothic"/>
          <w:sz w:val="19"/>
          <w:szCs w:val="19"/>
        </w:rPr>
        <w:t>DGGMA</w:t>
      </w:r>
      <w:r w:rsidRPr="009A501D">
        <w:rPr>
          <w:rFonts w:ascii="Century Gothic" w:hAnsi="Century Gothic"/>
          <w:sz w:val="19"/>
          <w:szCs w:val="19"/>
        </w:rPr>
        <w:t xml:space="preserve"> se ha comprometido a continuar con la medición de los indicadores de calidad en otros productos de información. En el cuadro III.</w:t>
      </w:r>
      <w:r w:rsidR="001D5671" w:rsidRPr="009A501D">
        <w:rPr>
          <w:rFonts w:ascii="Century Gothic" w:hAnsi="Century Gothic"/>
          <w:sz w:val="19"/>
          <w:szCs w:val="19"/>
        </w:rPr>
        <w:t>5.D.3</w:t>
      </w:r>
      <w:r w:rsidRPr="009A501D">
        <w:rPr>
          <w:rFonts w:ascii="Century Gothic" w:hAnsi="Century Gothic"/>
          <w:sz w:val="19"/>
          <w:szCs w:val="19"/>
        </w:rPr>
        <w:t xml:space="preserve"> se presentan las fechas estimadas para la </w:t>
      </w:r>
      <w:r w:rsidR="00866B1A" w:rsidRPr="009A501D">
        <w:rPr>
          <w:rFonts w:ascii="Century Gothic" w:hAnsi="Century Gothic"/>
          <w:sz w:val="19"/>
          <w:szCs w:val="19"/>
        </w:rPr>
        <w:t xml:space="preserve">presentación </w:t>
      </w:r>
      <w:r w:rsidRPr="009A501D">
        <w:rPr>
          <w:rFonts w:ascii="Century Gothic" w:hAnsi="Century Gothic"/>
          <w:sz w:val="19"/>
          <w:szCs w:val="19"/>
        </w:rPr>
        <w:t xml:space="preserve">de estos resultados </w:t>
      </w:r>
      <w:r w:rsidR="00866B1A" w:rsidRPr="009A501D">
        <w:rPr>
          <w:rFonts w:ascii="Century Gothic" w:hAnsi="Century Gothic"/>
          <w:sz w:val="19"/>
          <w:szCs w:val="19"/>
        </w:rPr>
        <w:t xml:space="preserve">ante el </w:t>
      </w:r>
      <w:r w:rsidRPr="009A501D">
        <w:rPr>
          <w:rFonts w:ascii="Century Gothic" w:hAnsi="Century Gothic"/>
          <w:sz w:val="19"/>
          <w:szCs w:val="19"/>
        </w:rPr>
        <w:t>Comité.</w:t>
      </w:r>
    </w:p>
    <w:p w14:paraId="2DF285D2" w14:textId="4C04878E" w:rsidR="00976368" w:rsidRPr="009A501D" w:rsidRDefault="00976368">
      <w:pPr>
        <w:rPr>
          <w:rFonts w:ascii="Century Gothic" w:hAnsi="Century Gothic"/>
          <w:sz w:val="19"/>
          <w:szCs w:val="19"/>
        </w:rPr>
      </w:pPr>
      <w:r w:rsidRPr="009A501D">
        <w:rPr>
          <w:rFonts w:ascii="Century Gothic" w:hAnsi="Century Gothic"/>
          <w:sz w:val="19"/>
          <w:szCs w:val="19"/>
        </w:rPr>
        <w:br w:type="page"/>
      </w:r>
    </w:p>
    <w:p w14:paraId="16B405F2" w14:textId="053DAF52" w:rsidR="00616D0F" w:rsidRPr="009A501D" w:rsidRDefault="00616D0F" w:rsidP="00664A1D">
      <w:pPr>
        <w:spacing w:before="240"/>
        <w:jc w:val="center"/>
        <w:rPr>
          <w:rFonts w:ascii="Century Gothic" w:hAnsi="Century Gothic"/>
          <w:sz w:val="19"/>
          <w:szCs w:val="19"/>
        </w:rPr>
      </w:pPr>
      <w:r w:rsidRPr="009A501D">
        <w:rPr>
          <w:rFonts w:ascii="Century Gothic" w:hAnsi="Century Gothic"/>
          <w:b/>
          <w:sz w:val="19"/>
          <w:szCs w:val="19"/>
        </w:rPr>
        <w:lastRenderedPageBreak/>
        <w:t>III.</w:t>
      </w:r>
      <w:r w:rsidR="009B3A86" w:rsidRPr="009A501D">
        <w:rPr>
          <w:rFonts w:ascii="Century Gothic" w:hAnsi="Century Gothic"/>
          <w:b/>
          <w:sz w:val="19"/>
          <w:szCs w:val="19"/>
        </w:rPr>
        <w:t>5.D</w:t>
      </w:r>
      <w:r w:rsidRPr="009A501D">
        <w:rPr>
          <w:rFonts w:ascii="Century Gothic" w:hAnsi="Century Gothic"/>
          <w:b/>
          <w:sz w:val="19"/>
          <w:szCs w:val="19"/>
        </w:rPr>
        <w:t>.</w:t>
      </w:r>
      <w:r w:rsidR="009B3A86" w:rsidRPr="009A501D">
        <w:rPr>
          <w:rFonts w:ascii="Century Gothic" w:hAnsi="Century Gothic"/>
          <w:b/>
          <w:sz w:val="19"/>
          <w:szCs w:val="19"/>
        </w:rPr>
        <w:t>3</w:t>
      </w:r>
      <w:r w:rsidRPr="009A501D">
        <w:rPr>
          <w:rFonts w:ascii="Century Gothic" w:hAnsi="Century Gothic"/>
          <w:b/>
          <w:sz w:val="19"/>
          <w:szCs w:val="19"/>
        </w:rPr>
        <w:t xml:space="preserve"> Cronograma para el cálculo de los indicadores de calidad</w:t>
      </w:r>
    </w:p>
    <w:tbl>
      <w:tblPr>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80"/>
        <w:gridCol w:w="4427"/>
        <w:gridCol w:w="3402"/>
        <w:gridCol w:w="1559"/>
      </w:tblGrid>
      <w:tr w:rsidR="00C37C61" w:rsidRPr="009A501D" w14:paraId="1E6186C6" w14:textId="77777777" w:rsidTr="00664A1D">
        <w:trPr>
          <w:cantSplit/>
          <w:trHeight w:val="284"/>
          <w:tblHeader/>
        </w:trPr>
        <w:tc>
          <w:tcPr>
            <w:tcW w:w="1380" w:type="dxa"/>
            <w:shd w:val="clear" w:color="auto" w:fill="002060"/>
            <w:noWrap/>
            <w:vAlign w:val="center"/>
            <w:hideMark/>
          </w:tcPr>
          <w:p w14:paraId="745686F4" w14:textId="77777777" w:rsidR="00C37C61" w:rsidRPr="009A501D" w:rsidRDefault="00C37C61" w:rsidP="006C332E">
            <w:pPr>
              <w:spacing w:after="0" w:line="240" w:lineRule="auto"/>
              <w:jc w:val="center"/>
              <w:rPr>
                <w:rFonts w:ascii="Century Gothic" w:eastAsia="Times New Roman" w:hAnsi="Century Gothic" w:cs="Arial"/>
                <w:b/>
                <w:color w:val="FFFFFF" w:themeColor="background1"/>
                <w:sz w:val="16"/>
                <w:szCs w:val="16"/>
                <w:lang w:eastAsia="es-MX"/>
              </w:rPr>
            </w:pPr>
            <w:r w:rsidRPr="009A501D">
              <w:rPr>
                <w:rFonts w:ascii="Century Gothic" w:eastAsia="Times New Roman" w:hAnsi="Century Gothic" w:cs="Arial"/>
                <w:b/>
                <w:color w:val="FFFFFF" w:themeColor="background1"/>
                <w:sz w:val="16"/>
                <w:szCs w:val="16"/>
              </w:rPr>
              <w:t>Programa de información</w:t>
            </w:r>
          </w:p>
        </w:tc>
        <w:tc>
          <w:tcPr>
            <w:tcW w:w="4427" w:type="dxa"/>
            <w:shd w:val="clear" w:color="auto" w:fill="002060"/>
            <w:noWrap/>
            <w:vAlign w:val="center"/>
            <w:hideMark/>
          </w:tcPr>
          <w:p w14:paraId="368424C5" w14:textId="77777777" w:rsidR="00C37C61" w:rsidRPr="009A501D" w:rsidRDefault="00C37C61" w:rsidP="006C332E">
            <w:pPr>
              <w:spacing w:after="0" w:line="240" w:lineRule="auto"/>
              <w:jc w:val="center"/>
              <w:rPr>
                <w:rFonts w:ascii="Century Gothic" w:eastAsia="Times New Roman" w:hAnsi="Century Gothic" w:cs="Arial"/>
                <w:b/>
                <w:color w:val="FFFFFF" w:themeColor="background1"/>
                <w:sz w:val="16"/>
                <w:szCs w:val="16"/>
                <w:lang w:eastAsia="es-MX"/>
              </w:rPr>
            </w:pPr>
            <w:r w:rsidRPr="009A501D">
              <w:rPr>
                <w:rFonts w:ascii="Century Gothic" w:eastAsia="Times New Roman" w:hAnsi="Century Gothic" w:cs="Arial"/>
                <w:b/>
                <w:color w:val="FFFFFF" w:themeColor="background1"/>
                <w:sz w:val="16"/>
                <w:szCs w:val="16"/>
              </w:rPr>
              <w:t>Producto/ subproducto</w:t>
            </w:r>
          </w:p>
        </w:tc>
        <w:tc>
          <w:tcPr>
            <w:tcW w:w="3402" w:type="dxa"/>
            <w:shd w:val="clear" w:color="auto" w:fill="002060"/>
            <w:noWrap/>
            <w:vAlign w:val="center"/>
            <w:hideMark/>
          </w:tcPr>
          <w:p w14:paraId="79824A62" w14:textId="082FAFC3" w:rsidR="00C37C61" w:rsidRPr="009A501D" w:rsidRDefault="00C37C61" w:rsidP="006C332E">
            <w:pPr>
              <w:spacing w:after="0" w:line="240" w:lineRule="auto"/>
              <w:jc w:val="center"/>
              <w:rPr>
                <w:rFonts w:ascii="Century Gothic" w:eastAsia="Times New Roman" w:hAnsi="Century Gothic" w:cs="Arial"/>
                <w:b/>
                <w:color w:val="FFFFFF" w:themeColor="background1"/>
                <w:sz w:val="16"/>
                <w:szCs w:val="16"/>
                <w:lang w:eastAsia="es-MX"/>
              </w:rPr>
            </w:pPr>
            <w:r w:rsidRPr="009A501D">
              <w:rPr>
                <w:rFonts w:ascii="Century Gothic" w:eastAsia="Times New Roman" w:hAnsi="Century Gothic" w:cs="Arial"/>
                <w:b/>
                <w:color w:val="FFFFFF" w:themeColor="background1"/>
                <w:sz w:val="16"/>
                <w:szCs w:val="16"/>
              </w:rPr>
              <w:t>Indicador de Calidad</w:t>
            </w:r>
          </w:p>
        </w:tc>
        <w:tc>
          <w:tcPr>
            <w:tcW w:w="1559" w:type="dxa"/>
            <w:shd w:val="clear" w:color="auto" w:fill="002060"/>
            <w:vAlign w:val="center"/>
            <w:hideMark/>
          </w:tcPr>
          <w:p w14:paraId="5F3C10E8" w14:textId="43229728" w:rsidR="00C37C61" w:rsidRPr="009A501D" w:rsidRDefault="00C37C61" w:rsidP="006C332E">
            <w:pPr>
              <w:spacing w:after="0" w:line="240" w:lineRule="auto"/>
              <w:jc w:val="center"/>
              <w:rPr>
                <w:rFonts w:ascii="Century Gothic" w:eastAsia="Times New Roman" w:hAnsi="Century Gothic" w:cs="Arial"/>
                <w:b/>
                <w:color w:val="FFFFFF" w:themeColor="background1"/>
                <w:sz w:val="16"/>
                <w:szCs w:val="16"/>
                <w:lang w:eastAsia="es-MX"/>
              </w:rPr>
            </w:pPr>
            <w:r w:rsidRPr="009A501D">
              <w:rPr>
                <w:rFonts w:ascii="Century Gothic" w:eastAsia="Times New Roman" w:hAnsi="Century Gothic" w:cs="Arial"/>
                <w:b/>
                <w:color w:val="FFFFFF" w:themeColor="background1"/>
                <w:sz w:val="16"/>
                <w:szCs w:val="16"/>
              </w:rPr>
              <w:t>Fecha estimada de reporte</w:t>
            </w:r>
          </w:p>
        </w:tc>
      </w:tr>
      <w:tr w:rsidR="00C37C61" w:rsidRPr="009A501D" w14:paraId="6846CEDC" w14:textId="77777777" w:rsidTr="00664A1D">
        <w:trPr>
          <w:cantSplit/>
          <w:trHeight w:val="284"/>
        </w:trPr>
        <w:tc>
          <w:tcPr>
            <w:tcW w:w="1380" w:type="dxa"/>
            <w:vMerge w:val="restart"/>
            <w:shd w:val="clear" w:color="auto" w:fill="F2F2F2" w:themeFill="background1" w:themeFillShade="F2"/>
            <w:noWrap/>
            <w:vAlign w:val="center"/>
            <w:hideMark/>
          </w:tcPr>
          <w:p w14:paraId="1E7C2263" w14:textId="579EBB6C"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Topografía</w:t>
            </w:r>
          </w:p>
        </w:tc>
        <w:tc>
          <w:tcPr>
            <w:tcW w:w="4427" w:type="dxa"/>
            <w:shd w:val="clear" w:color="auto" w:fill="F2F2F2" w:themeFill="background1" w:themeFillShade="F2"/>
            <w:noWrap/>
            <w:vAlign w:val="center"/>
            <w:hideMark/>
          </w:tcPr>
          <w:p w14:paraId="1B3FFC3F"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Conjunto de datos topográficos a escala 1:50000</w:t>
            </w:r>
          </w:p>
        </w:tc>
        <w:tc>
          <w:tcPr>
            <w:tcW w:w="3402" w:type="dxa"/>
            <w:shd w:val="clear" w:color="auto" w:fill="F2F2F2" w:themeFill="background1" w:themeFillShade="F2"/>
            <w:noWrap/>
            <w:vAlign w:val="center"/>
            <w:hideMark/>
          </w:tcPr>
          <w:p w14:paraId="61427767"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Error Cuadrático Medio Planimétrico</w:t>
            </w:r>
          </w:p>
        </w:tc>
        <w:tc>
          <w:tcPr>
            <w:tcW w:w="1559" w:type="dxa"/>
            <w:shd w:val="clear" w:color="auto" w:fill="F2F2F2" w:themeFill="background1" w:themeFillShade="F2"/>
            <w:vAlign w:val="center"/>
            <w:hideMark/>
          </w:tcPr>
          <w:p w14:paraId="6495F78D"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dic-23</w:t>
            </w:r>
          </w:p>
        </w:tc>
      </w:tr>
      <w:tr w:rsidR="00C37C61" w:rsidRPr="009A501D" w14:paraId="5F30A244" w14:textId="77777777" w:rsidTr="00664A1D">
        <w:trPr>
          <w:cantSplit/>
          <w:trHeight w:val="284"/>
        </w:trPr>
        <w:tc>
          <w:tcPr>
            <w:tcW w:w="1380" w:type="dxa"/>
            <w:vMerge/>
            <w:shd w:val="clear" w:color="auto" w:fill="F2F2F2" w:themeFill="background1" w:themeFillShade="F2"/>
            <w:noWrap/>
            <w:vAlign w:val="center"/>
            <w:hideMark/>
          </w:tcPr>
          <w:p w14:paraId="7F7ACAAD" w14:textId="17AC7C49"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p>
        </w:tc>
        <w:tc>
          <w:tcPr>
            <w:tcW w:w="4427" w:type="dxa"/>
            <w:shd w:val="clear" w:color="auto" w:fill="F2F2F2" w:themeFill="background1" w:themeFillShade="F2"/>
            <w:noWrap/>
            <w:vAlign w:val="center"/>
            <w:hideMark/>
          </w:tcPr>
          <w:p w14:paraId="24BE393F"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Conjunto de datos topográficos a escala 1:50000</w:t>
            </w:r>
          </w:p>
        </w:tc>
        <w:tc>
          <w:tcPr>
            <w:tcW w:w="3402" w:type="dxa"/>
            <w:shd w:val="clear" w:color="auto" w:fill="F2F2F2" w:themeFill="background1" w:themeFillShade="F2"/>
            <w:noWrap/>
            <w:vAlign w:val="center"/>
            <w:hideMark/>
          </w:tcPr>
          <w:p w14:paraId="1145D8E7"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Revisión de Consistencia Topológica</w:t>
            </w:r>
          </w:p>
        </w:tc>
        <w:tc>
          <w:tcPr>
            <w:tcW w:w="1559" w:type="dxa"/>
            <w:shd w:val="clear" w:color="auto" w:fill="F2F2F2" w:themeFill="background1" w:themeFillShade="F2"/>
            <w:vAlign w:val="center"/>
            <w:hideMark/>
          </w:tcPr>
          <w:p w14:paraId="48CC42EF"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dic-23</w:t>
            </w:r>
          </w:p>
        </w:tc>
      </w:tr>
      <w:tr w:rsidR="00C37C61" w:rsidRPr="009A501D" w14:paraId="4711D193" w14:textId="77777777" w:rsidTr="00664A1D">
        <w:trPr>
          <w:cantSplit/>
          <w:trHeight w:val="284"/>
        </w:trPr>
        <w:tc>
          <w:tcPr>
            <w:tcW w:w="1380" w:type="dxa"/>
            <w:vMerge/>
            <w:shd w:val="clear" w:color="auto" w:fill="F2F2F2" w:themeFill="background1" w:themeFillShade="F2"/>
            <w:noWrap/>
            <w:vAlign w:val="center"/>
            <w:hideMark/>
          </w:tcPr>
          <w:p w14:paraId="67CDE391" w14:textId="28731EB4"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p>
        </w:tc>
        <w:tc>
          <w:tcPr>
            <w:tcW w:w="4427" w:type="dxa"/>
            <w:shd w:val="clear" w:color="auto" w:fill="F2F2F2" w:themeFill="background1" w:themeFillShade="F2"/>
            <w:noWrap/>
            <w:vAlign w:val="center"/>
            <w:hideMark/>
          </w:tcPr>
          <w:p w14:paraId="60A01BD9"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Conjunto de datos topográficos a escala 1:250000</w:t>
            </w:r>
          </w:p>
        </w:tc>
        <w:tc>
          <w:tcPr>
            <w:tcW w:w="3402" w:type="dxa"/>
            <w:shd w:val="clear" w:color="auto" w:fill="F2F2F2" w:themeFill="background1" w:themeFillShade="F2"/>
            <w:noWrap/>
            <w:vAlign w:val="center"/>
            <w:hideMark/>
          </w:tcPr>
          <w:p w14:paraId="6F7037AD"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Revisión de Consistencia Topológica</w:t>
            </w:r>
          </w:p>
        </w:tc>
        <w:tc>
          <w:tcPr>
            <w:tcW w:w="1559" w:type="dxa"/>
            <w:shd w:val="clear" w:color="auto" w:fill="F2F2F2" w:themeFill="background1" w:themeFillShade="F2"/>
            <w:vAlign w:val="center"/>
            <w:hideMark/>
          </w:tcPr>
          <w:p w14:paraId="1F1A17DA"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dic-23</w:t>
            </w:r>
          </w:p>
        </w:tc>
      </w:tr>
      <w:tr w:rsidR="00C37C61" w:rsidRPr="009A501D" w14:paraId="760418AF" w14:textId="77777777" w:rsidTr="00664A1D">
        <w:trPr>
          <w:cantSplit/>
          <w:trHeight w:val="284"/>
        </w:trPr>
        <w:tc>
          <w:tcPr>
            <w:tcW w:w="1380" w:type="dxa"/>
            <w:vMerge/>
            <w:shd w:val="clear" w:color="auto" w:fill="D9D9D9" w:themeFill="background1" w:themeFillShade="D9"/>
            <w:noWrap/>
            <w:vAlign w:val="center"/>
            <w:hideMark/>
          </w:tcPr>
          <w:p w14:paraId="146FE32A" w14:textId="0478CC81"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p>
        </w:tc>
        <w:tc>
          <w:tcPr>
            <w:tcW w:w="4427" w:type="dxa"/>
            <w:shd w:val="clear" w:color="auto" w:fill="F2F2F2" w:themeFill="background1" w:themeFillShade="F2"/>
            <w:noWrap/>
            <w:vAlign w:val="center"/>
            <w:hideMark/>
          </w:tcPr>
          <w:p w14:paraId="236A6E05"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Modelos Digitales de Elevación</w:t>
            </w:r>
          </w:p>
        </w:tc>
        <w:tc>
          <w:tcPr>
            <w:tcW w:w="3402" w:type="dxa"/>
            <w:shd w:val="clear" w:color="auto" w:fill="F2F2F2" w:themeFill="background1" w:themeFillShade="F2"/>
            <w:noWrap/>
            <w:vAlign w:val="center"/>
            <w:hideMark/>
          </w:tcPr>
          <w:p w14:paraId="62462EBE"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Error Cuadrático Medio Vertical</w:t>
            </w:r>
          </w:p>
        </w:tc>
        <w:tc>
          <w:tcPr>
            <w:tcW w:w="1559" w:type="dxa"/>
            <w:shd w:val="clear" w:color="auto" w:fill="F2F2F2" w:themeFill="background1" w:themeFillShade="F2"/>
            <w:vAlign w:val="center"/>
            <w:hideMark/>
          </w:tcPr>
          <w:p w14:paraId="6A666A2C"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jun-23</w:t>
            </w:r>
          </w:p>
        </w:tc>
      </w:tr>
      <w:tr w:rsidR="00C37C61" w:rsidRPr="009A501D" w14:paraId="0CB853CE" w14:textId="77777777" w:rsidTr="00E427DA">
        <w:trPr>
          <w:cantSplit/>
          <w:trHeight w:val="284"/>
        </w:trPr>
        <w:tc>
          <w:tcPr>
            <w:tcW w:w="1380" w:type="dxa"/>
            <w:vMerge w:val="restart"/>
            <w:shd w:val="clear" w:color="auto" w:fill="FFFFFF" w:themeFill="background1"/>
            <w:noWrap/>
            <w:vAlign w:val="center"/>
            <w:hideMark/>
          </w:tcPr>
          <w:p w14:paraId="00491708" w14:textId="35005F6B"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 xml:space="preserve">Mapa </w:t>
            </w:r>
            <w:r w:rsidR="00EB3000" w:rsidRPr="009A501D">
              <w:rPr>
                <w:rFonts w:ascii="Century Gothic" w:eastAsia="Times New Roman" w:hAnsi="Century Gothic" w:cs="Arial"/>
                <w:color w:val="000000"/>
                <w:sz w:val="16"/>
                <w:szCs w:val="16"/>
              </w:rPr>
              <w:t>T</w:t>
            </w:r>
            <w:r w:rsidRPr="009A501D">
              <w:rPr>
                <w:rFonts w:ascii="Century Gothic" w:eastAsia="Times New Roman" w:hAnsi="Century Gothic" w:cs="Arial"/>
                <w:color w:val="000000"/>
                <w:sz w:val="16"/>
                <w:szCs w:val="16"/>
              </w:rPr>
              <w:t>opográfico</w:t>
            </w:r>
          </w:p>
        </w:tc>
        <w:tc>
          <w:tcPr>
            <w:tcW w:w="4427" w:type="dxa"/>
            <w:shd w:val="clear" w:color="auto" w:fill="FFFFFF" w:themeFill="background1"/>
            <w:noWrap/>
            <w:vAlign w:val="center"/>
            <w:hideMark/>
          </w:tcPr>
          <w:p w14:paraId="0F05364C"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Conjunto de datos topográficos por polígono</w:t>
            </w:r>
          </w:p>
        </w:tc>
        <w:tc>
          <w:tcPr>
            <w:tcW w:w="3402" w:type="dxa"/>
            <w:shd w:val="clear" w:color="auto" w:fill="FFFFFF" w:themeFill="background1"/>
            <w:noWrap/>
            <w:vAlign w:val="center"/>
            <w:hideMark/>
          </w:tcPr>
          <w:p w14:paraId="73A3135E"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Error Cuadrático Medio Planimétrico</w:t>
            </w:r>
          </w:p>
        </w:tc>
        <w:tc>
          <w:tcPr>
            <w:tcW w:w="1559" w:type="dxa"/>
            <w:shd w:val="clear" w:color="auto" w:fill="FFFFFF" w:themeFill="background1"/>
            <w:vAlign w:val="center"/>
            <w:hideMark/>
          </w:tcPr>
          <w:p w14:paraId="526F23AC"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sep-23</w:t>
            </w:r>
          </w:p>
        </w:tc>
      </w:tr>
      <w:tr w:rsidR="00C37C61" w:rsidRPr="009A501D" w14:paraId="77ED8507" w14:textId="77777777" w:rsidTr="00664A1D">
        <w:trPr>
          <w:cantSplit/>
          <w:trHeight w:val="284"/>
        </w:trPr>
        <w:tc>
          <w:tcPr>
            <w:tcW w:w="1380" w:type="dxa"/>
            <w:vMerge/>
            <w:shd w:val="clear" w:color="auto" w:fill="FFFFFF" w:themeFill="background1"/>
            <w:noWrap/>
            <w:vAlign w:val="center"/>
            <w:hideMark/>
          </w:tcPr>
          <w:p w14:paraId="1673C2E8" w14:textId="4506E58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p>
        </w:tc>
        <w:tc>
          <w:tcPr>
            <w:tcW w:w="4427" w:type="dxa"/>
            <w:shd w:val="clear" w:color="auto" w:fill="FFFFFF" w:themeFill="background1"/>
            <w:noWrap/>
            <w:vAlign w:val="center"/>
            <w:hideMark/>
          </w:tcPr>
          <w:p w14:paraId="7208F32E"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Conjunto de datos topográficos por polígono</w:t>
            </w:r>
          </w:p>
        </w:tc>
        <w:tc>
          <w:tcPr>
            <w:tcW w:w="3402" w:type="dxa"/>
            <w:shd w:val="clear" w:color="auto" w:fill="FFFFFF" w:themeFill="background1"/>
            <w:noWrap/>
            <w:vAlign w:val="center"/>
            <w:hideMark/>
          </w:tcPr>
          <w:p w14:paraId="524E7431"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Revisión de Consistencia Topológica</w:t>
            </w:r>
          </w:p>
        </w:tc>
        <w:tc>
          <w:tcPr>
            <w:tcW w:w="1559" w:type="dxa"/>
            <w:shd w:val="clear" w:color="auto" w:fill="FFFFFF" w:themeFill="background1"/>
            <w:vAlign w:val="center"/>
            <w:hideMark/>
          </w:tcPr>
          <w:p w14:paraId="085D21FC"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sep-23</w:t>
            </w:r>
          </w:p>
        </w:tc>
      </w:tr>
      <w:tr w:rsidR="00C37C61" w:rsidRPr="009A501D" w14:paraId="4E28DB97" w14:textId="77777777" w:rsidTr="00E427DA">
        <w:trPr>
          <w:cantSplit/>
          <w:trHeight w:val="284"/>
        </w:trPr>
        <w:tc>
          <w:tcPr>
            <w:tcW w:w="1380" w:type="dxa"/>
            <w:vMerge/>
            <w:shd w:val="clear" w:color="auto" w:fill="FFFFFF" w:themeFill="background1"/>
            <w:noWrap/>
            <w:vAlign w:val="center"/>
            <w:hideMark/>
          </w:tcPr>
          <w:p w14:paraId="6E155E7E" w14:textId="6F5B4E13"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p>
        </w:tc>
        <w:tc>
          <w:tcPr>
            <w:tcW w:w="4427" w:type="dxa"/>
            <w:shd w:val="clear" w:color="auto" w:fill="FFFFFF" w:themeFill="background1"/>
            <w:noWrap/>
            <w:vAlign w:val="center"/>
            <w:hideMark/>
          </w:tcPr>
          <w:p w14:paraId="44D6F8D7" w14:textId="77777777" w:rsidR="00C37C61" w:rsidRPr="009A501D" w:rsidRDefault="00C37C61" w:rsidP="006C332E">
            <w:pPr>
              <w:spacing w:after="0" w:line="240" w:lineRule="auto"/>
              <w:rPr>
                <w:rFonts w:ascii="Century Gothic" w:eastAsia="Times New Roman" w:hAnsi="Century Gothic" w:cs="Arial"/>
                <w:color w:val="000000"/>
                <w:sz w:val="16"/>
                <w:szCs w:val="16"/>
                <w:lang w:eastAsia="es-MX"/>
              </w:rPr>
            </w:pPr>
            <w:proofErr w:type="spellStart"/>
            <w:r w:rsidRPr="009A501D">
              <w:rPr>
                <w:rFonts w:ascii="Century Gothic" w:eastAsia="Times New Roman" w:hAnsi="Century Gothic" w:cs="Arial"/>
                <w:color w:val="000000"/>
                <w:sz w:val="16"/>
                <w:szCs w:val="16"/>
              </w:rPr>
              <w:t>Aerotriangulación</w:t>
            </w:r>
            <w:proofErr w:type="spellEnd"/>
          </w:p>
        </w:tc>
        <w:tc>
          <w:tcPr>
            <w:tcW w:w="3402" w:type="dxa"/>
            <w:shd w:val="clear" w:color="auto" w:fill="FFFFFF" w:themeFill="background1"/>
            <w:noWrap/>
            <w:vAlign w:val="center"/>
            <w:hideMark/>
          </w:tcPr>
          <w:p w14:paraId="7586B41E"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Cota de confianza de precisión posicional</w:t>
            </w:r>
          </w:p>
        </w:tc>
        <w:tc>
          <w:tcPr>
            <w:tcW w:w="1559" w:type="dxa"/>
            <w:shd w:val="clear" w:color="auto" w:fill="FFFFFF" w:themeFill="background1"/>
            <w:vAlign w:val="center"/>
            <w:hideMark/>
          </w:tcPr>
          <w:p w14:paraId="0CB9C78B" w14:textId="77777777" w:rsidR="00C37C61" w:rsidRPr="009A501D" w:rsidRDefault="00C37C61" w:rsidP="006C332E">
            <w:pPr>
              <w:spacing w:after="0" w:line="240" w:lineRule="auto"/>
              <w:jc w:val="center"/>
              <w:rPr>
                <w:rFonts w:ascii="Century Gothic" w:eastAsia="Times New Roman" w:hAnsi="Century Gothic" w:cs="Arial"/>
                <w:color w:val="000000"/>
                <w:sz w:val="16"/>
                <w:szCs w:val="16"/>
                <w:lang w:eastAsia="es-MX"/>
              </w:rPr>
            </w:pPr>
            <w:r w:rsidRPr="009A501D">
              <w:rPr>
                <w:rFonts w:ascii="Century Gothic" w:eastAsia="Times New Roman" w:hAnsi="Century Gothic" w:cs="Arial"/>
                <w:color w:val="000000"/>
                <w:sz w:val="16"/>
                <w:szCs w:val="16"/>
              </w:rPr>
              <w:t>mar-23</w:t>
            </w:r>
          </w:p>
        </w:tc>
      </w:tr>
      <w:tr w:rsidR="00C37C61" w:rsidRPr="009A501D" w14:paraId="71EF00FC" w14:textId="77777777" w:rsidTr="00664A1D">
        <w:trPr>
          <w:cantSplit/>
          <w:trHeight w:val="284"/>
        </w:trPr>
        <w:tc>
          <w:tcPr>
            <w:tcW w:w="1380" w:type="dxa"/>
            <w:shd w:val="clear" w:color="auto" w:fill="F2F2F2" w:themeFill="background1" w:themeFillShade="F2"/>
            <w:noWrap/>
            <w:vAlign w:val="center"/>
            <w:hideMark/>
          </w:tcPr>
          <w:p w14:paraId="107CFD42" w14:textId="77777777" w:rsidR="00C37C61" w:rsidRPr="009A501D" w:rsidRDefault="00C37C61" w:rsidP="00EF27D4">
            <w:pPr>
              <w:spacing w:after="0" w:line="240" w:lineRule="auto"/>
              <w:jc w:val="center"/>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Red Nacional de Caminos</w:t>
            </w:r>
          </w:p>
        </w:tc>
        <w:tc>
          <w:tcPr>
            <w:tcW w:w="4427" w:type="dxa"/>
            <w:shd w:val="clear" w:color="auto" w:fill="F2F2F2" w:themeFill="background1" w:themeFillShade="F2"/>
            <w:noWrap/>
            <w:vAlign w:val="center"/>
            <w:hideMark/>
          </w:tcPr>
          <w:p w14:paraId="260C98CE" w14:textId="77777777" w:rsidR="00C37C61" w:rsidRPr="009A501D" w:rsidRDefault="00C37C61" w:rsidP="00EF27D4">
            <w:pPr>
              <w:spacing w:after="0" w:line="240" w:lineRule="auto"/>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Red Nacional de Caminos</w:t>
            </w:r>
          </w:p>
        </w:tc>
        <w:tc>
          <w:tcPr>
            <w:tcW w:w="3402" w:type="dxa"/>
            <w:shd w:val="clear" w:color="auto" w:fill="F2F2F2" w:themeFill="background1" w:themeFillShade="F2"/>
            <w:noWrap/>
            <w:vAlign w:val="center"/>
            <w:hideMark/>
          </w:tcPr>
          <w:p w14:paraId="0A6B7A6C" w14:textId="77777777" w:rsidR="00C37C61" w:rsidRPr="009A501D" w:rsidRDefault="00C37C61" w:rsidP="00EF27D4">
            <w:pPr>
              <w:spacing w:after="0" w:line="240" w:lineRule="auto"/>
              <w:jc w:val="center"/>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Revisión de Consistencia Topológica</w:t>
            </w:r>
          </w:p>
        </w:tc>
        <w:tc>
          <w:tcPr>
            <w:tcW w:w="1559" w:type="dxa"/>
            <w:shd w:val="clear" w:color="auto" w:fill="F2F2F2" w:themeFill="background1" w:themeFillShade="F2"/>
            <w:vAlign w:val="center"/>
            <w:hideMark/>
          </w:tcPr>
          <w:p w14:paraId="4AE94453" w14:textId="77777777" w:rsidR="00C37C61" w:rsidRPr="009A501D" w:rsidRDefault="00C37C61" w:rsidP="00EF27D4">
            <w:pPr>
              <w:spacing w:after="0" w:line="240" w:lineRule="auto"/>
              <w:jc w:val="center"/>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15-dic-22</w:t>
            </w:r>
          </w:p>
        </w:tc>
      </w:tr>
    </w:tbl>
    <w:p w14:paraId="769DDA71" w14:textId="77777777" w:rsidR="00C37285" w:rsidRPr="009A501D" w:rsidRDefault="00C37285" w:rsidP="00664A1D">
      <w:pPr>
        <w:spacing w:before="240"/>
        <w:rPr>
          <w:rFonts w:ascii="Century Gothic" w:hAnsi="Century Gothic"/>
        </w:rPr>
      </w:pPr>
      <w:r w:rsidRPr="009A501D">
        <w:rPr>
          <w:rFonts w:ascii="Century Gothic" w:hAnsi="Century Gothic"/>
        </w:rPr>
        <w:br w:type="page"/>
      </w:r>
    </w:p>
    <w:p w14:paraId="05D9C37B" w14:textId="74837D0F" w:rsidR="006C332E" w:rsidRPr="009A501D" w:rsidRDefault="006C332E" w:rsidP="00664A1D">
      <w:pPr>
        <w:pStyle w:val="Ttulo1"/>
        <w:spacing w:after="160"/>
        <w:ind w:left="2835" w:hanging="2835"/>
        <w:jc w:val="right"/>
        <w:rPr>
          <w:rFonts w:ascii="Century Gothic" w:hAnsi="Century Gothic" w:cstheme="minorHAnsi"/>
          <w:b/>
          <w:bCs/>
          <w:color w:val="002060"/>
        </w:rPr>
      </w:pPr>
      <w:bookmarkStart w:id="22" w:name="_Toc131161806"/>
      <w:r w:rsidRPr="009A501D">
        <w:rPr>
          <w:rFonts w:ascii="Century Gothic" w:hAnsi="Century Gothic" w:cstheme="minorHAnsi"/>
          <w:b/>
          <w:bCs/>
          <w:color w:val="002060"/>
        </w:rPr>
        <w:lastRenderedPageBreak/>
        <w:t>IV. MODELO DEL PROCESO ESTADÍSTICO Y GEOGRÁFICO (MPEG)</w:t>
      </w:r>
      <w:bookmarkEnd w:id="22"/>
    </w:p>
    <w:p w14:paraId="09CE5191" w14:textId="0CAF780B" w:rsidR="00AA150C" w:rsidRPr="009A501D" w:rsidRDefault="002007ED" w:rsidP="00F81A03">
      <w:pPr>
        <w:jc w:val="both"/>
        <w:rPr>
          <w:rFonts w:ascii="Century Gothic" w:hAnsi="Century Gothic"/>
          <w:sz w:val="19"/>
          <w:szCs w:val="19"/>
        </w:rPr>
      </w:pPr>
      <w:r w:rsidRPr="009A501D">
        <w:rPr>
          <w:rFonts w:ascii="Century Gothic" w:hAnsi="Century Gothic"/>
          <w:sz w:val="19"/>
          <w:szCs w:val="19"/>
        </w:rPr>
        <w:t>L</w:t>
      </w:r>
      <w:r w:rsidR="00627E19" w:rsidRPr="009A501D">
        <w:rPr>
          <w:rFonts w:ascii="Century Gothic" w:hAnsi="Century Gothic"/>
          <w:sz w:val="19"/>
          <w:szCs w:val="19"/>
        </w:rPr>
        <w:t xml:space="preserve">a Comisión Económica de las Naciones Unidas para Europa (UNECE), elaboró </w:t>
      </w:r>
      <w:r w:rsidR="00327281" w:rsidRPr="009A501D">
        <w:rPr>
          <w:rFonts w:ascii="Century Gothic" w:hAnsi="Century Gothic"/>
          <w:sz w:val="19"/>
          <w:szCs w:val="19"/>
        </w:rPr>
        <w:t xml:space="preserve">el </w:t>
      </w:r>
      <w:proofErr w:type="spellStart"/>
      <w:r w:rsidR="00327281" w:rsidRPr="009A501D">
        <w:rPr>
          <w:rFonts w:ascii="Century Gothic" w:hAnsi="Century Gothic"/>
          <w:i/>
          <w:iCs/>
          <w:sz w:val="19"/>
          <w:szCs w:val="19"/>
        </w:rPr>
        <w:t>Generic</w:t>
      </w:r>
      <w:proofErr w:type="spellEnd"/>
      <w:r w:rsidR="00327281" w:rsidRPr="009A501D">
        <w:rPr>
          <w:rFonts w:ascii="Century Gothic" w:hAnsi="Century Gothic"/>
          <w:i/>
          <w:iCs/>
          <w:sz w:val="19"/>
          <w:szCs w:val="19"/>
        </w:rPr>
        <w:t xml:space="preserve"> </w:t>
      </w:r>
      <w:proofErr w:type="spellStart"/>
      <w:r w:rsidR="00327281" w:rsidRPr="009A501D">
        <w:rPr>
          <w:rFonts w:ascii="Century Gothic" w:hAnsi="Century Gothic"/>
          <w:i/>
          <w:iCs/>
          <w:sz w:val="19"/>
          <w:szCs w:val="19"/>
        </w:rPr>
        <w:t>Statistical</w:t>
      </w:r>
      <w:proofErr w:type="spellEnd"/>
      <w:r w:rsidR="00327281" w:rsidRPr="009A501D">
        <w:rPr>
          <w:rFonts w:ascii="Century Gothic" w:hAnsi="Century Gothic"/>
          <w:i/>
          <w:iCs/>
          <w:sz w:val="19"/>
          <w:szCs w:val="19"/>
        </w:rPr>
        <w:t xml:space="preserve"> Business </w:t>
      </w:r>
      <w:proofErr w:type="spellStart"/>
      <w:r w:rsidR="00327281" w:rsidRPr="009A501D">
        <w:rPr>
          <w:rFonts w:ascii="Century Gothic" w:hAnsi="Century Gothic"/>
          <w:i/>
          <w:iCs/>
          <w:sz w:val="19"/>
          <w:szCs w:val="19"/>
        </w:rPr>
        <w:t>Process</w:t>
      </w:r>
      <w:proofErr w:type="spellEnd"/>
      <w:r w:rsidR="00327281" w:rsidRPr="009A501D">
        <w:rPr>
          <w:rFonts w:ascii="Century Gothic" w:hAnsi="Century Gothic"/>
          <w:i/>
          <w:iCs/>
          <w:sz w:val="19"/>
          <w:szCs w:val="19"/>
        </w:rPr>
        <w:t xml:space="preserve"> </w:t>
      </w:r>
      <w:proofErr w:type="spellStart"/>
      <w:r w:rsidR="00327281" w:rsidRPr="009A501D">
        <w:rPr>
          <w:rFonts w:ascii="Century Gothic" w:hAnsi="Century Gothic"/>
          <w:i/>
          <w:iCs/>
          <w:sz w:val="19"/>
          <w:szCs w:val="19"/>
        </w:rPr>
        <w:t>Model</w:t>
      </w:r>
      <w:proofErr w:type="spellEnd"/>
      <w:r w:rsidR="00327281" w:rsidRPr="009A501D">
        <w:rPr>
          <w:rFonts w:ascii="Century Gothic" w:hAnsi="Century Gothic"/>
          <w:i/>
          <w:iCs/>
          <w:sz w:val="19"/>
          <w:szCs w:val="19"/>
        </w:rPr>
        <w:t xml:space="preserve"> </w:t>
      </w:r>
      <w:r w:rsidR="00327281" w:rsidRPr="009A501D">
        <w:rPr>
          <w:rFonts w:ascii="Century Gothic" w:hAnsi="Century Gothic"/>
          <w:sz w:val="19"/>
          <w:szCs w:val="19"/>
        </w:rPr>
        <w:t xml:space="preserve">(GSBPM) con el fin de </w:t>
      </w:r>
      <w:r w:rsidR="00A0695B" w:rsidRPr="009A501D">
        <w:rPr>
          <w:rFonts w:ascii="Century Gothic" w:hAnsi="Century Gothic"/>
          <w:sz w:val="19"/>
          <w:szCs w:val="19"/>
        </w:rPr>
        <w:t xml:space="preserve">describir y definir los principales procesos que intervienen en la producción de información estadística.  </w:t>
      </w:r>
      <w:r w:rsidR="00AA150C" w:rsidRPr="009A501D">
        <w:rPr>
          <w:rFonts w:ascii="Century Gothic" w:hAnsi="Century Gothic"/>
          <w:sz w:val="19"/>
          <w:szCs w:val="19"/>
        </w:rPr>
        <w:t>E</w:t>
      </w:r>
      <w:r w:rsidR="001818C8" w:rsidRPr="009A501D">
        <w:rPr>
          <w:rFonts w:ascii="Century Gothic" w:hAnsi="Century Gothic"/>
          <w:sz w:val="19"/>
          <w:szCs w:val="19"/>
        </w:rPr>
        <w:t>l GSBPM fue traducido y adaptado al caso mexicano en el documento Modelo del Proceso Estadístico y Geográfico (MPEG)</w:t>
      </w:r>
      <w:r w:rsidR="00071CD3" w:rsidRPr="009A501D">
        <w:rPr>
          <w:rFonts w:ascii="Century Gothic" w:hAnsi="Century Gothic"/>
          <w:sz w:val="19"/>
          <w:szCs w:val="19"/>
        </w:rPr>
        <w:t xml:space="preserve">.  Para implementar el MPEG </w:t>
      </w:r>
      <w:r w:rsidR="00983B79" w:rsidRPr="009A501D">
        <w:rPr>
          <w:rFonts w:ascii="Century Gothic" w:hAnsi="Century Gothic"/>
          <w:sz w:val="19"/>
          <w:szCs w:val="19"/>
        </w:rPr>
        <w:t xml:space="preserve">se elaboró </w:t>
      </w:r>
      <w:r w:rsidR="00983B79" w:rsidRPr="009A501D">
        <w:rPr>
          <w:rFonts w:ascii="Century Gothic" w:hAnsi="Century Gothic"/>
          <w:i/>
          <w:iCs/>
          <w:sz w:val="19"/>
          <w:szCs w:val="19"/>
        </w:rPr>
        <w:t xml:space="preserve">la Norma Técnica del Proceso de Producción </w:t>
      </w:r>
      <w:r w:rsidR="00B276B3" w:rsidRPr="009A501D">
        <w:rPr>
          <w:rFonts w:ascii="Century Gothic" w:hAnsi="Century Gothic"/>
          <w:i/>
          <w:iCs/>
          <w:sz w:val="19"/>
          <w:szCs w:val="19"/>
        </w:rPr>
        <w:t xml:space="preserve">de Información </w:t>
      </w:r>
      <w:r w:rsidR="00983B79" w:rsidRPr="009A501D">
        <w:rPr>
          <w:rFonts w:ascii="Century Gothic" w:hAnsi="Century Gothic"/>
          <w:i/>
          <w:iCs/>
          <w:sz w:val="19"/>
          <w:szCs w:val="19"/>
        </w:rPr>
        <w:t xml:space="preserve">Estadística y Geográfica </w:t>
      </w:r>
      <w:r w:rsidR="00B276B3" w:rsidRPr="009A501D">
        <w:rPr>
          <w:rFonts w:ascii="Century Gothic" w:hAnsi="Century Gothic"/>
          <w:sz w:val="19"/>
          <w:szCs w:val="19"/>
        </w:rPr>
        <w:t xml:space="preserve">(NTPPIEG) </w:t>
      </w:r>
      <w:r w:rsidR="00071CD3" w:rsidRPr="009A501D">
        <w:rPr>
          <w:rFonts w:ascii="Century Gothic" w:hAnsi="Century Gothic"/>
          <w:sz w:val="19"/>
          <w:szCs w:val="19"/>
        </w:rPr>
        <w:t xml:space="preserve">y se desarrolló el </w:t>
      </w:r>
      <w:r w:rsidR="00051DC7" w:rsidRPr="009A501D">
        <w:rPr>
          <w:rFonts w:ascii="Century Gothic" w:hAnsi="Century Gothic"/>
          <w:sz w:val="19"/>
          <w:szCs w:val="19"/>
        </w:rPr>
        <w:t xml:space="preserve">sistema para registrar evidencias denominado </w:t>
      </w:r>
      <w:r w:rsidR="00EA5C0F" w:rsidRPr="009A501D">
        <w:rPr>
          <w:rFonts w:ascii="Century Gothic" w:hAnsi="Century Gothic"/>
          <w:sz w:val="19"/>
          <w:szCs w:val="19"/>
        </w:rPr>
        <w:t>PTRACKING</w:t>
      </w:r>
      <w:r w:rsidR="00B276B3" w:rsidRPr="009A501D">
        <w:rPr>
          <w:rFonts w:ascii="Century Gothic" w:hAnsi="Century Gothic"/>
          <w:sz w:val="19"/>
          <w:szCs w:val="19"/>
        </w:rPr>
        <w:t xml:space="preserve">. </w:t>
      </w:r>
      <w:r w:rsidR="00F81A03" w:rsidRPr="009A501D">
        <w:rPr>
          <w:rFonts w:ascii="Century Gothic" w:hAnsi="Century Gothic"/>
          <w:sz w:val="19"/>
          <w:szCs w:val="19"/>
        </w:rPr>
        <w:t xml:space="preserve"> </w:t>
      </w:r>
      <w:r w:rsidR="00051DC7" w:rsidRPr="009A501D">
        <w:rPr>
          <w:rFonts w:ascii="Century Gothic" w:hAnsi="Century Gothic"/>
          <w:sz w:val="19"/>
          <w:szCs w:val="19"/>
        </w:rPr>
        <w:t xml:space="preserve">Adicionalmente, se desarrolló el </w:t>
      </w:r>
      <w:r w:rsidR="00B055E5" w:rsidRPr="009A501D">
        <w:rPr>
          <w:rFonts w:ascii="Century Gothic" w:hAnsi="Century Gothic"/>
          <w:sz w:val="19"/>
          <w:szCs w:val="19"/>
        </w:rPr>
        <w:t xml:space="preserve">Modelo de Costos por Proceso que permite conocer los costos totales de todos los programas de información </w:t>
      </w:r>
      <w:r w:rsidR="008D14E0" w:rsidRPr="009A501D">
        <w:rPr>
          <w:rFonts w:ascii="Century Gothic" w:hAnsi="Century Gothic"/>
          <w:sz w:val="19"/>
          <w:szCs w:val="19"/>
        </w:rPr>
        <w:t xml:space="preserve">para cada una de las fases del MPEG.  </w:t>
      </w:r>
      <w:r w:rsidR="00D161EA" w:rsidRPr="009A501D">
        <w:rPr>
          <w:rFonts w:ascii="Century Gothic" w:hAnsi="Century Gothic"/>
          <w:sz w:val="19"/>
          <w:szCs w:val="19"/>
        </w:rPr>
        <w:t xml:space="preserve">A su vez, los </w:t>
      </w:r>
      <w:r w:rsidR="00D161EA" w:rsidRPr="009A501D">
        <w:rPr>
          <w:rFonts w:ascii="Century Gothic" w:hAnsi="Century Gothic"/>
          <w:i/>
          <w:sz w:val="19"/>
          <w:szCs w:val="19"/>
        </w:rPr>
        <w:t>Lineamientos del Proceso de Gestión de Cambios en los Programas de Información Estadística y Geográfica</w:t>
      </w:r>
      <w:r w:rsidR="00D161EA" w:rsidRPr="009A501D">
        <w:rPr>
          <w:rFonts w:ascii="Century Gothic" w:hAnsi="Century Gothic"/>
          <w:sz w:val="19"/>
          <w:szCs w:val="19"/>
        </w:rPr>
        <w:t xml:space="preserve"> </w:t>
      </w:r>
      <w:r w:rsidR="008A0F61" w:rsidRPr="009A501D">
        <w:rPr>
          <w:rFonts w:ascii="Century Gothic" w:hAnsi="Century Gothic"/>
          <w:sz w:val="19"/>
          <w:szCs w:val="19"/>
        </w:rPr>
        <w:t>se basaron en las evidencias de la fase de diseño para que se reportaran sus cambios a través de un sist</w:t>
      </w:r>
      <w:r w:rsidR="000E7B34" w:rsidRPr="009A501D">
        <w:rPr>
          <w:rFonts w:ascii="Century Gothic" w:hAnsi="Century Gothic"/>
          <w:sz w:val="19"/>
          <w:szCs w:val="19"/>
        </w:rPr>
        <w:t>ema.  En este apartado se revisa el avance en estas tres iniciativas relacionadas con el MPEG.</w:t>
      </w:r>
      <w:r w:rsidR="00071CD3" w:rsidRPr="009A501D">
        <w:rPr>
          <w:rFonts w:ascii="Century Gothic" w:hAnsi="Century Gothic"/>
          <w:sz w:val="19"/>
          <w:szCs w:val="19"/>
        </w:rPr>
        <w:t xml:space="preserve"> </w:t>
      </w:r>
    </w:p>
    <w:p w14:paraId="344B768F" w14:textId="0F0A8183" w:rsidR="001701DF" w:rsidRPr="009A501D" w:rsidRDefault="001701DF" w:rsidP="00664A1D">
      <w:pPr>
        <w:pStyle w:val="Ttulo2"/>
        <w:rPr>
          <w:rFonts w:ascii="Century Gothic" w:eastAsiaTheme="minorHAnsi" w:hAnsi="Century Gothic" w:cstheme="minorBidi"/>
          <w:bCs/>
          <w:color w:val="0079BF"/>
          <w:sz w:val="24"/>
          <w:szCs w:val="24"/>
        </w:rPr>
      </w:pPr>
      <w:bookmarkStart w:id="23" w:name="_Toc131161807"/>
      <w:r w:rsidRPr="009A501D">
        <w:rPr>
          <w:rFonts w:ascii="Century Gothic" w:eastAsiaTheme="minorHAnsi" w:hAnsi="Century Gothic" w:cstheme="minorBidi"/>
          <w:bCs/>
          <w:color w:val="0079BF"/>
          <w:sz w:val="24"/>
          <w:szCs w:val="24"/>
        </w:rPr>
        <w:t>IV.1. E</w:t>
      </w:r>
      <w:r w:rsidR="0004252C" w:rsidRPr="009A501D">
        <w:rPr>
          <w:rFonts w:ascii="Century Gothic" w:eastAsiaTheme="minorHAnsi" w:hAnsi="Century Gothic" w:cstheme="minorBidi"/>
          <w:bCs/>
          <w:color w:val="0079BF"/>
          <w:sz w:val="24"/>
          <w:szCs w:val="24"/>
        </w:rPr>
        <w:t xml:space="preserve">videncias </w:t>
      </w:r>
      <w:r w:rsidR="009E39AC" w:rsidRPr="009A501D">
        <w:rPr>
          <w:rFonts w:ascii="Century Gothic" w:eastAsiaTheme="minorHAnsi" w:hAnsi="Century Gothic" w:cstheme="minorBidi"/>
          <w:bCs/>
          <w:color w:val="0079BF"/>
          <w:sz w:val="24"/>
          <w:szCs w:val="24"/>
        </w:rPr>
        <w:t xml:space="preserve">registradas en el </w:t>
      </w:r>
      <w:r w:rsidR="00EA5C0F" w:rsidRPr="009A501D">
        <w:rPr>
          <w:rFonts w:ascii="Century Gothic" w:eastAsiaTheme="minorHAnsi" w:hAnsi="Century Gothic" w:cstheme="minorBidi"/>
          <w:bCs/>
          <w:color w:val="0079BF"/>
          <w:sz w:val="24"/>
          <w:szCs w:val="24"/>
        </w:rPr>
        <w:t>PTRACKING</w:t>
      </w:r>
      <w:bookmarkEnd w:id="23"/>
      <w:r w:rsidRPr="009A501D">
        <w:rPr>
          <w:rFonts w:ascii="Century Gothic" w:eastAsiaTheme="minorHAnsi" w:hAnsi="Century Gothic" w:cstheme="minorBidi"/>
          <w:bCs/>
          <w:color w:val="0079BF"/>
          <w:sz w:val="24"/>
          <w:szCs w:val="24"/>
        </w:rPr>
        <w:t xml:space="preserve"> </w:t>
      </w:r>
    </w:p>
    <w:p w14:paraId="125CAF81" w14:textId="25964694" w:rsidR="00CA636F" w:rsidRPr="009A501D" w:rsidRDefault="00CA636F" w:rsidP="003D471D">
      <w:pPr>
        <w:spacing w:before="40" w:after="40"/>
        <w:jc w:val="both"/>
        <w:rPr>
          <w:rFonts w:ascii="Century Gothic" w:hAnsi="Century Gothic"/>
          <w:sz w:val="19"/>
          <w:szCs w:val="19"/>
        </w:rPr>
      </w:pPr>
      <w:r w:rsidRPr="009A501D">
        <w:rPr>
          <w:rFonts w:ascii="Century Gothic" w:hAnsi="Century Gothic"/>
          <w:sz w:val="19"/>
          <w:szCs w:val="19"/>
        </w:rPr>
        <w:t xml:space="preserve">Con el objetivo de contribuir </w:t>
      </w:r>
      <w:r w:rsidR="003D471D" w:rsidRPr="009A501D">
        <w:rPr>
          <w:rFonts w:ascii="Century Gothic" w:hAnsi="Century Gothic"/>
          <w:sz w:val="19"/>
          <w:szCs w:val="19"/>
        </w:rPr>
        <w:t>a mantener una cultura de mejora continua</w:t>
      </w:r>
      <w:r w:rsidR="00EE4F8B" w:rsidRPr="009A501D">
        <w:rPr>
          <w:rFonts w:ascii="Century Gothic" w:hAnsi="Century Gothic"/>
          <w:sz w:val="19"/>
          <w:szCs w:val="19"/>
        </w:rPr>
        <w:t>, en 2022</w:t>
      </w:r>
      <w:r w:rsidRPr="009A501D">
        <w:rPr>
          <w:rFonts w:ascii="Century Gothic" w:hAnsi="Century Gothic"/>
          <w:sz w:val="19"/>
          <w:szCs w:val="19"/>
        </w:rPr>
        <w:t xml:space="preserve"> se llevó a cabo una revisión sobre la documentación de evidencias depositadas en</w:t>
      </w:r>
      <w:r w:rsidR="00866B1A" w:rsidRPr="009A501D">
        <w:rPr>
          <w:rFonts w:ascii="Century Gothic" w:hAnsi="Century Gothic"/>
          <w:sz w:val="19"/>
          <w:szCs w:val="19"/>
        </w:rPr>
        <w:t xml:space="preserve"> el</w:t>
      </w:r>
      <w:r w:rsidRPr="009A501D">
        <w:rPr>
          <w:rFonts w:ascii="Century Gothic" w:hAnsi="Century Gothic"/>
          <w:sz w:val="19"/>
          <w:szCs w:val="19"/>
        </w:rPr>
        <w:t xml:space="preserve"> Sistema </w:t>
      </w:r>
      <w:r w:rsidR="00866B1A" w:rsidRPr="009A501D">
        <w:rPr>
          <w:rFonts w:ascii="Century Gothic" w:hAnsi="Century Gothic"/>
          <w:sz w:val="19"/>
          <w:szCs w:val="19"/>
        </w:rPr>
        <w:t>de</w:t>
      </w:r>
      <w:r w:rsidRPr="009A501D">
        <w:rPr>
          <w:rFonts w:ascii="Century Gothic" w:hAnsi="Century Gothic"/>
          <w:sz w:val="19"/>
          <w:szCs w:val="19"/>
        </w:rPr>
        <w:t xml:space="preserve"> </w:t>
      </w:r>
      <w:r w:rsidR="00866B1A" w:rsidRPr="009A501D">
        <w:rPr>
          <w:rFonts w:ascii="Century Gothic" w:hAnsi="Century Gothic"/>
          <w:sz w:val="19"/>
          <w:szCs w:val="19"/>
        </w:rPr>
        <w:t>R</w:t>
      </w:r>
      <w:r w:rsidRPr="009A501D">
        <w:rPr>
          <w:rFonts w:ascii="Century Gothic" w:hAnsi="Century Gothic"/>
          <w:sz w:val="19"/>
          <w:szCs w:val="19"/>
        </w:rPr>
        <w:t xml:space="preserve">egistro de </w:t>
      </w:r>
      <w:r w:rsidR="00866B1A" w:rsidRPr="009A501D">
        <w:rPr>
          <w:rFonts w:ascii="Century Gothic" w:hAnsi="Century Gothic"/>
          <w:sz w:val="19"/>
          <w:szCs w:val="19"/>
        </w:rPr>
        <w:t>E</w:t>
      </w:r>
      <w:r w:rsidRPr="009A501D">
        <w:rPr>
          <w:rFonts w:ascii="Century Gothic" w:hAnsi="Century Gothic"/>
          <w:sz w:val="19"/>
          <w:szCs w:val="19"/>
        </w:rPr>
        <w:t xml:space="preserve">videncias </w:t>
      </w:r>
      <w:r w:rsidR="00866B1A" w:rsidRPr="009A501D">
        <w:rPr>
          <w:rFonts w:ascii="Century Gothic" w:hAnsi="Century Gothic"/>
          <w:sz w:val="19"/>
          <w:szCs w:val="19"/>
        </w:rPr>
        <w:t>(</w:t>
      </w:r>
      <w:r w:rsidR="00E52BC9" w:rsidRPr="009A501D">
        <w:rPr>
          <w:rFonts w:ascii="Century Gothic" w:hAnsi="Century Gothic"/>
          <w:sz w:val="19"/>
          <w:szCs w:val="19"/>
        </w:rPr>
        <w:t>PTRACKING</w:t>
      </w:r>
      <w:r w:rsidR="00866B1A" w:rsidRPr="009A501D">
        <w:rPr>
          <w:rFonts w:ascii="Century Gothic" w:hAnsi="Century Gothic"/>
          <w:sz w:val="19"/>
          <w:szCs w:val="19"/>
        </w:rPr>
        <w:t>)</w:t>
      </w:r>
      <w:r w:rsidRPr="009A501D">
        <w:rPr>
          <w:rFonts w:ascii="Century Gothic" w:hAnsi="Century Gothic"/>
          <w:sz w:val="19"/>
          <w:szCs w:val="19"/>
        </w:rPr>
        <w:t xml:space="preserve">. </w:t>
      </w:r>
      <w:r w:rsidR="00866B1A" w:rsidRPr="009A501D">
        <w:rPr>
          <w:rFonts w:ascii="Century Gothic" w:hAnsi="Century Gothic"/>
          <w:sz w:val="19"/>
          <w:szCs w:val="19"/>
        </w:rPr>
        <w:t>Dicha revisión</w:t>
      </w:r>
      <w:r w:rsidRPr="009A501D">
        <w:rPr>
          <w:rFonts w:ascii="Century Gothic" w:hAnsi="Century Gothic"/>
          <w:sz w:val="19"/>
          <w:szCs w:val="19"/>
        </w:rPr>
        <w:t xml:space="preserve"> permitió identificar áreas de oportunidad en la documentación de evidencias que serán atendidas </w:t>
      </w:r>
      <w:r w:rsidR="00866B1A" w:rsidRPr="009A501D">
        <w:rPr>
          <w:rFonts w:ascii="Century Gothic" w:hAnsi="Century Gothic"/>
          <w:sz w:val="19"/>
          <w:szCs w:val="19"/>
        </w:rPr>
        <w:t>mediante</w:t>
      </w:r>
      <w:r w:rsidR="003D471D" w:rsidRPr="009A501D">
        <w:rPr>
          <w:rFonts w:ascii="Century Gothic" w:hAnsi="Century Gothic"/>
          <w:sz w:val="19"/>
          <w:szCs w:val="19"/>
        </w:rPr>
        <w:t xml:space="preserve"> el diseño de</w:t>
      </w:r>
      <w:r w:rsidRPr="009A501D">
        <w:rPr>
          <w:rFonts w:ascii="Century Gothic" w:hAnsi="Century Gothic"/>
          <w:sz w:val="19"/>
          <w:szCs w:val="19"/>
        </w:rPr>
        <w:t xml:space="preserve"> guías </w:t>
      </w:r>
      <w:r w:rsidR="00866B1A" w:rsidRPr="009A501D">
        <w:rPr>
          <w:rFonts w:ascii="Century Gothic" w:hAnsi="Century Gothic"/>
          <w:sz w:val="19"/>
          <w:szCs w:val="19"/>
        </w:rPr>
        <w:t xml:space="preserve">derivadas de la </w:t>
      </w:r>
      <w:r w:rsidR="003D471D" w:rsidRPr="009A501D">
        <w:rPr>
          <w:rFonts w:ascii="Century Gothic" w:hAnsi="Century Gothic"/>
          <w:sz w:val="19"/>
          <w:szCs w:val="19"/>
        </w:rPr>
        <w:t>NTPPIEG</w:t>
      </w:r>
      <w:r w:rsidRPr="009A501D">
        <w:rPr>
          <w:rFonts w:ascii="Century Gothic" w:hAnsi="Century Gothic"/>
          <w:sz w:val="19"/>
          <w:szCs w:val="19"/>
        </w:rPr>
        <w:t xml:space="preserve">. Para realizar el diagnóstico de las evidencias, la DGIAI consultó los archivos depositados en </w:t>
      </w:r>
      <w:r w:rsidR="00866B1A" w:rsidRPr="009A501D">
        <w:rPr>
          <w:rFonts w:ascii="Century Gothic" w:hAnsi="Century Gothic"/>
          <w:sz w:val="19"/>
          <w:szCs w:val="19"/>
        </w:rPr>
        <w:t xml:space="preserve">el </w:t>
      </w:r>
      <w:r w:rsidR="00E52BC9" w:rsidRPr="009A501D">
        <w:rPr>
          <w:rFonts w:ascii="Century Gothic" w:hAnsi="Century Gothic"/>
          <w:sz w:val="19"/>
          <w:szCs w:val="19"/>
        </w:rPr>
        <w:t>PTRACKING</w:t>
      </w:r>
      <w:r w:rsidRPr="009A501D">
        <w:rPr>
          <w:rFonts w:ascii="Century Gothic" w:hAnsi="Century Gothic"/>
          <w:sz w:val="19"/>
          <w:szCs w:val="19"/>
        </w:rPr>
        <w:t>. Fueron seleccionados 50 procesos de producción de un total de 120</w:t>
      </w:r>
      <w:r w:rsidR="003D471D" w:rsidRPr="009A501D">
        <w:rPr>
          <w:rFonts w:ascii="Century Gothic" w:hAnsi="Century Gothic"/>
          <w:sz w:val="19"/>
          <w:szCs w:val="19"/>
        </w:rPr>
        <w:t>. Se consideraron</w:t>
      </w:r>
      <w:r w:rsidRPr="009A501D">
        <w:rPr>
          <w:rFonts w:ascii="Century Gothic" w:hAnsi="Century Gothic"/>
          <w:sz w:val="19"/>
          <w:szCs w:val="19"/>
        </w:rPr>
        <w:t xml:space="preserve"> aquellos que fueran de </w:t>
      </w:r>
      <w:r w:rsidR="00EE4F8B" w:rsidRPr="009A501D">
        <w:rPr>
          <w:rFonts w:ascii="Century Gothic" w:hAnsi="Century Gothic"/>
          <w:sz w:val="19"/>
          <w:szCs w:val="19"/>
        </w:rPr>
        <w:t xml:space="preserve">Interés Nacional </w:t>
      </w:r>
      <w:r w:rsidRPr="009A501D">
        <w:rPr>
          <w:rFonts w:ascii="Century Gothic" w:hAnsi="Century Gothic"/>
          <w:sz w:val="19"/>
          <w:szCs w:val="19"/>
        </w:rPr>
        <w:t>o con nivel de madurez consolidado y regular, que tuvieran arquitectura revelada y el cuestionario de interoperabilidad</w:t>
      </w:r>
      <w:r w:rsidR="008142BB" w:rsidRPr="009A501D">
        <w:rPr>
          <w:rFonts w:ascii="Century Gothic" w:hAnsi="Century Gothic"/>
          <w:sz w:val="19"/>
          <w:szCs w:val="19"/>
        </w:rPr>
        <w:t xml:space="preserve"> contestado</w:t>
      </w:r>
      <w:r w:rsidRPr="009A501D">
        <w:rPr>
          <w:rFonts w:ascii="Century Gothic" w:hAnsi="Century Gothic"/>
          <w:sz w:val="19"/>
          <w:szCs w:val="19"/>
        </w:rPr>
        <w:t>. Es importante mencionar que s</w:t>
      </w:r>
      <w:r w:rsidR="00EE4F8B" w:rsidRPr="009A501D">
        <w:rPr>
          <w:rFonts w:ascii="Century Gothic" w:hAnsi="Century Gothic"/>
          <w:sz w:val="19"/>
          <w:szCs w:val="19"/>
        </w:rPr>
        <w:t>ó</w:t>
      </w:r>
      <w:r w:rsidRPr="009A501D">
        <w:rPr>
          <w:rFonts w:ascii="Century Gothic" w:hAnsi="Century Gothic"/>
          <w:sz w:val="19"/>
          <w:szCs w:val="19"/>
        </w:rPr>
        <w:t>lo se revisaron las evidencias correspondientes al ciclo más reciente.</w:t>
      </w:r>
    </w:p>
    <w:p w14:paraId="6B55A20F" w14:textId="7536B7A6" w:rsidR="00365B93" w:rsidRPr="009A501D" w:rsidRDefault="00CA636F" w:rsidP="007E0FE1">
      <w:pPr>
        <w:spacing w:before="240"/>
        <w:jc w:val="both"/>
        <w:rPr>
          <w:rFonts w:ascii="Century Gothic" w:hAnsi="Century Gothic"/>
          <w:sz w:val="19"/>
          <w:szCs w:val="19"/>
        </w:rPr>
      </w:pPr>
      <w:r w:rsidRPr="009A501D">
        <w:rPr>
          <w:rFonts w:ascii="Century Gothic" w:hAnsi="Century Gothic"/>
          <w:sz w:val="19"/>
          <w:szCs w:val="19"/>
        </w:rPr>
        <w:t xml:space="preserve">Como resultado de la revisión realizada a más de </w:t>
      </w:r>
      <w:r w:rsidR="008142BB" w:rsidRPr="009A501D">
        <w:rPr>
          <w:rFonts w:ascii="Century Gothic" w:hAnsi="Century Gothic"/>
          <w:sz w:val="19"/>
          <w:szCs w:val="19"/>
        </w:rPr>
        <w:t>mil</w:t>
      </w:r>
      <w:r w:rsidR="001F5DAC" w:rsidRPr="009A501D">
        <w:rPr>
          <w:rFonts w:ascii="Century Gothic" w:hAnsi="Century Gothic"/>
          <w:sz w:val="19"/>
          <w:szCs w:val="19"/>
        </w:rPr>
        <w:t xml:space="preserve"> ochocientas</w:t>
      </w:r>
      <w:r w:rsidRPr="009A501D">
        <w:rPr>
          <w:rFonts w:ascii="Century Gothic" w:hAnsi="Century Gothic"/>
          <w:sz w:val="19"/>
          <w:szCs w:val="19"/>
        </w:rPr>
        <w:t xml:space="preserve"> evidencias, se encontró que </w:t>
      </w:r>
      <w:r w:rsidR="008142BB" w:rsidRPr="009A501D">
        <w:rPr>
          <w:rFonts w:ascii="Century Gothic" w:hAnsi="Century Gothic"/>
          <w:sz w:val="19"/>
          <w:szCs w:val="19"/>
        </w:rPr>
        <w:t xml:space="preserve">el </w:t>
      </w:r>
      <w:r w:rsidR="00866B1A" w:rsidRPr="009A501D">
        <w:rPr>
          <w:rFonts w:ascii="Century Gothic" w:hAnsi="Century Gothic"/>
          <w:sz w:val="19"/>
          <w:szCs w:val="19"/>
        </w:rPr>
        <w:t xml:space="preserve">78% de las mismas coincide </w:t>
      </w:r>
      <w:r w:rsidR="0035782E" w:rsidRPr="009A501D">
        <w:rPr>
          <w:rFonts w:ascii="Century Gothic" w:hAnsi="Century Gothic"/>
          <w:sz w:val="19"/>
          <w:szCs w:val="19"/>
        </w:rPr>
        <w:t xml:space="preserve">total o parcialmente con lo señalado en </w:t>
      </w:r>
      <w:r w:rsidRPr="009A501D">
        <w:rPr>
          <w:rFonts w:ascii="Century Gothic" w:hAnsi="Century Gothic"/>
          <w:sz w:val="19"/>
          <w:szCs w:val="19"/>
        </w:rPr>
        <w:t xml:space="preserve">la </w:t>
      </w:r>
      <w:r w:rsidR="00BB1F5B" w:rsidRPr="009A501D">
        <w:rPr>
          <w:rFonts w:ascii="Century Gothic" w:hAnsi="Century Gothic"/>
          <w:sz w:val="19"/>
          <w:szCs w:val="19"/>
        </w:rPr>
        <w:t>NTPP</w:t>
      </w:r>
      <w:r w:rsidR="00365B93" w:rsidRPr="009A501D">
        <w:rPr>
          <w:rFonts w:ascii="Century Gothic" w:hAnsi="Century Gothic"/>
          <w:sz w:val="19"/>
          <w:szCs w:val="19"/>
        </w:rPr>
        <w:t>IEG, en tanto que sólo 8% no guarda relación alguna</w:t>
      </w:r>
      <w:r w:rsidR="001C0DF8" w:rsidRPr="009A501D">
        <w:rPr>
          <w:rFonts w:ascii="Century Gothic" w:hAnsi="Century Gothic"/>
          <w:sz w:val="19"/>
          <w:szCs w:val="19"/>
        </w:rPr>
        <w:t xml:space="preserve"> (ver </w:t>
      </w:r>
      <w:r w:rsidR="00F223AA" w:rsidRPr="009A501D">
        <w:rPr>
          <w:rFonts w:ascii="Century Gothic" w:hAnsi="Century Gothic"/>
          <w:sz w:val="19"/>
          <w:szCs w:val="19"/>
        </w:rPr>
        <w:t>figura IV.1.1)</w:t>
      </w:r>
      <w:r w:rsidRPr="009A501D">
        <w:rPr>
          <w:rFonts w:ascii="Century Gothic" w:hAnsi="Century Gothic"/>
          <w:sz w:val="19"/>
          <w:szCs w:val="19"/>
        </w:rPr>
        <w:t xml:space="preserve">. </w:t>
      </w:r>
      <w:r w:rsidR="00365B93" w:rsidRPr="009A501D">
        <w:rPr>
          <w:rFonts w:ascii="Century Gothic" w:hAnsi="Century Gothic"/>
          <w:sz w:val="19"/>
          <w:szCs w:val="19"/>
        </w:rPr>
        <w:t>Esta situación nos lleva a</w:t>
      </w:r>
      <w:r w:rsidRPr="009A501D">
        <w:rPr>
          <w:rFonts w:ascii="Century Gothic" w:hAnsi="Century Gothic"/>
          <w:sz w:val="19"/>
          <w:szCs w:val="19"/>
        </w:rPr>
        <w:t xml:space="preserve"> reconocer, por un lado, el </w:t>
      </w:r>
      <w:r w:rsidR="00365B93" w:rsidRPr="009A501D">
        <w:rPr>
          <w:rFonts w:ascii="Century Gothic" w:hAnsi="Century Gothic"/>
          <w:sz w:val="19"/>
          <w:szCs w:val="19"/>
        </w:rPr>
        <w:t>apego por parte de las diferentes</w:t>
      </w:r>
      <w:r w:rsidRPr="009A501D">
        <w:rPr>
          <w:rFonts w:ascii="Century Gothic" w:hAnsi="Century Gothic"/>
          <w:sz w:val="19"/>
          <w:szCs w:val="19"/>
        </w:rPr>
        <w:t xml:space="preserve"> U</w:t>
      </w:r>
      <w:r w:rsidR="00F54C17" w:rsidRPr="009A501D">
        <w:rPr>
          <w:rFonts w:ascii="Century Gothic" w:hAnsi="Century Gothic"/>
          <w:sz w:val="19"/>
          <w:szCs w:val="19"/>
        </w:rPr>
        <w:t>nidades Administrativas</w:t>
      </w:r>
      <w:r w:rsidRPr="009A501D">
        <w:rPr>
          <w:rFonts w:ascii="Century Gothic" w:hAnsi="Century Gothic"/>
          <w:sz w:val="19"/>
          <w:szCs w:val="19"/>
        </w:rPr>
        <w:t xml:space="preserve"> productoras </w:t>
      </w:r>
      <w:r w:rsidR="00365B93" w:rsidRPr="009A501D">
        <w:rPr>
          <w:rFonts w:ascii="Century Gothic" w:hAnsi="Century Gothic"/>
          <w:sz w:val="19"/>
          <w:szCs w:val="19"/>
        </w:rPr>
        <w:t xml:space="preserve">del Instituto a lo establecido en la </w:t>
      </w:r>
      <w:r w:rsidR="007F0FBE" w:rsidRPr="009A501D">
        <w:rPr>
          <w:rFonts w:ascii="Century Gothic" w:hAnsi="Century Gothic"/>
          <w:sz w:val="19"/>
          <w:szCs w:val="19"/>
        </w:rPr>
        <w:t>NTPPIEG</w:t>
      </w:r>
      <w:r w:rsidR="00365B93" w:rsidRPr="009A501D">
        <w:rPr>
          <w:rFonts w:ascii="Century Gothic" w:hAnsi="Century Gothic"/>
          <w:sz w:val="19"/>
          <w:szCs w:val="19"/>
        </w:rPr>
        <w:t xml:space="preserve"> en la mayoría de </w:t>
      </w:r>
      <w:r w:rsidR="007F0FBE" w:rsidRPr="009A501D">
        <w:rPr>
          <w:rFonts w:ascii="Century Gothic" w:hAnsi="Century Gothic"/>
          <w:sz w:val="19"/>
          <w:szCs w:val="19"/>
        </w:rPr>
        <w:t xml:space="preserve">los </w:t>
      </w:r>
      <w:r w:rsidR="0061666A" w:rsidRPr="009A501D">
        <w:rPr>
          <w:rFonts w:ascii="Century Gothic" w:hAnsi="Century Gothic"/>
          <w:sz w:val="19"/>
          <w:szCs w:val="19"/>
        </w:rPr>
        <w:t>su</w:t>
      </w:r>
      <w:r w:rsidR="007F0FBE" w:rsidRPr="009A501D">
        <w:rPr>
          <w:rFonts w:ascii="Century Gothic" w:hAnsi="Century Gothic"/>
          <w:sz w:val="19"/>
          <w:szCs w:val="19"/>
        </w:rPr>
        <w:t>b</w:t>
      </w:r>
      <w:r w:rsidR="0061666A" w:rsidRPr="009A501D">
        <w:rPr>
          <w:rFonts w:ascii="Century Gothic" w:hAnsi="Century Gothic"/>
          <w:sz w:val="19"/>
          <w:szCs w:val="19"/>
        </w:rPr>
        <w:t>procesos</w:t>
      </w:r>
      <w:r w:rsidR="00365B93" w:rsidRPr="009A501D">
        <w:rPr>
          <w:rFonts w:ascii="Century Gothic" w:hAnsi="Century Gothic"/>
          <w:sz w:val="19"/>
          <w:szCs w:val="19"/>
        </w:rPr>
        <w:t xml:space="preserve"> de producción </w:t>
      </w:r>
      <w:r w:rsidRPr="009A501D">
        <w:rPr>
          <w:rFonts w:ascii="Century Gothic" w:hAnsi="Century Gothic"/>
          <w:sz w:val="19"/>
          <w:szCs w:val="19"/>
        </w:rPr>
        <w:t xml:space="preserve">y, por otro, </w:t>
      </w:r>
      <w:r w:rsidR="00365B93" w:rsidRPr="009A501D">
        <w:rPr>
          <w:rFonts w:ascii="Century Gothic" w:hAnsi="Century Gothic"/>
          <w:sz w:val="19"/>
          <w:szCs w:val="19"/>
        </w:rPr>
        <w:t xml:space="preserve">la necesidad de </w:t>
      </w:r>
      <w:r w:rsidR="008F2CFE" w:rsidRPr="009A501D">
        <w:rPr>
          <w:rFonts w:ascii="Century Gothic" w:hAnsi="Century Gothic"/>
          <w:sz w:val="19"/>
          <w:szCs w:val="19"/>
        </w:rPr>
        <w:t>identificar las evidencias indispensables para proponer modificaciones a la NTPPIEG</w:t>
      </w:r>
      <w:r w:rsidR="00365B93" w:rsidRPr="009A501D">
        <w:rPr>
          <w:rFonts w:ascii="Century Gothic" w:hAnsi="Century Gothic"/>
          <w:sz w:val="19"/>
          <w:szCs w:val="19"/>
        </w:rPr>
        <w:t>.</w:t>
      </w:r>
    </w:p>
    <w:p w14:paraId="3B44E1E5" w14:textId="1FB844AE" w:rsidR="005E0655" w:rsidRPr="009A501D" w:rsidRDefault="00CE37DC" w:rsidP="00664A1D">
      <w:pPr>
        <w:spacing w:before="240"/>
        <w:jc w:val="center"/>
        <w:rPr>
          <w:rFonts w:ascii="Century Gothic" w:hAnsi="Century Gothic"/>
        </w:rPr>
      </w:pPr>
      <w:r w:rsidRPr="009A501D">
        <w:rPr>
          <w:rFonts w:ascii="Century Gothic" w:hAnsi="Century Gothic"/>
          <w:b/>
          <w:sz w:val="19"/>
          <w:szCs w:val="19"/>
        </w:rPr>
        <w:t xml:space="preserve">IV.1.1. </w:t>
      </w:r>
      <w:r w:rsidR="00CA636F" w:rsidRPr="009A501D">
        <w:rPr>
          <w:rFonts w:ascii="Century Gothic" w:hAnsi="Century Gothic"/>
          <w:b/>
          <w:sz w:val="19"/>
          <w:szCs w:val="19"/>
        </w:rPr>
        <w:t>Resultados. Nivel de cumplimiento</w:t>
      </w:r>
    </w:p>
    <w:p w14:paraId="5C9ACF74" w14:textId="44889306" w:rsidR="0009092B" w:rsidRPr="009A501D" w:rsidRDefault="00F247F9" w:rsidP="00664A1D">
      <w:pPr>
        <w:spacing w:before="240"/>
        <w:jc w:val="center"/>
        <w:rPr>
          <w:rFonts w:ascii="Century Gothic" w:hAnsi="Century Gothic"/>
        </w:rPr>
      </w:pPr>
      <w:r w:rsidRPr="009A501D">
        <w:rPr>
          <w:noProof/>
        </w:rPr>
        <w:drawing>
          <wp:inline distT="0" distB="0" distL="0" distR="0" wp14:anchorId="1493E37F" wp14:editId="7017E76B">
            <wp:extent cx="3702509" cy="222068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744" cy="2226824"/>
                    </a:xfrm>
                    <a:prstGeom prst="rect">
                      <a:avLst/>
                    </a:prstGeom>
                    <a:noFill/>
                    <a:ln>
                      <a:noFill/>
                    </a:ln>
                  </pic:spPr>
                </pic:pic>
              </a:graphicData>
            </a:graphic>
          </wp:inline>
        </w:drawing>
      </w:r>
    </w:p>
    <w:p w14:paraId="13091967" w14:textId="3E1F6BFD" w:rsidR="00ED6084" w:rsidRPr="009A501D" w:rsidRDefault="0035782E" w:rsidP="00BB7491">
      <w:pPr>
        <w:spacing w:before="240"/>
        <w:jc w:val="both"/>
        <w:rPr>
          <w:rFonts w:ascii="Century Gothic" w:hAnsi="Century Gothic"/>
          <w:sz w:val="19"/>
          <w:szCs w:val="19"/>
        </w:rPr>
      </w:pPr>
      <w:r w:rsidRPr="009A501D">
        <w:rPr>
          <w:rFonts w:ascii="Century Gothic" w:hAnsi="Century Gothic"/>
          <w:sz w:val="19"/>
          <w:szCs w:val="19"/>
        </w:rPr>
        <w:t>Este</w:t>
      </w:r>
      <w:r w:rsidR="00E12CE0" w:rsidRPr="009A501D">
        <w:rPr>
          <w:rFonts w:ascii="Century Gothic" w:hAnsi="Century Gothic"/>
          <w:sz w:val="19"/>
          <w:szCs w:val="19"/>
        </w:rPr>
        <w:t xml:space="preserve"> ejercicio de análisis contribuyó a identificar </w:t>
      </w:r>
      <w:r w:rsidR="003F3CF4" w:rsidRPr="009A501D">
        <w:rPr>
          <w:rFonts w:ascii="Century Gothic" w:hAnsi="Century Gothic"/>
          <w:sz w:val="19"/>
          <w:szCs w:val="19"/>
        </w:rPr>
        <w:t xml:space="preserve">los </w:t>
      </w:r>
      <w:r w:rsidR="00E12CE0" w:rsidRPr="009A501D">
        <w:rPr>
          <w:rFonts w:ascii="Century Gothic" w:hAnsi="Century Gothic"/>
          <w:sz w:val="19"/>
          <w:szCs w:val="19"/>
        </w:rPr>
        <w:t>aspectos de mejora en la integración de evidencias y</w:t>
      </w:r>
      <w:r w:rsidR="00EE4F8B" w:rsidRPr="009A501D">
        <w:rPr>
          <w:rFonts w:ascii="Century Gothic" w:hAnsi="Century Gothic"/>
          <w:sz w:val="19"/>
          <w:szCs w:val="19"/>
        </w:rPr>
        <w:t>,</w:t>
      </w:r>
      <w:r w:rsidR="00E12CE0" w:rsidRPr="009A501D">
        <w:rPr>
          <w:rFonts w:ascii="Century Gothic" w:hAnsi="Century Gothic"/>
          <w:sz w:val="19"/>
          <w:szCs w:val="19"/>
        </w:rPr>
        <w:t xml:space="preserve"> al mismo </w:t>
      </w:r>
      <w:r w:rsidR="00EE4F8B" w:rsidRPr="009A501D">
        <w:rPr>
          <w:rFonts w:ascii="Century Gothic" w:hAnsi="Century Gothic"/>
          <w:sz w:val="19"/>
          <w:szCs w:val="19"/>
        </w:rPr>
        <w:t>tiempo,</w:t>
      </w:r>
      <w:r w:rsidR="00E12CE0" w:rsidRPr="009A501D">
        <w:rPr>
          <w:rFonts w:ascii="Century Gothic" w:hAnsi="Century Gothic"/>
          <w:sz w:val="19"/>
          <w:szCs w:val="19"/>
        </w:rPr>
        <w:t xml:space="preserve"> verificar que correspondan a las situaciones reales del proceso de producción. En colaboración con la </w:t>
      </w:r>
      <w:r w:rsidR="008F5A33" w:rsidRPr="009A501D">
        <w:rPr>
          <w:rFonts w:ascii="Century Gothic" w:hAnsi="Century Gothic"/>
          <w:sz w:val="19"/>
          <w:szCs w:val="19"/>
        </w:rPr>
        <w:t>Coordinación General de Informática</w:t>
      </w:r>
      <w:r w:rsidR="00325853" w:rsidRPr="009A501D">
        <w:rPr>
          <w:rFonts w:ascii="Century Gothic" w:hAnsi="Century Gothic"/>
          <w:sz w:val="19"/>
          <w:szCs w:val="19"/>
        </w:rPr>
        <w:t xml:space="preserve"> (CGI)</w:t>
      </w:r>
      <w:r w:rsidR="00E12CE0" w:rsidRPr="009A501D">
        <w:rPr>
          <w:rFonts w:ascii="Century Gothic" w:hAnsi="Century Gothic"/>
          <w:sz w:val="19"/>
          <w:szCs w:val="19"/>
        </w:rPr>
        <w:t xml:space="preserve"> y las </w:t>
      </w:r>
      <w:r w:rsidR="00325853" w:rsidRPr="009A501D">
        <w:rPr>
          <w:rFonts w:ascii="Century Gothic" w:hAnsi="Century Gothic"/>
          <w:sz w:val="19"/>
          <w:szCs w:val="19"/>
        </w:rPr>
        <w:t>d</w:t>
      </w:r>
      <w:r w:rsidR="00E12CE0" w:rsidRPr="009A501D">
        <w:rPr>
          <w:rFonts w:ascii="Century Gothic" w:hAnsi="Century Gothic"/>
          <w:sz w:val="19"/>
          <w:szCs w:val="19"/>
        </w:rPr>
        <w:t xml:space="preserve">irecciones de </w:t>
      </w:r>
      <w:r w:rsidR="00325853" w:rsidRPr="009A501D">
        <w:rPr>
          <w:rFonts w:ascii="Century Gothic" w:hAnsi="Century Gothic"/>
          <w:sz w:val="19"/>
          <w:szCs w:val="19"/>
        </w:rPr>
        <w:t>i</w:t>
      </w:r>
      <w:r w:rsidR="00E12CE0" w:rsidRPr="009A501D">
        <w:rPr>
          <w:rFonts w:ascii="Century Gothic" w:hAnsi="Century Gothic"/>
          <w:sz w:val="19"/>
          <w:szCs w:val="19"/>
        </w:rPr>
        <w:t>nformática de cada U</w:t>
      </w:r>
      <w:r w:rsidR="00605234" w:rsidRPr="009A501D">
        <w:rPr>
          <w:rFonts w:ascii="Century Gothic" w:hAnsi="Century Gothic"/>
          <w:sz w:val="19"/>
          <w:szCs w:val="19"/>
        </w:rPr>
        <w:t xml:space="preserve">nidad </w:t>
      </w:r>
      <w:r w:rsidR="00F563FD" w:rsidRPr="009A501D">
        <w:rPr>
          <w:rFonts w:ascii="Century Gothic" w:hAnsi="Century Gothic"/>
          <w:sz w:val="19"/>
          <w:szCs w:val="19"/>
        </w:rPr>
        <w:t>Administrativa</w:t>
      </w:r>
      <w:r w:rsidR="00E12CE0" w:rsidRPr="009A501D">
        <w:rPr>
          <w:rFonts w:ascii="Century Gothic" w:hAnsi="Century Gothic"/>
          <w:sz w:val="19"/>
          <w:szCs w:val="19"/>
        </w:rPr>
        <w:t xml:space="preserve"> se trabajará en el aprovechamiento de las herramientas informáticas que participan directamente en la producción de información</w:t>
      </w:r>
      <w:r w:rsidR="00F563FD" w:rsidRPr="009A501D">
        <w:rPr>
          <w:rFonts w:ascii="Century Gothic" w:hAnsi="Century Gothic"/>
          <w:sz w:val="19"/>
          <w:szCs w:val="19"/>
        </w:rPr>
        <w:t>,</w:t>
      </w:r>
      <w:r w:rsidR="00E12CE0" w:rsidRPr="009A501D">
        <w:rPr>
          <w:rFonts w:ascii="Century Gothic" w:hAnsi="Century Gothic"/>
          <w:sz w:val="19"/>
          <w:szCs w:val="19"/>
        </w:rPr>
        <w:t xml:space="preserve"> de manera que se agilice y facilite la integración de evidencias.</w:t>
      </w:r>
      <w:r w:rsidR="00ED6084" w:rsidRPr="009A501D">
        <w:rPr>
          <w:rFonts w:ascii="Century Gothic" w:hAnsi="Century Gothic"/>
          <w:sz w:val="19"/>
          <w:szCs w:val="19"/>
        </w:rPr>
        <w:br w:type="page"/>
      </w:r>
    </w:p>
    <w:p w14:paraId="48CAB1A1" w14:textId="117C43FB" w:rsidR="001D034A" w:rsidRPr="009A501D" w:rsidRDefault="001D034A" w:rsidP="00664A1D">
      <w:pPr>
        <w:pStyle w:val="Ttulo2"/>
        <w:rPr>
          <w:rFonts w:ascii="Century Gothic" w:eastAsiaTheme="minorHAnsi" w:hAnsi="Century Gothic" w:cstheme="minorBidi"/>
          <w:bCs/>
          <w:color w:val="0079BF"/>
          <w:sz w:val="24"/>
          <w:szCs w:val="24"/>
        </w:rPr>
      </w:pPr>
      <w:bookmarkStart w:id="24" w:name="_Toc131161808"/>
      <w:r w:rsidRPr="009A501D">
        <w:rPr>
          <w:rFonts w:ascii="Century Gothic" w:eastAsiaTheme="minorHAnsi" w:hAnsi="Century Gothic" w:cstheme="minorBidi"/>
          <w:bCs/>
          <w:color w:val="0079BF"/>
          <w:sz w:val="24"/>
          <w:szCs w:val="24"/>
        </w:rPr>
        <w:lastRenderedPageBreak/>
        <w:t>IV.</w:t>
      </w:r>
      <w:r w:rsidR="00EC1414" w:rsidRPr="009A501D">
        <w:rPr>
          <w:rFonts w:ascii="Century Gothic" w:eastAsiaTheme="minorHAnsi" w:hAnsi="Century Gothic" w:cstheme="minorBidi"/>
          <w:bCs/>
          <w:color w:val="0079BF"/>
          <w:sz w:val="24"/>
          <w:szCs w:val="24"/>
        </w:rPr>
        <w:t>2</w:t>
      </w:r>
      <w:r w:rsidRPr="009A501D">
        <w:rPr>
          <w:rFonts w:ascii="Century Gothic" w:eastAsiaTheme="minorHAnsi" w:hAnsi="Century Gothic" w:cstheme="minorBidi"/>
          <w:bCs/>
          <w:color w:val="0079BF"/>
          <w:sz w:val="24"/>
          <w:szCs w:val="24"/>
        </w:rPr>
        <w:t xml:space="preserve">. Modelo de </w:t>
      </w:r>
      <w:r w:rsidR="0035782E" w:rsidRPr="009A501D">
        <w:rPr>
          <w:rFonts w:ascii="Century Gothic" w:eastAsiaTheme="minorHAnsi" w:hAnsi="Century Gothic" w:cstheme="minorBidi"/>
          <w:bCs/>
          <w:color w:val="0079BF"/>
          <w:sz w:val="24"/>
          <w:szCs w:val="24"/>
        </w:rPr>
        <w:t>C</w:t>
      </w:r>
      <w:r w:rsidRPr="009A501D">
        <w:rPr>
          <w:rFonts w:ascii="Century Gothic" w:eastAsiaTheme="minorHAnsi" w:hAnsi="Century Gothic" w:cstheme="minorBidi"/>
          <w:bCs/>
          <w:color w:val="0079BF"/>
          <w:sz w:val="24"/>
          <w:szCs w:val="24"/>
        </w:rPr>
        <w:t xml:space="preserve">ostos por </w:t>
      </w:r>
      <w:r w:rsidR="0035782E" w:rsidRPr="009A501D">
        <w:rPr>
          <w:rFonts w:ascii="Century Gothic" w:eastAsiaTheme="minorHAnsi" w:hAnsi="Century Gothic" w:cstheme="minorBidi"/>
          <w:bCs/>
          <w:color w:val="0079BF"/>
          <w:sz w:val="24"/>
          <w:szCs w:val="24"/>
        </w:rPr>
        <w:t>P</w:t>
      </w:r>
      <w:r w:rsidRPr="009A501D">
        <w:rPr>
          <w:rFonts w:ascii="Century Gothic" w:eastAsiaTheme="minorHAnsi" w:hAnsi="Century Gothic" w:cstheme="minorBidi"/>
          <w:bCs/>
          <w:color w:val="0079BF"/>
          <w:sz w:val="24"/>
          <w:szCs w:val="24"/>
        </w:rPr>
        <w:t>roceso</w:t>
      </w:r>
      <w:bookmarkEnd w:id="24"/>
      <w:r w:rsidRPr="009A501D">
        <w:rPr>
          <w:rFonts w:ascii="Century Gothic" w:eastAsiaTheme="minorHAnsi" w:hAnsi="Century Gothic" w:cstheme="minorBidi"/>
          <w:bCs/>
          <w:color w:val="0079BF"/>
          <w:sz w:val="24"/>
          <w:szCs w:val="24"/>
        </w:rPr>
        <w:t xml:space="preserve"> </w:t>
      </w:r>
    </w:p>
    <w:p w14:paraId="40139050" w14:textId="32103C6E" w:rsidR="00325853" w:rsidRPr="009A501D" w:rsidRDefault="00053D6C" w:rsidP="00325853">
      <w:pPr>
        <w:spacing w:before="240"/>
        <w:jc w:val="both"/>
        <w:rPr>
          <w:rFonts w:ascii="Century Gothic" w:hAnsi="Century Gothic"/>
          <w:sz w:val="19"/>
          <w:szCs w:val="19"/>
        </w:rPr>
      </w:pPr>
      <w:r w:rsidRPr="009A501D">
        <w:rPr>
          <w:rFonts w:ascii="Century Gothic" w:hAnsi="Century Gothic"/>
          <w:sz w:val="19"/>
          <w:szCs w:val="19"/>
        </w:rPr>
        <w:t xml:space="preserve">En 2019 se concluyó el diseño del Modelo de </w:t>
      </w:r>
      <w:r w:rsidR="0035782E" w:rsidRPr="009A501D">
        <w:rPr>
          <w:rFonts w:ascii="Century Gothic" w:hAnsi="Century Gothic"/>
          <w:sz w:val="19"/>
          <w:szCs w:val="19"/>
        </w:rPr>
        <w:t>C</w:t>
      </w:r>
      <w:r w:rsidRPr="009A501D">
        <w:rPr>
          <w:rFonts w:ascii="Century Gothic" w:hAnsi="Century Gothic"/>
          <w:sz w:val="19"/>
          <w:szCs w:val="19"/>
        </w:rPr>
        <w:t xml:space="preserve">ostos por </w:t>
      </w:r>
      <w:r w:rsidR="0035782E" w:rsidRPr="009A501D">
        <w:rPr>
          <w:rFonts w:ascii="Century Gothic" w:hAnsi="Century Gothic"/>
          <w:sz w:val="19"/>
          <w:szCs w:val="19"/>
        </w:rPr>
        <w:t>P</w:t>
      </w:r>
      <w:r w:rsidRPr="009A501D">
        <w:rPr>
          <w:rFonts w:ascii="Century Gothic" w:hAnsi="Century Gothic"/>
          <w:sz w:val="19"/>
          <w:szCs w:val="19"/>
        </w:rPr>
        <w:t xml:space="preserve">roceso, que fue incluido </w:t>
      </w:r>
      <w:r w:rsidR="0035782E" w:rsidRPr="009A501D">
        <w:rPr>
          <w:rFonts w:ascii="Century Gothic" w:hAnsi="Century Gothic"/>
          <w:sz w:val="19"/>
          <w:szCs w:val="19"/>
        </w:rPr>
        <w:t>en</w:t>
      </w:r>
      <w:r w:rsidRPr="009A501D">
        <w:rPr>
          <w:rFonts w:ascii="Century Gothic" w:hAnsi="Century Gothic"/>
          <w:sz w:val="19"/>
          <w:szCs w:val="19"/>
        </w:rPr>
        <w:t xml:space="preserve"> la herramienta SAPFIN </w:t>
      </w:r>
      <w:r w:rsidR="0035782E" w:rsidRPr="009A501D">
        <w:rPr>
          <w:rFonts w:ascii="Century Gothic" w:hAnsi="Century Gothic"/>
          <w:sz w:val="19"/>
          <w:szCs w:val="19"/>
        </w:rPr>
        <w:t xml:space="preserve">a cargo </w:t>
      </w:r>
      <w:r w:rsidRPr="009A501D">
        <w:rPr>
          <w:rFonts w:ascii="Century Gothic" w:hAnsi="Century Gothic"/>
          <w:sz w:val="19"/>
          <w:szCs w:val="19"/>
        </w:rPr>
        <w:t>de la Dirección General de Administración</w:t>
      </w:r>
      <w:r w:rsidR="00F42CC3" w:rsidRPr="009A501D">
        <w:rPr>
          <w:rFonts w:ascii="Century Gothic" w:hAnsi="Century Gothic"/>
          <w:sz w:val="19"/>
          <w:szCs w:val="19"/>
        </w:rPr>
        <w:t xml:space="preserve"> (DGA)</w:t>
      </w:r>
      <w:r w:rsidR="0035782E" w:rsidRPr="009A501D">
        <w:rPr>
          <w:rFonts w:ascii="Century Gothic" w:hAnsi="Century Gothic"/>
          <w:sz w:val="19"/>
          <w:szCs w:val="19"/>
        </w:rPr>
        <w:t>.</w:t>
      </w:r>
      <w:r w:rsidRPr="009A501D">
        <w:rPr>
          <w:rFonts w:ascii="Century Gothic" w:hAnsi="Century Gothic"/>
          <w:sz w:val="19"/>
          <w:szCs w:val="19"/>
        </w:rPr>
        <w:t xml:space="preserve"> </w:t>
      </w:r>
      <w:r w:rsidR="0035782E" w:rsidRPr="009A501D">
        <w:rPr>
          <w:rFonts w:ascii="Century Gothic" w:hAnsi="Century Gothic"/>
          <w:sz w:val="19"/>
          <w:szCs w:val="19"/>
        </w:rPr>
        <w:t>E</w:t>
      </w:r>
      <w:r w:rsidRPr="009A501D">
        <w:rPr>
          <w:rFonts w:ascii="Century Gothic" w:hAnsi="Century Gothic"/>
          <w:sz w:val="19"/>
          <w:szCs w:val="19"/>
        </w:rPr>
        <w:t xml:space="preserve">l registro de costos por fase inició en enero de 2020. El Modelo </w:t>
      </w:r>
      <w:r w:rsidR="00E82C70" w:rsidRPr="009A501D">
        <w:rPr>
          <w:rFonts w:ascii="Century Gothic" w:hAnsi="Century Gothic"/>
          <w:sz w:val="19"/>
          <w:szCs w:val="19"/>
        </w:rPr>
        <w:t>sirve</w:t>
      </w:r>
      <w:r w:rsidRPr="009A501D">
        <w:rPr>
          <w:rFonts w:ascii="Century Gothic" w:hAnsi="Century Gothic"/>
          <w:sz w:val="19"/>
          <w:szCs w:val="19"/>
        </w:rPr>
        <w:t xml:space="preserve"> para identificar los costos directos, los costos indirectos del área temática y los costos indirectos institucionales en cada una de las </w:t>
      </w:r>
      <w:r w:rsidR="0035782E" w:rsidRPr="009A501D">
        <w:rPr>
          <w:rFonts w:ascii="Century Gothic" w:hAnsi="Century Gothic"/>
          <w:sz w:val="19"/>
          <w:szCs w:val="19"/>
        </w:rPr>
        <w:t>ocho</w:t>
      </w:r>
      <w:r w:rsidRPr="009A501D">
        <w:rPr>
          <w:rFonts w:ascii="Century Gothic" w:hAnsi="Century Gothic"/>
          <w:sz w:val="19"/>
          <w:szCs w:val="19"/>
        </w:rPr>
        <w:t xml:space="preserve"> </w:t>
      </w:r>
      <w:r w:rsidR="0035782E" w:rsidRPr="009A501D">
        <w:rPr>
          <w:rFonts w:ascii="Century Gothic" w:hAnsi="Century Gothic"/>
          <w:sz w:val="19"/>
          <w:szCs w:val="19"/>
        </w:rPr>
        <w:t>f</w:t>
      </w:r>
      <w:r w:rsidRPr="009A501D">
        <w:rPr>
          <w:rFonts w:ascii="Century Gothic" w:hAnsi="Century Gothic"/>
          <w:sz w:val="19"/>
          <w:szCs w:val="19"/>
        </w:rPr>
        <w:t xml:space="preserve">ases del MPEG, mediante la determinación de una </w:t>
      </w:r>
      <w:r w:rsidR="0035782E" w:rsidRPr="009A501D">
        <w:rPr>
          <w:rFonts w:ascii="Century Gothic" w:hAnsi="Century Gothic"/>
          <w:sz w:val="19"/>
          <w:szCs w:val="19"/>
        </w:rPr>
        <w:t>m</w:t>
      </w:r>
      <w:r w:rsidRPr="009A501D">
        <w:rPr>
          <w:rFonts w:ascii="Century Gothic" w:hAnsi="Century Gothic"/>
          <w:sz w:val="19"/>
          <w:szCs w:val="19"/>
        </w:rPr>
        <w:t xml:space="preserve">atriz de factores de ponderación para cada </w:t>
      </w:r>
      <w:r w:rsidR="00766D90" w:rsidRPr="009A501D">
        <w:rPr>
          <w:rFonts w:ascii="Century Gothic" w:hAnsi="Century Gothic"/>
          <w:sz w:val="19"/>
          <w:szCs w:val="19"/>
        </w:rPr>
        <w:t>programa</w:t>
      </w:r>
      <w:r w:rsidRPr="009A501D">
        <w:rPr>
          <w:rFonts w:ascii="Century Gothic" w:hAnsi="Century Gothic"/>
          <w:sz w:val="19"/>
          <w:szCs w:val="19"/>
        </w:rPr>
        <w:t xml:space="preserve"> de </w:t>
      </w:r>
      <w:r w:rsidR="00766D90" w:rsidRPr="009A501D">
        <w:rPr>
          <w:rFonts w:ascii="Century Gothic" w:hAnsi="Century Gothic"/>
          <w:sz w:val="19"/>
          <w:szCs w:val="19"/>
        </w:rPr>
        <w:t>información</w:t>
      </w:r>
      <w:r w:rsidR="00527C6A" w:rsidRPr="009A501D">
        <w:rPr>
          <w:rFonts w:ascii="Century Gothic" w:hAnsi="Century Gothic"/>
          <w:sz w:val="19"/>
          <w:szCs w:val="19"/>
        </w:rPr>
        <w:t xml:space="preserve"> o proceso de producción</w:t>
      </w:r>
      <w:r w:rsidRPr="009A501D">
        <w:rPr>
          <w:rFonts w:ascii="Century Gothic" w:hAnsi="Century Gothic"/>
          <w:sz w:val="19"/>
          <w:szCs w:val="19"/>
        </w:rPr>
        <w:t xml:space="preserve"> y </w:t>
      </w:r>
      <w:r w:rsidR="00766D90" w:rsidRPr="009A501D">
        <w:rPr>
          <w:rFonts w:ascii="Century Gothic" w:hAnsi="Century Gothic"/>
          <w:sz w:val="19"/>
          <w:szCs w:val="19"/>
        </w:rPr>
        <w:t>actividad</w:t>
      </w:r>
      <w:r w:rsidRPr="009A501D">
        <w:rPr>
          <w:rFonts w:ascii="Century Gothic" w:hAnsi="Century Gothic"/>
          <w:sz w:val="19"/>
          <w:szCs w:val="19"/>
        </w:rPr>
        <w:t xml:space="preserve"> estadística y geográfica</w:t>
      </w:r>
      <w:r w:rsidR="00AA2600" w:rsidRPr="009A501D">
        <w:rPr>
          <w:rFonts w:ascii="Century Gothic" w:hAnsi="Century Gothic"/>
          <w:sz w:val="19"/>
          <w:szCs w:val="19"/>
        </w:rPr>
        <w:t xml:space="preserve"> (ver figura IV.2.</w:t>
      </w:r>
      <w:r w:rsidR="006B0E6F" w:rsidRPr="009A501D">
        <w:rPr>
          <w:rFonts w:ascii="Century Gothic" w:hAnsi="Century Gothic"/>
          <w:sz w:val="19"/>
          <w:szCs w:val="19"/>
        </w:rPr>
        <w:t>1</w:t>
      </w:r>
      <w:r w:rsidR="00863227" w:rsidRPr="009A501D">
        <w:rPr>
          <w:rFonts w:ascii="Century Gothic" w:hAnsi="Century Gothic"/>
          <w:sz w:val="19"/>
          <w:szCs w:val="19"/>
        </w:rPr>
        <w:t>)</w:t>
      </w:r>
      <w:r w:rsidR="009852CE" w:rsidRPr="009A501D">
        <w:rPr>
          <w:rFonts w:ascii="Century Gothic" w:hAnsi="Century Gothic"/>
          <w:sz w:val="19"/>
          <w:szCs w:val="19"/>
        </w:rPr>
        <w:t>.</w:t>
      </w:r>
    </w:p>
    <w:p w14:paraId="5E25B141" w14:textId="16221EFB" w:rsidR="003D4647" w:rsidRPr="009A501D" w:rsidRDefault="003D4647" w:rsidP="003D4647">
      <w:pPr>
        <w:spacing w:before="240"/>
        <w:jc w:val="center"/>
        <w:rPr>
          <w:rFonts w:ascii="Century Gothic" w:hAnsi="Century Gothic"/>
          <w:sz w:val="19"/>
          <w:szCs w:val="19"/>
        </w:rPr>
      </w:pPr>
      <w:r w:rsidRPr="009A501D">
        <w:rPr>
          <w:rFonts w:ascii="Century Gothic" w:hAnsi="Century Gothic"/>
          <w:b/>
          <w:sz w:val="19"/>
          <w:szCs w:val="19"/>
        </w:rPr>
        <w:t>IV.2.</w:t>
      </w:r>
      <w:r w:rsidR="006B0E6F" w:rsidRPr="009A501D">
        <w:rPr>
          <w:rFonts w:ascii="Century Gothic" w:hAnsi="Century Gothic"/>
          <w:b/>
          <w:sz w:val="19"/>
          <w:szCs w:val="19"/>
        </w:rPr>
        <w:t>1</w:t>
      </w:r>
      <w:r w:rsidRPr="009A501D">
        <w:rPr>
          <w:rFonts w:ascii="Century Gothic" w:hAnsi="Century Gothic"/>
          <w:b/>
          <w:sz w:val="19"/>
          <w:szCs w:val="19"/>
        </w:rPr>
        <w:t>. Esquema sobre la integración de los costos totales</w:t>
      </w:r>
    </w:p>
    <w:p w14:paraId="670DE739" w14:textId="77777777" w:rsidR="003D4647" w:rsidRPr="009A501D" w:rsidRDefault="003D4647" w:rsidP="003D4647">
      <w:pPr>
        <w:spacing w:before="240"/>
        <w:jc w:val="center"/>
        <w:rPr>
          <w:rFonts w:ascii="Century Gothic" w:hAnsi="Century Gothic"/>
          <w:sz w:val="19"/>
          <w:szCs w:val="19"/>
        </w:rPr>
      </w:pPr>
      <w:r w:rsidRPr="009A501D">
        <w:rPr>
          <w:noProof/>
        </w:rPr>
        <w:drawing>
          <wp:inline distT="0" distB="0" distL="0" distR="0" wp14:anchorId="1B6C6308" wp14:editId="281FDDE9">
            <wp:extent cx="4565686" cy="2147127"/>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8825" cy="2148603"/>
                    </a:xfrm>
                    <a:prstGeom prst="rect">
                      <a:avLst/>
                    </a:prstGeom>
                    <a:noFill/>
                    <a:ln>
                      <a:noFill/>
                    </a:ln>
                  </pic:spPr>
                </pic:pic>
              </a:graphicData>
            </a:graphic>
          </wp:inline>
        </w:drawing>
      </w:r>
    </w:p>
    <w:p w14:paraId="0EDC39B2" w14:textId="3E604859" w:rsidR="003D4647" w:rsidRPr="009A501D" w:rsidRDefault="00053D6C" w:rsidP="003D4647">
      <w:pPr>
        <w:spacing w:before="240"/>
        <w:jc w:val="both"/>
        <w:rPr>
          <w:rFonts w:ascii="Century Gothic" w:hAnsi="Century Gothic"/>
          <w:sz w:val="19"/>
          <w:szCs w:val="19"/>
        </w:rPr>
      </w:pPr>
      <w:r w:rsidRPr="009A501D">
        <w:rPr>
          <w:rFonts w:ascii="Century Gothic" w:hAnsi="Century Gothic"/>
          <w:sz w:val="19"/>
          <w:szCs w:val="19"/>
        </w:rPr>
        <w:t xml:space="preserve">La </w:t>
      </w:r>
      <w:r w:rsidR="00C17FF0" w:rsidRPr="009A501D">
        <w:rPr>
          <w:rFonts w:ascii="Century Gothic" w:hAnsi="Century Gothic"/>
          <w:sz w:val="19"/>
          <w:szCs w:val="19"/>
        </w:rPr>
        <w:t>presupuestación</w:t>
      </w:r>
      <w:r w:rsidRPr="009A501D">
        <w:rPr>
          <w:rFonts w:ascii="Century Gothic" w:hAnsi="Century Gothic"/>
          <w:sz w:val="19"/>
          <w:szCs w:val="19"/>
        </w:rPr>
        <w:t xml:space="preserve"> en el INEGI se realiza a través de </w:t>
      </w:r>
      <w:proofErr w:type="spellStart"/>
      <w:r w:rsidRPr="009A501D">
        <w:rPr>
          <w:rFonts w:ascii="Century Gothic" w:hAnsi="Century Gothic"/>
          <w:sz w:val="19"/>
          <w:szCs w:val="19"/>
        </w:rPr>
        <w:t>macroactividades</w:t>
      </w:r>
      <w:proofErr w:type="spellEnd"/>
      <w:r w:rsidRPr="009A501D">
        <w:rPr>
          <w:rFonts w:ascii="Century Gothic" w:hAnsi="Century Gothic"/>
          <w:sz w:val="19"/>
          <w:szCs w:val="19"/>
        </w:rPr>
        <w:t xml:space="preserve">, que pueden ser asignadas directamente a los </w:t>
      </w:r>
      <w:r w:rsidR="00746013" w:rsidRPr="009A501D">
        <w:rPr>
          <w:rFonts w:ascii="Century Gothic" w:hAnsi="Century Gothic"/>
          <w:sz w:val="19"/>
          <w:szCs w:val="19"/>
        </w:rPr>
        <w:t>p</w:t>
      </w:r>
      <w:r w:rsidRPr="009A501D">
        <w:rPr>
          <w:rFonts w:ascii="Century Gothic" w:hAnsi="Century Gothic"/>
          <w:sz w:val="19"/>
          <w:szCs w:val="19"/>
        </w:rPr>
        <w:t xml:space="preserve">rogramas de </w:t>
      </w:r>
      <w:r w:rsidR="00746013" w:rsidRPr="009A501D">
        <w:rPr>
          <w:rFonts w:ascii="Century Gothic" w:hAnsi="Century Gothic"/>
          <w:sz w:val="19"/>
          <w:szCs w:val="19"/>
        </w:rPr>
        <w:t>i</w:t>
      </w:r>
      <w:r w:rsidRPr="009A501D">
        <w:rPr>
          <w:rFonts w:ascii="Century Gothic" w:hAnsi="Century Gothic"/>
          <w:sz w:val="19"/>
          <w:szCs w:val="19"/>
        </w:rPr>
        <w:t xml:space="preserve">nformación. Estas </w:t>
      </w:r>
      <w:proofErr w:type="spellStart"/>
      <w:r w:rsidRPr="009A501D">
        <w:rPr>
          <w:rFonts w:ascii="Century Gothic" w:hAnsi="Century Gothic"/>
          <w:sz w:val="19"/>
          <w:szCs w:val="19"/>
        </w:rPr>
        <w:t>macroactividades</w:t>
      </w:r>
      <w:proofErr w:type="spellEnd"/>
      <w:r w:rsidRPr="009A501D">
        <w:rPr>
          <w:rFonts w:ascii="Century Gothic" w:hAnsi="Century Gothic"/>
          <w:sz w:val="19"/>
          <w:szCs w:val="19"/>
        </w:rPr>
        <w:t xml:space="preserve"> se </w:t>
      </w:r>
      <w:r w:rsidR="00C17FF0" w:rsidRPr="009A501D">
        <w:rPr>
          <w:rFonts w:ascii="Century Gothic" w:hAnsi="Century Gothic"/>
          <w:sz w:val="19"/>
          <w:szCs w:val="19"/>
        </w:rPr>
        <w:t xml:space="preserve">registran </w:t>
      </w:r>
      <w:r w:rsidRPr="009A501D">
        <w:rPr>
          <w:rFonts w:ascii="Century Gothic" w:hAnsi="Century Gothic"/>
          <w:sz w:val="19"/>
          <w:szCs w:val="19"/>
        </w:rPr>
        <w:t xml:space="preserve">en el SAPFIN y </w:t>
      </w:r>
      <w:r w:rsidR="00C17FF0" w:rsidRPr="009A501D">
        <w:rPr>
          <w:rFonts w:ascii="Century Gothic" w:hAnsi="Century Gothic"/>
          <w:sz w:val="19"/>
          <w:szCs w:val="19"/>
        </w:rPr>
        <w:t xml:space="preserve">en general </w:t>
      </w:r>
      <w:r w:rsidRPr="009A501D">
        <w:rPr>
          <w:rFonts w:ascii="Century Gothic" w:hAnsi="Century Gothic"/>
          <w:sz w:val="19"/>
          <w:szCs w:val="19"/>
        </w:rPr>
        <w:t>se asocian a la estructura orgánica del Instituto.</w:t>
      </w:r>
    </w:p>
    <w:p w14:paraId="0DD36E63" w14:textId="1C48B7CC" w:rsidR="00C17FF0" w:rsidRPr="009A501D" w:rsidRDefault="003D4647" w:rsidP="003D4647">
      <w:pPr>
        <w:spacing w:before="240"/>
        <w:jc w:val="both"/>
        <w:rPr>
          <w:rFonts w:ascii="Century Gothic" w:hAnsi="Century Gothic"/>
          <w:sz w:val="19"/>
          <w:szCs w:val="19"/>
        </w:rPr>
      </w:pPr>
      <w:r w:rsidRPr="009A501D">
        <w:rPr>
          <w:rFonts w:ascii="Century Gothic" w:hAnsi="Century Gothic"/>
          <w:sz w:val="19"/>
          <w:szCs w:val="19"/>
        </w:rPr>
        <w:t>Cada programa de información</w:t>
      </w:r>
      <w:r w:rsidR="005B3619" w:rsidRPr="009A501D">
        <w:rPr>
          <w:rFonts w:ascii="Century Gothic" w:hAnsi="Century Gothic"/>
          <w:sz w:val="19"/>
          <w:szCs w:val="19"/>
        </w:rPr>
        <w:t xml:space="preserve"> o proceso de producción</w:t>
      </w:r>
      <w:r w:rsidRPr="009A501D">
        <w:rPr>
          <w:rFonts w:ascii="Century Gothic" w:hAnsi="Century Gothic"/>
          <w:sz w:val="19"/>
          <w:szCs w:val="19"/>
        </w:rPr>
        <w:t xml:space="preserve"> se clasifica en una o más áreas temáticas dependiendo de la naturaleza de las actividades que lo componen y se requieren para el desarrollo de su consecución.</w:t>
      </w:r>
      <w:r w:rsidR="00C17FF0" w:rsidRPr="009A501D">
        <w:rPr>
          <w:rFonts w:ascii="Century Gothic" w:hAnsi="Century Gothic"/>
          <w:sz w:val="19"/>
          <w:szCs w:val="19"/>
        </w:rPr>
        <w:t xml:space="preserve"> </w:t>
      </w:r>
      <w:r w:rsidR="002906C9" w:rsidRPr="009A501D">
        <w:rPr>
          <w:rFonts w:ascii="Century Gothic" w:hAnsi="Century Gothic"/>
          <w:sz w:val="19"/>
          <w:szCs w:val="19"/>
        </w:rPr>
        <w:t>Para determinar el Costo Directo, l</w:t>
      </w:r>
      <w:r w:rsidR="00C17FF0" w:rsidRPr="009A501D">
        <w:rPr>
          <w:rFonts w:ascii="Century Gothic" w:hAnsi="Century Gothic"/>
          <w:sz w:val="19"/>
          <w:szCs w:val="19"/>
        </w:rPr>
        <w:t xml:space="preserve">os responsables del </w:t>
      </w:r>
      <w:r w:rsidR="00746013" w:rsidRPr="009A501D">
        <w:rPr>
          <w:rFonts w:ascii="Century Gothic" w:hAnsi="Century Gothic"/>
          <w:sz w:val="19"/>
          <w:szCs w:val="19"/>
        </w:rPr>
        <w:t>programa de información</w:t>
      </w:r>
      <w:r w:rsidR="00C17FF0" w:rsidRPr="009A501D">
        <w:rPr>
          <w:rFonts w:ascii="Century Gothic" w:hAnsi="Century Gothic"/>
          <w:sz w:val="19"/>
          <w:szCs w:val="19"/>
        </w:rPr>
        <w:t xml:space="preserve"> registran en el SAPFIN el porcentaje de participación de las </w:t>
      </w:r>
      <w:proofErr w:type="spellStart"/>
      <w:r w:rsidR="00C17FF0" w:rsidRPr="009A501D">
        <w:rPr>
          <w:rFonts w:ascii="Century Gothic" w:hAnsi="Century Gothic"/>
          <w:sz w:val="19"/>
          <w:szCs w:val="19"/>
        </w:rPr>
        <w:t>macroactividades</w:t>
      </w:r>
      <w:proofErr w:type="spellEnd"/>
      <w:r w:rsidR="00C17FF0" w:rsidRPr="009A501D">
        <w:rPr>
          <w:rFonts w:ascii="Century Gothic" w:hAnsi="Century Gothic"/>
          <w:sz w:val="19"/>
          <w:szCs w:val="19"/>
        </w:rPr>
        <w:t xml:space="preserve"> por cada fase del MPEG.</w:t>
      </w:r>
      <w:r w:rsidR="002906C9" w:rsidRPr="009A501D">
        <w:rPr>
          <w:rFonts w:ascii="Century Gothic" w:hAnsi="Century Gothic"/>
          <w:sz w:val="19"/>
          <w:szCs w:val="19"/>
        </w:rPr>
        <w:t xml:space="preserve"> Los Costos Indirectos se obtienen mediante el prorrateo de las </w:t>
      </w:r>
      <w:proofErr w:type="spellStart"/>
      <w:r w:rsidR="002906C9" w:rsidRPr="009A501D">
        <w:rPr>
          <w:rFonts w:ascii="Century Gothic" w:hAnsi="Century Gothic"/>
          <w:sz w:val="19"/>
          <w:szCs w:val="19"/>
        </w:rPr>
        <w:t>macroactividades</w:t>
      </w:r>
      <w:proofErr w:type="spellEnd"/>
      <w:r w:rsidR="002906C9" w:rsidRPr="009A501D">
        <w:rPr>
          <w:rFonts w:ascii="Century Gothic" w:hAnsi="Century Gothic"/>
          <w:sz w:val="19"/>
          <w:szCs w:val="19"/>
        </w:rPr>
        <w:t xml:space="preserve"> de las áreas temáticas transversales de forma equitativa entre los programas y fases del MPEG. De esta forma, los costos se asignan a través de una matriz de ponderaciones conforme a la clasificación del cuadro IV.2.2:</w:t>
      </w:r>
    </w:p>
    <w:p w14:paraId="485BF178" w14:textId="0EA65413" w:rsidR="009B3A86" w:rsidRPr="009A501D" w:rsidRDefault="009B3A86" w:rsidP="003D4647">
      <w:pPr>
        <w:spacing w:before="240"/>
        <w:jc w:val="center"/>
        <w:rPr>
          <w:rFonts w:ascii="Century Gothic" w:hAnsi="Century Gothic"/>
          <w:sz w:val="19"/>
          <w:szCs w:val="19"/>
        </w:rPr>
      </w:pPr>
      <w:r w:rsidRPr="009A501D">
        <w:rPr>
          <w:rFonts w:ascii="Century Gothic" w:hAnsi="Century Gothic"/>
          <w:b/>
          <w:sz w:val="19"/>
          <w:szCs w:val="19"/>
        </w:rPr>
        <w:t>IV.2.</w:t>
      </w:r>
      <w:r w:rsidR="006B0E6F" w:rsidRPr="009A501D">
        <w:rPr>
          <w:rFonts w:ascii="Century Gothic" w:hAnsi="Century Gothic"/>
          <w:b/>
          <w:sz w:val="19"/>
          <w:szCs w:val="19"/>
        </w:rPr>
        <w:t>2</w:t>
      </w:r>
      <w:r w:rsidRPr="009A501D">
        <w:rPr>
          <w:rFonts w:ascii="Century Gothic" w:hAnsi="Century Gothic"/>
          <w:b/>
          <w:sz w:val="19"/>
          <w:szCs w:val="19"/>
        </w:rPr>
        <w:t>. Áreas temáticas incluidas en el Modelo de Costos por Proceso</w:t>
      </w:r>
    </w:p>
    <w:tbl>
      <w:tblPr>
        <w:tblStyle w:val="Tablaconcuadrcula"/>
        <w:tblW w:w="0" w:type="auto"/>
        <w:tblLook w:val="04A0" w:firstRow="1" w:lastRow="0" w:firstColumn="1" w:lastColumn="0" w:noHBand="0" w:noVBand="1"/>
      </w:tblPr>
      <w:tblGrid>
        <w:gridCol w:w="4673"/>
        <w:gridCol w:w="6117"/>
      </w:tblGrid>
      <w:tr w:rsidR="00AF78D4" w:rsidRPr="009A501D" w14:paraId="6BC3345B" w14:textId="77777777" w:rsidTr="00664A1D">
        <w:tc>
          <w:tcPr>
            <w:tcW w:w="4673" w:type="dxa"/>
            <w:shd w:val="clear" w:color="auto" w:fill="002060"/>
          </w:tcPr>
          <w:p w14:paraId="69F6AADB" w14:textId="51EA5A1B" w:rsidR="00AF78D4" w:rsidRPr="009A501D" w:rsidRDefault="00AF78D4" w:rsidP="00664A1D">
            <w:pPr>
              <w:jc w:val="center"/>
              <w:rPr>
                <w:rFonts w:ascii="Century Gothic" w:hAnsi="Century Gothic"/>
                <w:b/>
                <w:sz w:val="16"/>
                <w:szCs w:val="16"/>
              </w:rPr>
            </w:pPr>
            <w:r w:rsidRPr="009A501D">
              <w:rPr>
                <w:rFonts w:ascii="Century Gothic" w:hAnsi="Century Gothic"/>
                <w:b/>
                <w:sz w:val="16"/>
                <w:szCs w:val="16"/>
              </w:rPr>
              <w:t>Áreas temáticas directas</w:t>
            </w:r>
          </w:p>
        </w:tc>
        <w:tc>
          <w:tcPr>
            <w:tcW w:w="6117" w:type="dxa"/>
            <w:shd w:val="clear" w:color="auto" w:fill="002060"/>
          </w:tcPr>
          <w:p w14:paraId="3705921D" w14:textId="65708F1D" w:rsidR="00AF78D4" w:rsidRPr="009A501D" w:rsidRDefault="00AF78D4" w:rsidP="00664A1D">
            <w:pPr>
              <w:jc w:val="center"/>
              <w:rPr>
                <w:rFonts w:ascii="Century Gothic" w:hAnsi="Century Gothic"/>
                <w:b/>
                <w:sz w:val="16"/>
                <w:szCs w:val="16"/>
              </w:rPr>
            </w:pPr>
            <w:r w:rsidRPr="009A501D">
              <w:rPr>
                <w:rFonts w:ascii="Century Gothic" w:hAnsi="Century Gothic"/>
                <w:b/>
                <w:sz w:val="16"/>
                <w:szCs w:val="16"/>
              </w:rPr>
              <w:t>Áreas temáticas transversales</w:t>
            </w:r>
          </w:p>
        </w:tc>
      </w:tr>
      <w:tr w:rsidR="00AF78D4" w:rsidRPr="009A501D" w14:paraId="5A65C3A6" w14:textId="77777777" w:rsidTr="00AF78D4">
        <w:tc>
          <w:tcPr>
            <w:tcW w:w="4673" w:type="dxa"/>
          </w:tcPr>
          <w:p w14:paraId="71CBF283" w14:textId="77777777"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Estadísticas Sociodemográficas</w:t>
            </w:r>
          </w:p>
          <w:p w14:paraId="38237C0F" w14:textId="09730882"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Estadísticas Económicas </w:t>
            </w:r>
          </w:p>
          <w:p w14:paraId="445B17A7" w14:textId="0E2D7A53"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Estadísticas de Gobierno, Seguridad Pública y Justicia </w:t>
            </w:r>
          </w:p>
          <w:p w14:paraId="75A73117" w14:textId="67C4043B"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Geografía y Medio Ambiente </w:t>
            </w:r>
          </w:p>
          <w:p w14:paraId="2A132DE0" w14:textId="5B8C3006"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Integración, Análisis e Investigación </w:t>
            </w:r>
            <w:r w:rsidR="00BD39FC" w:rsidRPr="009A501D">
              <w:rPr>
                <w:rFonts w:ascii="Century Gothic" w:hAnsi="Century Gothic"/>
                <w:sz w:val="16"/>
                <w:szCs w:val="16"/>
              </w:rPr>
              <w:t>(programas</w:t>
            </w:r>
            <w:r w:rsidR="005B3619" w:rsidRPr="009A501D">
              <w:rPr>
                <w:rFonts w:ascii="Century Gothic" w:hAnsi="Century Gothic"/>
                <w:sz w:val="16"/>
                <w:szCs w:val="16"/>
              </w:rPr>
              <w:t xml:space="preserve"> o procesos</w:t>
            </w:r>
            <w:r w:rsidR="00BD39FC" w:rsidRPr="009A501D">
              <w:rPr>
                <w:rFonts w:ascii="Century Gothic" w:hAnsi="Century Gothic"/>
                <w:sz w:val="16"/>
                <w:szCs w:val="16"/>
              </w:rPr>
              <w:t>)</w:t>
            </w:r>
          </w:p>
          <w:p w14:paraId="3CD3C138" w14:textId="238193D7"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Censo Agropecuario </w:t>
            </w:r>
          </w:p>
          <w:p w14:paraId="22A848D4" w14:textId="60D59F0B"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 xml:space="preserve">Censo de Población </w:t>
            </w:r>
          </w:p>
          <w:p w14:paraId="2CFEAB6F" w14:textId="78395CF3" w:rsidR="00AF78D4" w:rsidRPr="009A501D" w:rsidRDefault="00AF78D4" w:rsidP="00664A1D">
            <w:pPr>
              <w:pStyle w:val="Prrafodelista"/>
              <w:numPr>
                <w:ilvl w:val="0"/>
                <w:numId w:val="12"/>
              </w:numPr>
              <w:ind w:left="593" w:hanging="425"/>
              <w:rPr>
                <w:rFonts w:ascii="Century Gothic" w:hAnsi="Century Gothic"/>
                <w:sz w:val="16"/>
                <w:szCs w:val="16"/>
              </w:rPr>
            </w:pPr>
            <w:r w:rsidRPr="009A501D">
              <w:rPr>
                <w:rFonts w:ascii="Century Gothic" w:hAnsi="Century Gothic"/>
                <w:sz w:val="16"/>
                <w:szCs w:val="16"/>
              </w:rPr>
              <w:t>Censo Económico</w:t>
            </w:r>
          </w:p>
          <w:p w14:paraId="3ABC6E63" w14:textId="77777777" w:rsidR="00AF78D4" w:rsidRPr="009A501D" w:rsidRDefault="00AF78D4" w:rsidP="00664A1D">
            <w:pPr>
              <w:jc w:val="both"/>
              <w:rPr>
                <w:rFonts w:ascii="Century Gothic" w:hAnsi="Century Gothic"/>
                <w:sz w:val="16"/>
                <w:szCs w:val="16"/>
              </w:rPr>
            </w:pPr>
          </w:p>
        </w:tc>
        <w:tc>
          <w:tcPr>
            <w:tcW w:w="6117" w:type="dxa"/>
          </w:tcPr>
          <w:p w14:paraId="7244CDAC" w14:textId="77777777"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Administración </w:t>
            </w:r>
          </w:p>
          <w:p w14:paraId="54934335" w14:textId="33EC3C9F"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Asuntos Jurídicos </w:t>
            </w:r>
          </w:p>
          <w:p w14:paraId="30862EAF" w14:textId="580050BB"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Dirección y Administración Regional </w:t>
            </w:r>
          </w:p>
          <w:p w14:paraId="26B9AEAA" w14:textId="0F7A58F0"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Gastos centralizados </w:t>
            </w:r>
          </w:p>
          <w:p w14:paraId="3C6E8759" w14:textId="58FCEF93"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Informática </w:t>
            </w:r>
          </w:p>
          <w:p w14:paraId="774B4821" w14:textId="0F3E2B31"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Inversión y Obra Pública </w:t>
            </w:r>
          </w:p>
          <w:p w14:paraId="1E1B2249" w14:textId="300236E1"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Operación Regional </w:t>
            </w:r>
          </w:p>
          <w:p w14:paraId="6000143A" w14:textId="7DF8A27F" w:rsidR="00BD39FC" w:rsidRPr="009A501D" w:rsidRDefault="00BD39FC"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Integración, Análisis e Investigación </w:t>
            </w:r>
          </w:p>
          <w:p w14:paraId="11FF0D95" w14:textId="476F738F"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Órgano Interno de Control </w:t>
            </w:r>
          </w:p>
          <w:p w14:paraId="00B8D66A" w14:textId="383AF0EF"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Presidencia </w:t>
            </w:r>
          </w:p>
          <w:p w14:paraId="4E064659" w14:textId="6FBCEF76"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 xml:space="preserve">Sistema Nacional de Información Estadística y Geográfica </w:t>
            </w:r>
          </w:p>
          <w:p w14:paraId="69E39205" w14:textId="1E4F7394" w:rsidR="00AF78D4" w:rsidRPr="009A501D" w:rsidRDefault="00AF78D4" w:rsidP="00664A1D">
            <w:pPr>
              <w:pStyle w:val="Prrafodelista"/>
              <w:numPr>
                <w:ilvl w:val="0"/>
                <w:numId w:val="12"/>
              </w:numPr>
              <w:ind w:left="444" w:hanging="284"/>
              <w:jc w:val="both"/>
              <w:rPr>
                <w:rFonts w:ascii="Century Gothic" w:hAnsi="Century Gothic"/>
                <w:sz w:val="16"/>
                <w:szCs w:val="16"/>
              </w:rPr>
            </w:pPr>
            <w:r w:rsidRPr="009A501D">
              <w:rPr>
                <w:rFonts w:ascii="Century Gothic" w:hAnsi="Century Gothic"/>
                <w:sz w:val="16"/>
                <w:szCs w:val="16"/>
              </w:rPr>
              <w:t>Vinculación y Servicio Público de Información</w:t>
            </w:r>
          </w:p>
        </w:tc>
      </w:tr>
    </w:tbl>
    <w:p w14:paraId="20FD2DC8" w14:textId="258B03C1" w:rsidR="002C55D5" w:rsidRPr="009A501D" w:rsidRDefault="003D4647" w:rsidP="003D4647">
      <w:pPr>
        <w:spacing w:before="240"/>
        <w:jc w:val="both"/>
        <w:rPr>
          <w:rFonts w:ascii="Century Gothic" w:hAnsi="Century Gothic"/>
          <w:sz w:val="19"/>
          <w:szCs w:val="19"/>
        </w:rPr>
      </w:pPr>
      <w:r w:rsidRPr="009A501D">
        <w:rPr>
          <w:rFonts w:ascii="Century Gothic" w:hAnsi="Century Gothic"/>
          <w:sz w:val="19"/>
          <w:szCs w:val="19"/>
        </w:rPr>
        <w:t xml:space="preserve">En el cuadro IV.2.3, se muestran los costos totales, directos más indirectos, por método de generación </w:t>
      </w:r>
      <w:r w:rsidR="002C55D5" w:rsidRPr="009A501D">
        <w:rPr>
          <w:rFonts w:ascii="Century Gothic" w:hAnsi="Century Gothic"/>
          <w:sz w:val="19"/>
          <w:szCs w:val="19"/>
        </w:rPr>
        <w:t xml:space="preserve">y fase del MPEG. En 2022, los métodos de generación </w:t>
      </w:r>
      <w:r w:rsidR="00C66747" w:rsidRPr="009A501D">
        <w:rPr>
          <w:rFonts w:ascii="Century Gothic" w:hAnsi="Century Gothic"/>
          <w:sz w:val="19"/>
          <w:szCs w:val="19"/>
        </w:rPr>
        <w:t xml:space="preserve">a los que se destinaron más recursos fueron censos y encuestas probabilísticas, </w:t>
      </w:r>
      <w:r w:rsidR="00C66747" w:rsidRPr="009A501D">
        <w:rPr>
          <w:rFonts w:ascii="Century Gothic" w:hAnsi="Century Gothic"/>
          <w:sz w:val="19"/>
          <w:szCs w:val="19"/>
        </w:rPr>
        <w:lastRenderedPageBreak/>
        <w:t>seguidos de la información geográfica</w:t>
      </w:r>
      <w:r w:rsidR="002C55D5" w:rsidRPr="009A501D">
        <w:rPr>
          <w:rFonts w:ascii="Century Gothic" w:hAnsi="Century Gothic"/>
          <w:sz w:val="19"/>
          <w:szCs w:val="19"/>
        </w:rPr>
        <w:t xml:space="preserve">. </w:t>
      </w:r>
      <w:r w:rsidR="00C66747" w:rsidRPr="009A501D">
        <w:rPr>
          <w:rFonts w:ascii="Century Gothic" w:hAnsi="Century Gothic"/>
          <w:sz w:val="19"/>
          <w:szCs w:val="19"/>
        </w:rPr>
        <w:t xml:space="preserve">Las fases que más presupuesto obtuvieron fueron la captación </w:t>
      </w:r>
      <w:r w:rsidR="000C4CFD" w:rsidRPr="009A501D">
        <w:rPr>
          <w:rFonts w:ascii="Century Gothic" w:hAnsi="Century Gothic"/>
          <w:sz w:val="19"/>
          <w:szCs w:val="19"/>
        </w:rPr>
        <w:t>y</w:t>
      </w:r>
      <w:r w:rsidR="00C66747" w:rsidRPr="009A501D">
        <w:rPr>
          <w:rFonts w:ascii="Century Gothic" w:hAnsi="Century Gothic"/>
          <w:sz w:val="19"/>
          <w:szCs w:val="19"/>
        </w:rPr>
        <w:t xml:space="preserve"> procesamiento</w:t>
      </w:r>
      <w:r w:rsidR="000C4CFD" w:rsidRPr="009A501D">
        <w:rPr>
          <w:rFonts w:ascii="Century Gothic" w:hAnsi="Century Gothic"/>
          <w:sz w:val="19"/>
          <w:szCs w:val="19"/>
        </w:rPr>
        <w:t>, seguidas del diseño y análisis.</w:t>
      </w:r>
      <w:r w:rsidR="00F656C1" w:rsidRPr="009A501D">
        <w:rPr>
          <w:rFonts w:ascii="Century Gothic" w:hAnsi="Century Gothic"/>
          <w:sz w:val="19"/>
          <w:szCs w:val="19"/>
        </w:rPr>
        <w:t xml:space="preserve"> En el </w:t>
      </w:r>
      <w:r w:rsidR="00743189" w:rsidRPr="009A501D">
        <w:rPr>
          <w:rFonts w:ascii="Century Gothic" w:hAnsi="Century Gothic"/>
          <w:sz w:val="19"/>
          <w:szCs w:val="19"/>
        </w:rPr>
        <w:t>A</w:t>
      </w:r>
      <w:r w:rsidR="00F656C1" w:rsidRPr="009A501D">
        <w:rPr>
          <w:rFonts w:ascii="Century Gothic" w:hAnsi="Century Gothic"/>
          <w:sz w:val="19"/>
          <w:szCs w:val="19"/>
        </w:rPr>
        <w:t>nexo 7 se presentan los costos totales y la distribución por fase del MPEG para cada programa de información</w:t>
      </w:r>
      <w:r w:rsidR="000E7B34" w:rsidRPr="009A501D">
        <w:rPr>
          <w:rFonts w:ascii="Century Gothic" w:hAnsi="Century Gothic"/>
          <w:sz w:val="19"/>
          <w:szCs w:val="19"/>
        </w:rPr>
        <w:t xml:space="preserve"> </w:t>
      </w:r>
      <w:r w:rsidR="00F656C1" w:rsidRPr="009A501D">
        <w:rPr>
          <w:rFonts w:ascii="Century Gothic" w:hAnsi="Century Gothic"/>
          <w:sz w:val="19"/>
          <w:szCs w:val="19"/>
        </w:rPr>
        <w:t>que tuvo presupuesto en 2022.</w:t>
      </w:r>
    </w:p>
    <w:p w14:paraId="36C98E07" w14:textId="59605B7B" w:rsidR="009B3A86" w:rsidRPr="009A501D" w:rsidRDefault="009B3A86" w:rsidP="00664A1D">
      <w:pPr>
        <w:spacing w:before="240"/>
        <w:jc w:val="center"/>
        <w:rPr>
          <w:rFonts w:ascii="Century Gothic" w:hAnsi="Century Gothic"/>
          <w:sz w:val="19"/>
          <w:szCs w:val="19"/>
        </w:rPr>
      </w:pPr>
      <w:r w:rsidRPr="009A501D">
        <w:rPr>
          <w:rFonts w:ascii="Century Gothic" w:hAnsi="Century Gothic"/>
          <w:b/>
          <w:sz w:val="19"/>
          <w:szCs w:val="19"/>
        </w:rPr>
        <w:t>IV.2.3. Costos totales por fase del MPEG y método de generación</w:t>
      </w:r>
      <w:r w:rsidR="00EE4F8B" w:rsidRPr="009A501D">
        <w:rPr>
          <w:rFonts w:ascii="Century Gothic" w:hAnsi="Century Gothic"/>
          <w:b/>
          <w:sz w:val="19"/>
          <w:szCs w:val="19"/>
        </w:rPr>
        <w:t xml:space="preserve"> (millones de pesos)</w:t>
      </w:r>
    </w:p>
    <w:tbl>
      <w:tblPr>
        <w:tblW w:w="1063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42"/>
        <w:gridCol w:w="840"/>
        <w:gridCol w:w="1340"/>
        <w:gridCol w:w="1412"/>
        <w:gridCol w:w="1827"/>
        <w:gridCol w:w="1006"/>
        <w:gridCol w:w="1136"/>
        <w:gridCol w:w="1134"/>
      </w:tblGrid>
      <w:tr w:rsidR="00C66747" w:rsidRPr="009A501D" w14:paraId="2777CBE4" w14:textId="77777777" w:rsidTr="006E516C">
        <w:trPr>
          <w:trHeight w:val="284"/>
          <w:jc w:val="center"/>
        </w:trPr>
        <w:tc>
          <w:tcPr>
            <w:tcW w:w="1942" w:type="dxa"/>
            <w:shd w:val="clear" w:color="000000" w:fill="003366"/>
            <w:vAlign w:val="center"/>
            <w:hideMark/>
          </w:tcPr>
          <w:p w14:paraId="2845E9FB" w14:textId="4AC59F85" w:rsidR="00C66747" w:rsidRPr="009A501D" w:rsidRDefault="00C66747" w:rsidP="00E50026">
            <w:pPr>
              <w:spacing w:after="0" w:line="240" w:lineRule="auto"/>
              <w:rPr>
                <w:rFonts w:ascii="Century Gothic" w:eastAsia="Times New Roman" w:hAnsi="Century Gothic" w:cs="Calibri"/>
                <w:b/>
                <w:sz w:val="16"/>
                <w:szCs w:val="16"/>
                <w:lang w:eastAsia="es-MX"/>
              </w:rPr>
            </w:pPr>
            <w:r w:rsidRPr="009A501D">
              <w:rPr>
                <w:rFonts w:ascii="Century Gothic" w:eastAsia="Times New Roman" w:hAnsi="Century Gothic" w:cs="Calibri"/>
                <w:b/>
                <w:sz w:val="16"/>
                <w:szCs w:val="16"/>
                <w:lang w:eastAsia="es-MX"/>
              </w:rPr>
              <w:t> Fase del MPEG</w:t>
            </w:r>
          </w:p>
        </w:tc>
        <w:tc>
          <w:tcPr>
            <w:tcW w:w="840" w:type="dxa"/>
            <w:shd w:val="clear" w:color="000000" w:fill="003366"/>
            <w:vAlign w:val="center"/>
            <w:hideMark/>
          </w:tcPr>
          <w:p w14:paraId="1D2E03AC"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Censo</w:t>
            </w:r>
          </w:p>
        </w:tc>
        <w:tc>
          <w:tcPr>
            <w:tcW w:w="1340" w:type="dxa"/>
            <w:shd w:val="clear" w:color="000000" w:fill="003366"/>
            <w:vAlign w:val="center"/>
            <w:hideMark/>
          </w:tcPr>
          <w:p w14:paraId="094FADE3"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Encuesta probabilística</w:t>
            </w:r>
          </w:p>
        </w:tc>
        <w:tc>
          <w:tcPr>
            <w:tcW w:w="1412" w:type="dxa"/>
            <w:shd w:val="clear" w:color="000000" w:fill="003366"/>
            <w:vAlign w:val="center"/>
            <w:hideMark/>
          </w:tcPr>
          <w:p w14:paraId="50CE8D1E"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Encuesta por muestreo mixto</w:t>
            </w:r>
          </w:p>
        </w:tc>
        <w:tc>
          <w:tcPr>
            <w:tcW w:w="1827" w:type="dxa"/>
            <w:shd w:val="clear" w:color="000000" w:fill="003366"/>
            <w:vAlign w:val="center"/>
            <w:hideMark/>
          </w:tcPr>
          <w:p w14:paraId="1F08A5D2"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Aprovechamiento de fuentes administrativas</w:t>
            </w:r>
          </w:p>
        </w:tc>
        <w:tc>
          <w:tcPr>
            <w:tcW w:w="1006" w:type="dxa"/>
            <w:shd w:val="clear" w:color="000000" w:fill="003366"/>
            <w:vAlign w:val="center"/>
            <w:hideMark/>
          </w:tcPr>
          <w:p w14:paraId="29CE2EAD"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Estadística derivada</w:t>
            </w:r>
          </w:p>
        </w:tc>
        <w:tc>
          <w:tcPr>
            <w:tcW w:w="1136" w:type="dxa"/>
            <w:shd w:val="clear" w:color="000000" w:fill="003366"/>
            <w:vAlign w:val="center"/>
            <w:hideMark/>
          </w:tcPr>
          <w:p w14:paraId="65E15DF7"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Información geográfica</w:t>
            </w:r>
          </w:p>
        </w:tc>
        <w:tc>
          <w:tcPr>
            <w:tcW w:w="1134" w:type="dxa"/>
            <w:shd w:val="clear" w:color="000000" w:fill="003366"/>
            <w:vAlign w:val="center"/>
            <w:hideMark/>
          </w:tcPr>
          <w:p w14:paraId="11DEB2A3" w14:textId="77777777" w:rsidR="00C66747" w:rsidRPr="009A501D" w:rsidRDefault="00C66747" w:rsidP="00E50026">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Costos totales por fase</w:t>
            </w:r>
          </w:p>
        </w:tc>
      </w:tr>
      <w:tr w:rsidR="00C66747" w:rsidRPr="009A501D" w14:paraId="750D2CC8" w14:textId="77777777" w:rsidTr="006E516C">
        <w:trPr>
          <w:trHeight w:val="284"/>
          <w:jc w:val="center"/>
        </w:trPr>
        <w:tc>
          <w:tcPr>
            <w:tcW w:w="1942" w:type="dxa"/>
            <w:shd w:val="clear" w:color="auto" w:fill="auto"/>
            <w:vAlign w:val="center"/>
            <w:hideMark/>
          </w:tcPr>
          <w:p w14:paraId="39D5B7E7"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Documentación de necesidades</w:t>
            </w:r>
          </w:p>
        </w:tc>
        <w:tc>
          <w:tcPr>
            <w:tcW w:w="840" w:type="dxa"/>
            <w:shd w:val="clear" w:color="auto" w:fill="auto"/>
            <w:noWrap/>
            <w:vAlign w:val="center"/>
            <w:hideMark/>
          </w:tcPr>
          <w:p w14:paraId="56FCFD19" w14:textId="62D4D88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162.5</w:t>
            </w:r>
          </w:p>
        </w:tc>
        <w:tc>
          <w:tcPr>
            <w:tcW w:w="1340" w:type="dxa"/>
            <w:shd w:val="clear" w:color="auto" w:fill="auto"/>
            <w:noWrap/>
            <w:vAlign w:val="center"/>
            <w:hideMark/>
          </w:tcPr>
          <w:p w14:paraId="42867C4D" w14:textId="61F21004"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112.5</w:t>
            </w:r>
          </w:p>
        </w:tc>
        <w:tc>
          <w:tcPr>
            <w:tcW w:w="1412" w:type="dxa"/>
            <w:shd w:val="clear" w:color="auto" w:fill="auto"/>
            <w:noWrap/>
            <w:vAlign w:val="center"/>
            <w:hideMark/>
          </w:tcPr>
          <w:p w14:paraId="3C5B761B" w14:textId="7BABFD40"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827" w:type="dxa"/>
            <w:shd w:val="clear" w:color="auto" w:fill="auto"/>
            <w:noWrap/>
            <w:vAlign w:val="center"/>
            <w:hideMark/>
          </w:tcPr>
          <w:p w14:paraId="1BCEC560" w14:textId="225C21A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40.1</w:t>
            </w:r>
          </w:p>
        </w:tc>
        <w:tc>
          <w:tcPr>
            <w:tcW w:w="1006" w:type="dxa"/>
            <w:shd w:val="clear" w:color="auto" w:fill="auto"/>
            <w:noWrap/>
            <w:vAlign w:val="center"/>
            <w:hideMark/>
          </w:tcPr>
          <w:p w14:paraId="6676A600" w14:textId="31DBD82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21.3</w:t>
            </w:r>
          </w:p>
        </w:tc>
        <w:tc>
          <w:tcPr>
            <w:tcW w:w="1136" w:type="dxa"/>
            <w:shd w:val="clear" w:color="auto" w:fill="auto"/>
            <w:noWrap/>
            <w:vAlign w:val="center"/>
            <w:hideMark/>
          </w:tcPr>
          <w:p w14:paraId="70CB3BB1" w14:textId="6CF5196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62.35</w:t>
            </w:r>
          </w:p>
        </w:tc>
        <w:tc>
          <w:tcPr>
            <w:tcW w:w="1134" w:type="dxa"/>
            <w:shd w:val="clear" w:color="auto" w:fill="auto"/>
            <w:noWrap/>
            <w:vAlign w:val="center"/>
            <w:hideMark/>
          </w:tcPr>
          <w:p w14:paraId="3FBDF282" w14:textId="539C3C4C"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400.3</w:t>
            </w:r>
          </w:p>
        </w:tc>
      </w:tr>
      <w:tr w:rsidR="00C66747" w:rsidRPr="009A501D" w14:paraId="6723ADD2" w14:textId="77777777" w:rsidTr="00664A1D">
        <w:trPr>
          <w:trHeight w:val="284"/>
          <w:jc w:val="center"/>
        </w:trPr>
        <w:tc>
          <w:tcPr>
            <w:tcW w:w="1942" w:type="dxa"/>
            <w:shd w:val="clear" w:color="auto" w:fill="F2F2F2" w:themeFill="background1" w:themeFillShade="F2"/>
            <w:vAlign w:val="center"/>
            <w:hideMark/>
          </w:tcPr>
          <w:p w14:paraId="157BE068"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Diseño</w:t>
            </w:r>
          </w:p>
        </w:tc>
        <w:tc>
          <w:tcPr>
            <w:tcW w:w="840" w:type="dxa"/>
            <w:shd w:val="clear" w:color="auto" w:fill="F2F2F2" w:themeFill="background1" w:themeFillShade="F2"/>
            <w:noWrap/>
            <w:vAlign w:val="center"/>
            <w:hideMark/>
          </w:tcPr>
          <w:p w14:paraId="4C5CB10D" w14:textId="516F4A3A"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242.8</w:t>
            </w:r>
          </w:p>
        </w:tc>
        <w:tc>
          <w:tcPr>
            <w:tcW w:w="1340" w:type="dxa"/>
            <w:shd w:val="clear" w:color="auto" w:fill="F2F2F2" w:themeFill="background1" w:themeFillShade="F2"/>
            <w:noWrap/>
            <w:vAlign w:val="center"/>
            <w:hideMark/>
          </w:tcPr>
          <w:p w14:paraId="1B010D33" w14:textId="77D7B1E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436.8</w:t>
            </w:r>
          </w:p>
        </w:tc>
        <w:tc>
          <w:tcPr>
            <w:tcW w:w="1412" w:type="dxa"/>
            <w:shd w:val="clear" w:color="auto" w:fill="F2F2F2" w:themeFill="background1" w:themeFillShade="F2"/>
            <w:noWrap/>
            <w:vAlign w:val="center"/>
            <w:hideMark/>
          </w:tcPr>
          <w:p w14:paraId="12643054" w14:textId="72547085"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5.4</w:t>
            </w:r>
          </w:p>
        </w:tc>
        <w:tc>
          <w:tcPr>
            <w:tcW w:w="1827" w:type="dxa"/>
            <w:shd w:val="clear" w:color="auto" w:fill="F2F2F2" w:themeFill="background1" w:themeFillShade="F2"/>
            <w:noWrap/>
            <w:vAlign w:val="center"/>
            <w:hideMark/>
          </w:tcPr>
          <w:p w14:paraId="289EAEFB" w14:textId="02DD57D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18.5</w:t>
            </w:r>
          </w:p>
        </w:tc>
        <w:tc>
          <w:tcPr>
            <w:tcW w:w="1006" w:type="dxa"/>
            <w:shd w:val="clear" w:color="auto" w:fill="F2F2F2" w:themeFill="background1" w:themeFillShade="F2"/>
            <w:noWrap/>
            <w:vAlign w:val="center"/>
            <w:hideMark/>
          </w:tcPr>
          <w:p w14:paraId="6AAB89F4" w14:textId="547E2434"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30.9</w:t>
            </w:r>
          </w:p>
        </w:tc>
        <w:tc>
          <w:tcPr>
            <w:tcW w:w="1136" w:type="dxa"/>
            <w:shd w:val="clear" w:color="auto" w:fill="F2F2F2" w:themeFill="background1" w:themeFillShade="F2"/>
            <w:noWrap/>
            <w:vAlign w:val="center"/>
            <w:hideMark/>
          </w:tcPr>
          <w:p w14:paraId="51D84D60" w14:textId="54A18184"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76.78</w:t>
            </w:r>
          </w:p>
        </w:tc>
        <w:tc>
          <w:tcPr>
            <w:tcW w:w="1134" w:type="dxa"/>
            <w:shd w:val="clear" w:color="auto" w:fill="F2F2F2" w:themeFill="background1" w:themeFillShade="F2"/>
            <w:noWrap/>
            <w:vAlign w:val="center"/>
            <w:hideMark/>
          </w:tcPr>
          <w:p w14:paraId="721D3FC0" w14:textId="3CAC1B45"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811.2</w:t>
            </w:r>
          </w:p>
        </w:tc>
      </w:tr>
      <w:tr w:rsidR="00C66747" w:rsidRPr="009A501D" w14:paraId="6789E1B3" w14:textId="77777777" w:rsidTr="006E516C">
        <w:trPr>
          <w:trHeight w:val="284"/>
          <w:jc w:val="center"/>
        </w:trPr>
        <w:tc>
          <w:tcPr>
            <w:tcW w:w="1942" w:type="dxa"/>
            <w:shd w:val="clear" w:color="auto" w:fill="auto"/>
            <w:vAlign w:val="center"/>
            <w:hideMark/>
          </w:tcPr>
          <w:p w14:paraId="5ED041E8"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Construcción</w:t>
            </w:r>
          </w:p>
        </w:tc>
        <w:tc>
          <w:tcPr>
            <w:tcW w:w="840" w:type="dxa"/>
            <w:shd w:val="clear" w:color="auto" w:fill="auto"/>
            <w:noWrap/>
            <w:vAlign w:val="center"/>
            <w:hideMark/>
          </w:tcPr>
          <w:p w14:paraId="767D3B58" w14:textId="3D110A5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93.7</w:t>
            </w:r>
          </w:p>
        </w:tc>
        <w:tc>
          <w:tcPr>
            <w:tcW w:w="1340" w:type="dxa"/>
            <w:shd w:val="clear" w:color="auto" w:fill="auto"/>
            <w:noWrap/>
            <w:vAlign w:val="center"/>
            <w:hideMark/>
          </w:tcPr>
          <w:p w14:paraId="3D5A858C" w14:textId="471CE20B"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238.8</w:t>
            </w:r>
          </w:p>
        </w:tc>
        <w:tc>
          <w:tcPr>
            <w:tcW w:w="1412" w:type="dxa"/>
            <w:shd w:val="clear" w:color="auto" w:fill="auto"/>
            <w:noWrap/>
            <w:vAlign w:val="center"/>
            <w:hideMark/>
          </w:tcPr>
          <w:p w14:paraId="54C218F6" w14:textId="5E50C736"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9.0</w:t>
            </w:r>
          </w:p>
        </w:tc>
        <w:tc>
          <w:tcPr>
            <w:tcW w:w="1827" w:type="dxa"/>
            <w:shd w:val="clear" w:color="auto" w:fill="auto"/>
            <w:noWrap/>
            <w:vAlign w:val="center"/>
            <w:hideMark/>
          </w:tcPr>
          <w:p w14:paraId="35446BB0" w14:textId="3ADF17C0"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15.1</w:t>
            </w:r>
          </w:p>
        </w:tc>
        <w:tc>
          <w:tcPr>
            <w:tcW w:w="1006" w:type="dxa"/>
            <w:shd w:val="clear" w:color="auto" w:fill="auto"/>
            <w:noWrap/>
            <w:vAlign w:val="center"/>
            <w:hideMark/>
          </w:tcPr>
          <w:p w14:paraId="1CE3FC02" w14:textId="39B04AAE"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20.5</w:t>
            </w:r>
          </w:p>
        </w:tc>
        <w:tc>
          <w:tcPr>
            <w:tcW w:w="1136" w:type="dxa"/>
            <w:shd w:val="clear" w:color="auto" w:fill="auto"/>
            <w:noWrap/>
            <w:vAlign w:val="center"/>
            <w:hideMark/>
          </w:tcPr>
          <w:p w14:paraId="71478DA0" w14:textId="6592ACBB"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99.59</w:t>
            </w:r>
          </w:p>
        </w:tc>
        <w:tc>
          <w:tcPr>
            <w:tcW w:w="1134" w:type="dxa"/>
            <w:shd w:val="clear" w:color="auto" w:fill="auto"/>
            <w:noWrap/>
            <w:vAlign w:val="center"/>
            <w:hideMark/>
          </w:tcPr>
          <w:p w14:paraId="6111161B" w14:textId="6B5BBD65"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476.6</w:t>
            </w:r>
          </w:p>
        </w:tc>
      </w:tr>
      <w:tr w:rsidR="00C66747" w:rsidRPr="009A501D" w14:paraId="73A41495" w14:textId="77777777" w:rsidTr="00664A1D">
        <w:trPr>
          <w:trHeight w:val="284"/>
          <w:jc w:val="center"/>
        </w:trPr>
        <w:tc>
          <w:tcPr>
            <w:tcW w:w="1942" w:type="dxa"/>
            <w:shd w:val="clear" w:color="auto" w:fill="F2F2F2" w:themeFill="background1" w:themeFillShade="F2"/>
            <w:vAlign w:val="center"/>
            <w:hideMark/>
          </w:tcPr>
          <w:p w14:paraId="2FA46C57"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Captación</w:t>
            </w:r>
          </w:p>
        </w:tc>
        <w:tc>
          <w:tcPr>
            <w:tcW w:w="840" w:type="dxa"/>
            <w:shd w:val="clear" w:color="auto" w:fill="F2F2F2" w:themeFill="background1" w:themeFillShade="F2"/>
            <w:noWrap/>
            <w:vAlign w:val="center"/>
            <w:hideMark/>
          </w:tcPr>
          <w:p w14:paraId="51DD170D" w14:textId="28BF10A1"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2,179.4</w:t>
            </w:r>
          </w:p>
        </w:tc>
        <w:tc>
          <w:tcPr>
            <w:tcW w:w="1340" w:type="dxa"/>
            <w:shd w:val="clear" w:color="auto" w:fill="F2F2F2" w:themeFill="background1" w:themeFillShade="F2"/>
            <w:noWrap/>
            <w:vAlign w:val="center"/>
            <w:hideMark/>
          </w:tcPr>
          <w:p w14:paraId="29CA3892" w14:textId="6E898BF0"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2,468.6</w:t>
            </w:r>
          </w:p>
        </w:tc>
        <w:tc>
          <w:tcPr>
            <w:tcW w:w="1412" w:type="dxa"/>
            <w:shd w:val="clear" w:color="auto" w:fill="F2F2F2" w:themeFill="background1" w:themeFillShade="F2"/>
            <w:noWrap/>
            <w:vAlign w:val="center"/>
            <w:hideMark/>
          </w:tcPr>
          <w:p w14:paraId="4DE913A0" w14:textId="4B520A52"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574.4</w:t>
            </w:r>
          </w:p>
        </w:tc>
        <w:tc>
          <w:tcPr>
            <w:tcW w:w="1827" w:type="dxa"/>
            <w:shd w:val="clear" w:color="auto" w:fill="F2F2F2" w:themeFill="background1" w:themeFillShade="F2"/>
            <w:noWrap/>
            <w:vAlign w:val="center"/>
            <w:hideMark/>
          </w:tcPr>
          <w:p w14:paraId="01A2D21F" w14:textId="56EBBE30"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436.0</w:t>
            </w:r>
          </w:p>
        </w:tc>
        <w:tc>
          <w:tcPr>
            <w:tcW w:w="1006" w:type="dxa"/>
            <w:shd w:val="clear" w:color="auto" w:fill="F2F2F2" w:themeFill="background1" w:themeFillShade="F2"/>
            <w:noWrap/>
            <w:vAlign w:val="center"/>
            <w:hideMark/>
          </w:tcPr>
          <w:p w14:paraId="5E639F70" w14:textId="79E6655D"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224.9</w:t>
            </w:r>
          </w:p>
        </w:tc>
        <w:tc>
          <w:tcPr>
            <w:tcW w:w="1136" w:type="dxa"/>
            <w:shd w:val="clear" w:color="auto" w:fill="F2F2F2" w:themeFill="background1" w:themeFillShade="F2"/>
            <w:noWrap/>
            <w:vAlign w:val="center"/>
            <w:hideMark/>
          </w:tcPr>
          <w:p w14:paraId="2EE88406" w14:textId="1BE087C3"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356.55</w:t>
            </w:r>
          </w:p>
        </w:tc>
        <w:tc>
          <w:tcPr>
            <w:tcW w:w="1134" w:type="dxa"/>
            <w:shd w:val="clear" w:color="auto" w:fill="F2F2F2" w:themeFill="background1" w:themeFillShade="F2"/>
            <w:noWrap/>
            <w:vAlign w:val="center"/>
            <w:hideMark/>
          </w:tcPr>
          <w:p w14:paraId="291DB48C" w14:textId="1447B978"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6,239.8</w:t>
            </w:r>
          </w:p>
        </w:tc>
      </w:tr>
      <w:tr w:rsidR="00C66747" w:rsidRPr="009A501D" w14:paraId="6F270F15" w14:textId="77777777" w:rsidTr="006E516C">
        <w:trPr>
          <w:trHeight w:val="284"/>
          <w:jc w:val="center"/>
        </w:trPr>
        <w:tc>
          <w:tcPr>
            <w:tcW w:w="1942" w:type="dxa"/>
            <w:shd w:val="clear" w:color="auto" w:fill="auto"/>
            <w:vAlign w:val="center"/>
            <w:hideMark/>
          </w:tcPr>
          <w:p w14:paraId="78B67B08"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Procesamiento</w:t>
            </w:r>
          </w:p>
        </w:tc>
        <w:tc>
          <w:tcPr>
            <w:tcW w:w="840" w:type="dxa"/>
            <w:shd w:val="clear" w:color="auto" w:fill="auto"/>
            <w:noWrap/>
            <w:vAlign w:val="center"/>
            <w:hideMark/>
          </w:tcPr>
          <w:p w14:paraId="0B9AD91F" w14:textId="6B2B2BAA"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70.5</w:t>
            </w:r>
          </w:p>
        </w:tc>
        <w:tc>
          <w:tcPr>
            <w:tcW w:w="1340" w:type="dxa"/>
            <w:shd w:val="clear" w:color="auto" w:fill="auto"/>
            <w:noWrap/>
            <w:vAlign w:val="center"/>
            <w:hideMark/>
          </w:tcPr>
          <w:p w14:paraId="4E882D70" w14:textId="444A23C5"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259.2</w:t>
            </w:r>
          </w:p>
        </w:tc>
        <w:tc>
          <w:tcPr>
            <w:tcW w:w="1412" w:type="dxa"/>
            <w:shd w:val="clear" w:color="auto" w:fill="auto"/>
            <w:noWrap/>
            <w:vAlign w:val="center"/>
            <w:hideMark/>
          </w:tcPr>
          <w:p w14:paraId="5943FDD9" w14:textId="3B315F3F"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104.5</w:t>
            </w:r>
          </w:p>
        </w:tc>
        <w:tc>
          <w:tcPr>
            <w:tcW w:w="1827" w:type="dxa"/>
            <w:shd w:val="clear" w:color="auto" w:fill="auto"/>
            <w:noWrap/>
            <w:vAlign w:val="center"/>
            <w:hideMark/>
          </w:tcPr>
          <w:p w14:paraId="206E57B5" w14:textId="0E32B51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89.4</w:t>
            </w:r>
          </w:p>
        </w:tc>
        <w:tc>
          <w:tcPr>
            <w:tcW w:w="1006" w:type="dxa"/>
            <w:shd w:val="clear" w:color="auto" w:fill="auto"/>
            <w:noWrap/>
            <w:vAlign w:val="center"/>
            <w:hideMark/>
          </w:tcPr>
          <w:p w14:paraId="4427877B" w14:textId="12CEFEF2"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109.6</w:t>
            </w:r>
          </w:p>
        </w:tc>
        <w:tc>
          <w:tcPr>
            <w:tcW w:w="1136" w:type="dxa"/>
            <w:shd w:val="clear" w:color="auto" w:fill="auto"/>
            <w:noWrap/>
            <w:vAlign w:val="center"/>
            <w:hideMark/>
          </w:tcPr>
          <w:p w14:paraId="3B855386" w14:textId="5958AE7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416.52</w:t>
            </w:r>
          </w:p>
        </w:tc>
        <w:tc>
          <w:tcPr>
            <w:tcW w:w="1134" w:type="dxa"/>
            <w:shd w:val="clear" w:color="auto" w:fill="auto"/>
            <w:noWrap/>
            <w:vAlign w:val="center"/>
            <w:hideMark/>
          </w:tcPr>
          <w:p w14:paraId="04E20D5B" w14:textId="73B03BEF"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1,049.7</w:t>
            </w:r>
          </w:p>
        </w:tc>
      </w:tr>
      <w:tr w:rsidR="00C66747" w:rsidRPr="009A501D" w14:paraId="20E677CC" w14:textId="77777777" w:rsidTr="00664A1D">
        <w:trPr>
          <w:trHeight w:val="284"/>
          <w:jc w:val="center"/>
        </w:trPr>
        <w:tc>
          <w:tcPr>
            <w:tcW w:w="1942" w:type="dxa"/>
            <w:shd w:val="clear" w:color="auto" w:fill="F2F2F2" w:themeFill="background1" w:themeFillShade="F2"/>
            <w:vAlign w:val="center"/>
            <w:hideMark/>
          </w:tcPr>
          <w:p w14:paraId="487A8D38"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Análisis de la producción</w:t>
            </w:r>
          </w:p>
        </w:tc>
        <w:tc>
          <w:tcPr>
            <w:tcW w:w="840" w:type="dxa"/>
            <w:shd w:val="clear" w:color="auto" w:fill="F2F2F2" w:themeFill="background1" w:themeFillShade="F2"/>
            <w:noWrap/>
            <w:vAlign w:val="center"/>
            <w:hideMark/>
          </w:tcPr>
          <w:p w14:paraId="20886919" w14:textId="2E4A7A7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100.6</w:t>
            </w:r>
          </w:p>
        </w:tc>
        <w:tc>
          <w:tcPr>
            <w:tcW w:w="1340" w:type="dxa"/>
            <w:shd w:val="clear" w:color="auto" w:fill="F2F2F2" w:themeFill="background1" w:themeFillShade="F2"/>
            <w:noWrap/>
            <w:vAlign w:val="center"/>
            <w:hideMark/>
          </w:tcPr>
          <w:p w14:paraId="2C34B010" w14:textId="781B116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249.7</w:t>
            </w:r>
          </w:p>
        </w:tc>
        <w:tc>
          <w:tcPr>
            <w:tcW w:w="1412" w:type="dxa"/>
            <w:shd w:val="clear" w:color="auto" w:fill="F2F2F2" w:themeFill="background1" w:themeFillShade="F2"/>
            <w:noWrap/>
            <w:vAlign w:val="center"/>
            <w:hideMark/>
          </w:tcPr>
          <w:p w14:paraId="7C531054" w14:textId="3F851D32"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52.5</w:t>
            </w:r>
          </w:p>
        </w:tc>
        <w:tc>
          <w:tcPr>
            <w:tcW w:w="1827" w:type="dxa"/>
            <w:shd w:val="clear" w:color="auto" w:fill="F2F2F2" w:themeFill="background1" w:themeFillShade="F2"/>
            <w:noWrap/>
            <w:vAlign w:val="center"/>
            <w:hideMark/>
          </w:tcPr>
          <w:p w14:paraId="19A66167" w14:textId="3FDDCFFE"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63.4</w:t>
            </w:r>
          </w:p>
        </w:tc>
        <w:tc>
          <w:tcPr>
            <w:tcW w:w="1006" w:type="dxa"/>
            <w:shd w:val="clear" w:color="auto" w:fill="F2F2F2" w:themeFill="background1" w:themeFillShade="F2"/>
            <w:noWrap/>
            <w:vAlign w:val="center"/>
            <w:hideMark/>
          </w:tcPr>
          <w:p w14:paraId="1EF35BB3" w14:textId="62218065"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143.4</w:t>
            </w:r>
          </w:p>
        </w:tc>
        <w:tc>
          <w:tcPr>
            <w:tcW w:w="1136" w:type="dxa"/>
            <w:shd w:val="clear" w:color="auto" w:fill="F2F2F2" w:themeFill="background1" w:themeFillShade="F2"/>
            <w:noWrap/>
            <w:vAlign w:val="center"/>
            <w:hideMark/>
          </w:tcPr>
          <w:p w14:paraId="7911AD1A" w14:textId="68F0807B"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140.80</w:t>
            </w:r>
          </w:p>
        </w:tc>
        <w:tc>
          <w:tcPr>
            <w:tcW w:w="1134" w:type="dxa"/>
            <w:shd w:val="clear" w:color="auto" w:fill="F2F2F2" w:themeFill="background1" w:themeFillShade="F2"/>
            <w:noWrap/>
            <w:vAlign w:val="center"/>
            <w:hideMark/>
          </w:tcPr>
          <w:p w14:paraId="362ABECC" w14:textId="133C8C66"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750.5</w:t>
            </w:r>
          </w:p>
        </w:tc>
      </w:tr>
      <w:tr w:rsidR="00C66747" w:rsidRPr="009A501D" w14:paraId="75FB4D39" w14:textId="77777777" w:rsidTr="006E516C">
        <w:trPr>
          <w:trHeight w:val="284"/>
          <w:jc w:val="center"/>
        </w:trPr>
        <w:tc>
          <w:tcPr>
            <w:tcW w:w="1942" w:type="dxa"/>
            <w:shd w:val="clear" w:color="auto" w:fill="auto"/>
            <w:vAlign w:val="center"/>
            <w:hideMark/>
          </w:tcPr>
          <w:p w14:paraId="448E7EDD"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Difusión</w:t>
            </w:r>
          </w:p>
        </w:tc>
        <w:tc>
          <w:tcPr>
            <w:tcW w:w="840" w:type="dxa"/>
            <w:shd w:val="clear" w:color="auto" w:fill="auto"/>
            <w:noWrap/>
            <w:vAlign w:val="center"/>
            <w:hideMark/>
          </w:tcPr>
          <w:p w14:paraId="29A5AF24" w14:textId="5EC49DA0"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115.3</w:t>
            </w:r>
          </w:p>
        </w:tc>
        <w:tc>
          <w:tcPr>
            <w:tcW w:w="1340" w:type="dxa"/>
            <w:shd w:val="clear" w:color="auto" w:fill="auto"/>
            <w:noWrap/>
            <w:vAlign w:val="center"/>
            <w:hideMark/>
          </w:tcPr>
          <w:p w14:paraId="543CBD29" w14:textId="26DE4B59"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160.1</w:t>
            </w:r>
          </w:p>
        </w:tc>
        <w:tc>
          <w:tcPr>
            <w:tcW w:w="1412" w:type="dxa"/>
            <w:shd w:val="clear" w:color="auto" w:fill="auto"/>
            <w:noWrap/>
            <w:vAlign w:val="center"/>
            <w:hideMark/>
          </w:tcPr>
          <w:p w14:paraId="3931B9DE" w14:textId="685D792E"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w:t>
            </w:r>
          </w:p>
        </w:tc>
        <w:tc>
          <w:tcPr>
            <w:tcW w:w="1827" w:type="dxa"/>
            <w:shd w:val="clear" w:color="auto" w:fill="auto"/>
            <w:noWrap/>
            <w:vAlign w:val="center"/>
            <w:hideMark/>
          </w:tcPr>
          <w:p w14:paraId="43B449AC" w14:textId="1BBC2891"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12.8</w:t>
            </w:r>
          </w:p>
        </w:tc>
        <w:tc>
          <w:tcPr>
            <w:tcW w:w="1006" w:type="dxa"/>
            <w:shd w:val="clear" w:color="auto" w:fill="auto"/>
            <w:noWrap/>
            <w:vAlign w:val="center"/>
            <w:hideMark/>
          </w:tcPr>
          <w:p w14:paraId="767B2505" w14:textId="1E95E087"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36" w:type="dxa"/>
            <w:shd w:val="clear" w:color="auto" w:fill="auto"/>
            <w:noWrap/>
            <w:vAlign w:val="center"/>
            <w:hideMark/>
          </w:tcPr>
          <w:p w14:paraId="6D483357" w14:textId="2560C001"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17.96</w:t>
            </w:r>
          </w:p>
        </w:tc>
        <w:tc>
          <w:tcPr>
            <w:tcW w:w="1134" w:type="dxa"/>
            <w:shd w:val="clear" w:color="auto" w:fill="auto"/>
            <w:noWrap/>
            <w:vAlign w:val="center"/>
            <w:hideMark/>
          </w:tcPr>
          <w:p w14:paraId="05E67AA2" w14:textId="61F1EEAB"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307.5</w:t>
            </w:r>
          </w:p>
        </w:tc>
      </w:tr>
      <w:tr w:rsidR="00C66747" w:rsidRPr="009A501D" w14:paraId="04CE409E" w14:textId="77777777" w:rsidTr="00664A1D">
        <w:trPr>
          <w:trHeight w:val="284"/>
          <w:jc w:val="center"/>
        </w:trPr>
        <w:tc>
          <w:tcPr>
            <w:tcW w:w="1942" w:type="dxa"/>
            <w:shd w:val="clear" w:color="auto" w:fill="F2F2F2" w:themeFill="background1" w:themeFillShade="F2"/>
            <w:vAlign w:val="center"/>
            <w:hideMark/>
          </w:tcPr>
          <w:p w14:paraId="44CE82A3" w14:textId="77777777" w:rsidR="00C66747" w:rsidRPr="009A501D" w:rsidRDefault="00C66747" w:rsidP="00E50026">
            <w:pPr>
              <w:spacing w:after="0" w:line="240" w:lineRule="auto"/>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Evaluación del proceso</w:t>
            </w:r>
          </w:p>
        </w:tc>
        <w:tc>
          <w:tcPr>
            <w:tcW w:w="840" w:type="dxa"/>
            <w:shd w:val="clear" w:color="auto" w:fill="F2F2F2" w:themeFill="background1" w:themeFillShade="F2"/>
            <w:noWrap/>
            <w:vAlign w:val="center"/>
            <w:hideMark/>
          </w:tcPr>
          <w:p w14:paraId="417675AA" w14:textId="43F3C03B"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249.2</w:t>
            </w:r>
          </w:p>
        </w:tc>
        <w:tc>
          <w:tcPr>
            <w:tcW w:w="1340" w:type="dxa"/>
            <w:shd w:val="clear" w:color="auto" w:fill="F2F2F2" w:themeFill="background1" w:themeFillShade="F2"/>
            <w:noWrap/>
            <w:vAlign w:val="center"/>
            <w:hideMark/>
          </w:tcPr>
          <w:p w14:paraId="788CDB6A" w14:textId="36697E3F"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51.6</w:t>
            </w:r>
          </w:p>
        </w:tc>
        <w:tc>
          <w:tcPr>
            <w:tcW w:w="1412" w:type="dxa"/>
            <w:shd w:val="clear" w:color="auto" w:fill="F2F2F2" w:themeFill="background1" w:themeFillShade="F2"/>
            <w:noWrap/>
            <w:vAlign w:val="center"/>
            <w:hideMark/>
          </w:tcPr>
          <w:p w14:paraId="4ECA577C" w14:textId="5A5D2C2D"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6.0</w:t>
            </w:r>
          </w:p>
        </w:tc>
        <w:tc>
          <w:tcPr>
            <w:tcW w:w="1827" w:type="dxa"/>
            <w:shd w:val="clear" w:color="auto" w:fill="F2F2F2" w:themeFill="background1" w:themeFillShade="F2"/>
            <w:noWrap/>
            <w:vAlign w:val="center"/>
            <w:hideMark/>
          </w:tcPr>
          <w:p w14:paraId="438B1221" w14:textId="6E25DBE9"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51.0</w:t>
            </w:r>
          </w:p>
        </w:tc>
        <w:tc>
          <w:tcPr>
            <w:tcW w:w="1006" w:type="dxa"/>
            <w:shd w:val="clear" w:color="auto" w:fill="F2F2F2" w:themeFill="background1" w:themeFillShade="F2"/>
            <w:noWrap/>
            <w:vAlign w:val="center"/>
            <w:hideMark/>
          </w:tcPr>
          <w:p w14:paraId="49434CE9" w14:textId="6C5A4456"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25.0</w:t>
            </w:r>
          </w:p>
        </w:tc>
        <w:tc>
          <w:tcPr>
            <w:tcW w:w="1136" w:type="dxa"/>
            <w:shd w:val="clear" w:color="auto" w:fill="F2F2F2" w:themeFill="background1" w:themeFillShade="F2"/>
            <w:noWrap/>
            <w:vAlign w:val="center"/>
            <w:hideMark/>
          </w:tcPr>
          <w:p w14:paraId="35EA6714" w14:textId="396E1A3C" w:rsidR="00C66747" w:rsidRPr="009A501D" w:rsidRDefault="00C66747" w:rsidP="00664A1D">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67.93</w:t>
            </w:r>
          </w:p>
        </w:tc>
        <w:tc>
          <w:tcPr>
            <w:tcW w:w="1134" w:type="dxa"/>
            <w:shd w:val="clear" w:color="auto" w:fill="F2F2F2" w:themeFill="background1" w:themeFillShade="F2"/>
            <w:noWrap/>
            <w:vAlign w:val="center"/>
            <w:hideMark/>
          </w:tcPr>
          <w:p w14:paraId="7C813B56" w14:textId="75DC6CCF" w:rsidR="00C66747" w:rsidRPr="009A501D" w:rsidRDefault="00C66747" w:rsidP="00664A1D">
            <w:pPr>
              <w:spacing w:after="0" w:line="240" w:lineRule="auto"/>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450.8</w:t>
            </w:r>
          </w:p>
        </w:tc>
      </w:tr>
      <w:tr w:rsidR="00C66747" w:rsidRPr="009A501D" w14:paraId="0C3B12FE" w14:textId="77777777" w:rsidTr="006E516C">
        <w:trPr>
          <w:trHeight w:val="284"/>
          <w:jc w:val="center"/>
        </w:trPr>
        <w:tc>
          <w:tcPr>
            <w:tcW w:w="1942" w:type="dxa"/>
            <w:vMerge w:val="restart"/>
            <w:shd w:val="clear" w:color="000000" w:fill="003366"/>
            <w:vAlign w:val="center"/>
            <w:hideMark/>
          </w:tcPr>
          <w:p w14:paraId="77918FF0" w14:textId="70F11361" w:rsidR="00C66747" w:rsidRPr="009A501D" w:rsidRDefault="00C66747" w:rsidP="00E50026">
            <w:pPr>
              <w:spacing w:after="0" w:line="240" w:lineRule="auto"/>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bCs/>
                <w:color w:val="FFFFFF"/>
                <w:sz w:val="16"/>
                <w:szCs w:val="16"/>
                <w:lang w:eastAsia="es-MX"/>
              </w:rPr>
              <w:t>Co</w:t>
            </w:r>
            <w:r w:rsidR="00EA5C0F" w:rsidRPr="009A501D">
              <w:rPr>
                <w:rFonts w:ascii="Century Gothic" w:eastAsia="Times New Roman" w:hAnsi="Century Gothic" w:cs="Calibri"/>
                <w:b/>
                <w:bCs/>
                <w:color w:val="FFFFFF"/>
                <w:sz w:val="16"/>
                <w:szCs w:val="16"/>
                <w:lang w:eastAsia="es-MX"/>
              </w:rPr>
              <w:t>s</w:t>
            </w:r>
            <w:r w:rsidRPr="009A501D">
              <w:rPr>
                <w:rFonts w:ascii="Century Gothic" w:eastAsia="Times New Roman" w:hAnsi="Century Gothic" w:cs="Calibri"/>
                <w:b/>
                <w:bCs/>
                <w:color w:val="FFFFFF"/>
                <w:sz w:val="16"/>
                <w:szCs w:val="16"/>
                <w:lang w:eastAsia="es-MX"/>
              </w:rPr>
              <w:t>tos</w:t>
            </w:r>
            <w:r w:rsidRPr="009A501D">
              <w:rPr>
                <w:rFonts w:ascii="Century Gothic" w:eastAsia="Times New Roman" w:hAnsi="Century Gothic" w:cs="Calibri"/>
                <w:b/>
                <w:color w:val="FFFFFF"/>
                <w:sz w:val="16"/>
                <w:szCs w:val="16"/>
                <w:lang w:eastAsia="es-MX"/>
              </w:rPr>
              <w:t xml:space="preserve"> totales por método</w:t>
            </w:r>
          </w:p>
        </w:tc>
        <w:tc>
          <w:tcPr>
            <w:tcW w:w="840" w:type="dxa"/>
            <w:shd w:val="clear" w:color="000000" w:fill="003366"/>
            <w:noWrap/>
            <w:vAlign w:val="center"/>
            <w:hideMark/>
          </w:tcPr>
          <w:p w14:paraId="264BE047" w14:textId="593265CB"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3,214.0</w:t>
            </w:r>
          </w:p>
        </w:tc>
        <w:tc>
          <w:tcPr>
            <w:tcW w:w="1340" w:type="dxa"/>
            <w:shd w:val="clear" w:color="000000" w:fill="003366"/>
            <w:noWrap/>
            <w:vAlign w:val="center"/>
            <w:hideMark/>
          </w:tcPr>
          <w:p w14:paraId="47E7C175" w14:textId="7E0ACC5C"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3,977.3</w:t>
            </w:r>
          </w:p>
        </w:tc>
        <w:tc>
          <w:tcPr>
            <w:tcW w:w="1412" w:type="dxa"/>
            <w:shd w:val="clear" w:color="000000" w:fill="003366"/>
            <w:noWrap/>
            <w:vAlign w:val="center"/>
            <w:hideMark/>
          </w:tcPr>
          <w:p w14:paraId="20F59227" w14:textId="0FBDC908"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753.2</w:t>
            </w:r>
          </w:p>
        </w:tc>
        <w:tc>
          <w:tcPr>
            <w:tcW w:w="1827" w:type="dxa"/>
            <w:shd w:val="clear" w:color="000000" w:fill="003366"/>
            <w:noWrap/>
            <w:vAlign w:val="center"/>
            <w:hideMark/>
          </w:tcPr>
          <w:p w14:paraId="07F4A42F" w14:textId="71408E6C"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726.4</w:t>
            </w:r>
          </w:p>
        </w:tc>
        <w:tc>
          <w:tcPr>
            <w:tcW w:w="1006" w:type="dxa"/>
            <w:shd w:val="clear" w:color="000000" w:fill="003366"/>
            <w:noWrap/>
            <w:vAlign w:val="center"/>
            <w:hideMark/>
          </w:tcPr>
          <w:p w14:paraId="4F4B5386" w14:textId="5128A092"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577.0</w:t>
            </w:r>
          </w:p>
        </w:tc>
        <w:tc>
          <w:tcPr>
            <w:tcW w:w="1136" w:type="dxa"/>
            <w:shd w:val="clear" w:color="000000" w:fill="003366"/>
            <w:noWrap/>
            <w:vAlign w:val="center"/>
            <w:hideMark/>
          </w:tcPr>
          <w:p w14:paraId="17D01B37" w14:textId="364551B6"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1,238.5</w:t>
            </w:r>
          </w:p>
        </w:tc>
        <w:tc>
          <w:tcPr>
            <w:tcW w:w="1134" w:type="dxa"/>
            <w:shd w:val="clear" w:color="000000" w:fill="003366"/>
            <w:noWrap/>
            <w:vAlign w:val="center"/>
            <w:hideMark/>
          </w:tcPr>
          <w:p w14:paraId="25B0D729" w14:textId="2533C934"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10,486.3</w:t>
            </w:r>
          </w:p>
        </w:tc>
      </w:tr>
      <w:tr w:rsidR="00C66747" w:rsidRPr="009A501D" w14:paraId="670FA2AF" w14:textId="77777777" w:rsidTr="006E516C">
        <w:trPr>
          <w:trHeight w:val="284"/>
          <w:jc w:val="center"/>
        </w:trPr>
        <w:tc>
          <w:tcPr>
            <w:tcW w:w="1942" w:type="dxa"/>
            <w:vMerge/>
            <w:vAlign w:val="center"/>
            <w:hideMark/>
          </w:tcPr>
          <w:p w14:paraId="51545E9B" w14:textId="77777777" w:rsidR="00C66747" w:rsidRPr="009A501D" w:rsidRDefault="00C66747" w:rsidP="00E50026">
            <w:pPr>
              <w:spacing w:after="0" w:line="240" w:lineRule="auto"/>
              <w:rPr>
                <w:rFonts w:ascii="Century Gothic" w:eastAsia="Times New Roman" w:hAnsi="Century Gothic" w:cs="Calibri"/>
                <w:b/>
                <w:color w:val="FFFFFF"/>
                <w:sz w:val="16"/>
                <w:szCs w:val="16"/>
                <w:lang w:eastAsia="es-MX"/>
              </w:rPr>
            </w:pPr>
          </w:p>
        </w:tc>
        <w:tc>
          <w:tcPr>
            <w:tcW w:w="840" w:type="dxa"/>
            <w:shd w:val="clear" w:color="000000" w:fill="003366"/>
            <w:noWrap/>
            <w:vAlign w:val="center"/>
            <w:hideMark/>
          </w:tcPr>
          <w:p w14:paraId="2CBE5353"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31%</w:t>
            </w:r>
          </w:p>
        </w:tc>
        <w:tc>
          <w:tcPr>
            <w:tcW w:w="1340" w:type="dxa"/>
            <w:shd w:val="clear" w:color="000000" w:fill="003366"/>
            <w:noWrap/>
            <w:vAlign w:val="center"/>
            <w:hideMark/>
          </w:tcPr>
          <w:p w14:paraId="1C8F6A07"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38%</w:t>
            </w:r>
          </w:p>
        </w:tc>
        <w:tc>
          <w:tcPr>
            <w:tcW w:w="1412" w:type="dxa"/>
            <w:shd w:val="clear" w:color="000000" w:fill="003366"/>
            <w:noWrap/>
            <w:vAlign w:val="center"/>
            <w:hideMark/>
          </w:tcPr>
          <w:p w14:paraId="44E33DF9"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7%</w:t>
            </w:r>
          </w:p>
        </w:tc>
        <w:tc>
          <w:tcPr>
            <w:tcW w:w="1827" w:type="dxa"/>
            <w:shd w:val="clear" w:color="000000" w:fill="003366"/>
            <w:noWrap/>
            <w:vAlign w:val="center"/>
            <w:hideMark/>
          </w:tcPr>
          <w:p w14:paraId="5CCD5278"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7%</w:t>
            </w:r>
          </w:p>
        </w:tc>
        <w:tc>
          <w:tcPr>
            <w:tcW w:w="1006" w:type="dxa"/>
            <w:shd w:val="clear" w:color="000000" w:fill="003366"/>
            <w:noWrap/>
            <w:vAlign w:val="center"/>
            <w:hideMark/>
          </w:tcPr>
          <w:p w14:paraId="4BE1BDB4"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6%</w:t>
            </w:r>
          </w:p>
        </w:tc>
        <w:tc>
          <w:tcPr>
            <w:tcW w:w="1136" w:type="dxa"/>
            <w:shd w:val="clear" w:color="000000" w:fill="003366"/>
            <w:noWrap/>
            <w:vAlign w:val="center"/>
            <w:hideMark/>
          </w:tcPr>
          <w:p w14:paraId="2E3782C0" w14:textId="77777777"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12%</w:t>
            </w:r>
          </w:p>
        </w:tc>
        <w:tc>
          <w:tcPr>
            <w:tcW w:w="1134" w:type="dxa"/>
            <w:shd w:val="clear" w:color="000000" w:fill="003366"/>
            <w:noWrap/>
            <w:vAlign w:val="center"/>
            <w:hideMark/>
          </w:tcPr>
          <w:p w14:paraId="229FC9DB" w14:textId="689B6D49" w:rsidR="00C66747" w:rsidRPr="009A501D" w:rsidRDefault="00C66747" w:rsidP="00664A1D">
            <w:pPr>
              <w:spacing w:after="0" w:line="240" w:lineRule="auto"/>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1.0</w:t>
            </w:r>
          </w:p>
        </w:tc>
      </w:tr>
    </w:tbl>
    <w:p w14:paraId="3D2A802C" w14:textId="67CFEC36" w:rsidR="00F55090" w:rsidRPr="009A501D" w:rsidRDefault="000C4CFD" w:rsidP="00664A1D">
      <w:pPr>
        <w:spacing w:before="240"/>
        <w:jc w:val="both"/>
        <w:rPr>
          <w:rFonts w:ascii="Century Gothic" w:hAnsi="Century Gothic"/>
          <w:sz w:val="19"/>
          <w:szCs w:val="19"/>
        </w:rPr>
      </w:pPr>
      <w:r w:rsidRPr="009A501D">
        <w:rPr>
          <w:rFonts w:ascii="Century Gothic" w:hAnsi="Century Gothic"/>
          <w:sz w:val="19"/>
          <w:szCs w:val="19"/>
        </w:rPr>
        <w:t>En la segunda sesión</w:t>
      </w:r>
      <w:r w:rsidR="00E50026" w:rsidRPr="009A501D">
        <w:rPr>
          <w:rFonts w:ascii="Century Gothic" w:hAnsi="Century Gothic"/>
          <w:sz w:val="19"/>
          <w:szCs w:val="19"/>
        </w:rPr>
        <w:t xml:space="preserve"> </w:t>
      </w:r>
      <w:r w:rsidR="00FF5707" w:rsidRPr="009A501D">
        <w:rPr>
          <w:rFonts w:ascii="Century Gothic" w:hAnsi="Century Gothic"/>
          <w:sz w:val="19"/>
          <w:szCs w:val="19"/>
        </w:rPr>
        <w:t>de</w:t>
      </w:r>
      <w:r w:rsidRPr="009A501D">
        <w:rPr>
          <w:rFonts w:ascii="Century Gothic" w:hAnsi="Century Gothic"/>
          <w:sz w:val="19"/>
          <w:szCs w:val="19"/>
        </w:rPr>
        <w:t xml:space="preserve"> 202</w:t>
      </w:r>
      <w:r w:rsidR="00686544" w:rsidRPr="009A501D">
        <w:rPr>
          <w:rFonts w:ascii="Century Gothic" w:hAnsi="Century Gothic"/>
          <w:sz w:val="19"/>
          <w:szCs w:val="19"/>
        </w:rPr>
        <w:t>2</w:t>
      </w:r>
      <w:r w:rsidR="00E50026" w:rsidRPr="009A501D">
        <w:rPr>
          <w:rFonts w:ascii="Century Gothic" w:hAnsi="Century Gothic"/>
          <w:sz w:val="19"/>
          <w:szCs w:val="19"/>
        </w:rPr>
        <w:t xml:space="preserve"> del Comité,</w:t>
      </w:r>
      <w:r w:rsidRPr="009A501D">
        <w:rPr>
          <w:rFonts w:ascii="Century Gothic" w:hAnsi="Century Gothic"/>
          <w:sz w:val="19"/>
          <w:szCs w:val="19"/>
        </w:rPr>
        <w:t xml:space="preserve"> se presentó una propuesta para medir el principio de costo</w:t>
      </w:r>
      <w:r w:rsidR="00F108B6" w:rsidRPr="009A501D">
        <w:rPr>
          <w:rFonts w:ascii="Century Gothic" w:hAnsi="Century Gothic"/>
          <w:sz w:val="19"/>
          <w:szCs w:val="19"/>
        </w:rPr>
        <w:t>-</w:t>
      </w:r>
      <w:r w:rsidRPr="009A501D">
        <w:rPr>
          <w:rFonts w:ascii="Century Gothic" w:hAnsi="Century Gothic"/>
          <w:sz w:val="19"/>
          <w:szCs w:val="19"/>
        </w:rPr>
        <w:t xml:space="preserve">efectividad a partir del </w:t>
      </w:r>
      <w:r w:rsidR="00F108B6" w:rsidRPr="009A501D">
        <w:rPr>
          <w:rFonts w:ascii="Century Gothic" w:hAnsi="Century Gothic"/>
          <w:sz w:val="19"/>
          <w:szCs w:val="19"/>
        </w:rPr>
        <w:t>M</w:t>
      </w:r>
      <w:r w:rsidRPr="009A501D">
        <w:rPr>
          <w:rFonts w:ascii="Century Gothic" w:hAnsi="Century Gothic"/>
          <w:sz w:val="19"/>
          <w:szCs w:val="19"/>
        </w:rPr>
        <w:t>odelo y los indicadores</w:t>
      </w:r>
      <w:r w:rsidR="00F108B6" w:rsidRPr="009A501D">
        <w:rPr>
          <w:rFonts w:ascii="Century Gothic" w:hAnsi="Century Gothic"/>
          <w:sz w:val="19"/>
          <w:szCs w:val="19"/>
        </w:rPr>
        <w:t>-</w:t>
      </w:r>
      <w:r w:rsidRPr="009A501D">
        <w:rPr>
          <w:rFonts w:ascii="Century Gothic" w:hAnsi="Century Gothic"/>
          <w:sz w:val="19"/>
          <w:szCs w:val="19"/>
        </w:rPr>
        <w:t>objetivo de los programas</w:t>
      </w:r>
      <w:r w:rsidR="00D11D96" w:rsidRPr="009A501D">
        <w:rPr>
          <w:rFonts w:ascii="Century Gothic" w:hAnsi="Century Gothic"/>
          <w:sz w:val="19"/>
          <w:szCs w:val="19"/>
        </w:rPr>
        <w:t xml:space="preserve"> de información</w:t>
      </w:r>
      <w:r w:rsidRPr="009A501D">
        <w:rPr>
          <w:rFonts w:ascii="Century Gothic" w:hAnsi="Century Gothic"/>
          <w:sz w:val="19"/>
          <w:szCs w:val="19"/>
        </w:rPr>
        <w:t>. Esta propuesta ha sido discutida en el grupo de procesos</w:t>
      </w:r>
      <w:r w:rsidR="00F108B6" w:rsidRPr="009A501D">
        <w:rPr>
          <w:rFonts w:ascii="Century Gothic" w:hAnsi="Century Gothic"/>
          <w:sz w:val="19"/>
          <w:szCs w:val="19"/>
        </w:rPr>
        <w:t xml:space="preserve">. Una de las primeras labores </w:t>
      </w:r>
      <w:r w:rsidR="0090314D" w:rsidRPr="009A501D">
        <w:rPr>
          <w:rFonts w:ascii="Century Gothic" w:hAnsi="Century Gothic"/>
          <w:sz w:val="19"/>
          <w:szCs w:val="19"/>
        </w:rPr>
        <w:t>recayó en</w:t>
      </w:r>
      <w:r w:rsidRPr="009A501D">
        <w:rPr>
          <w:rFonts w:ascii="Century Gothic" w:hAnsi="Century Gothic"/>
          <w:sz w:val="19"/>
          <w:szCs w:val="19"/>
        </w:rPr>
        <w:t xml:space="preserve"> reasignar los costos indirectos asociados a la difusión como </w:t>
      </w:r>
      <w:r w:rsidR="000D1585" w:rsidRPr="009A501D">
        <w:rPr>
          <w:rFonts w:ascii="Century Gothic" w:hAnsi="Century Gothic"/>
          <w:sz w:val="19"/>
          <w:szCs w:val="19"/>
        </w:rPr>
        <w:t xml:space="preserve">costos </w:t>
      </w:r>
      <w:r w:rsidRPr="009A501D">
        <w:rPr>
          <w:rFonts w:ascii="Century Gothic" w:hAnsi="Century Gothic"/>
          <w:sz w:val="19"/>
          <w:szCs w:val="19"/>
        </w:rPr>
        <w:t>directos</w:t>
      </w:r>
      <w:r w:rsidR="00F108B6" w:rsidRPr="009A501D">
        <w:rPr>
          <w:rFonts w:ascii="Century Gothic" w:hAnsi="Century Gothic"/>
          <w:sz w:val="19"/>
          <w:szCs w:val="19"/>
        </w:rPr>
        <w:t>.</w:t>
      </w:r>
      <w:r w:rsidRPr="009A501D">
        <w:rPr>
          <w:rFonts w:ascii="Century Gothic" w:hAnsi="Century Gothic"/>
          <w:sz w:val="19"/>
          <w:szCs w:val="19"/>
        </w:rPr>
        <w:t xml:space="preserve"> </w:t>
      </w:r>
      <w:r w:rsidR="00F108B6" w:rsidRPr="009A501D">
        <w:rPr>
          <w:rFonts w:ascii="Century Gothic" w:hAnsi="Century Gothic"/>
          <w:sz w:val="19"/>
          <w:szCs w:val="19"/>
        </w:rPr>
        <w:t>A</w:t>
      </w:r>
      <w:r w:rsidRPr="009A501D">
        <w:rPr>
          <w:rFonts w:ascii="Century Gothic" w:hAnsi="Century Gothic"/>
          <w:sz w:val="19"/>
          <w:szCs w:val="19"/>
        </w:rPr>
        <w:t>dicionalmente</w:t>
      </w:r>
      <w:r w:rsidR="00F108B6" w:rsidRPr="009A501D">
        <w:rPr>
          <w:rFonts w:ascii="Century Gothic" w:hAnsi="Century Gothic"/>
          <w:sz w:val="19"/>
          <w:szCs w:val="19"/>
        </w:rPr>
        <w:t>,</w:t>
      </w:r>
      <w:r w:rsidRPr="009A501D">
        <w:rPr>
          <w:rFonts w:ascii="Century Gothic" w:hAnsi="Century Gothic"/>
          <w:sz w:val="19"/>
          <w:szCs w:val="19"/>
        </w:rPr>
        <w:t xml:space="preserve"> </w:t>
      </w:r>
      <w:r w:rsidR="00F108B6" w:rsidRPr="009A501D">
        <w:rPr>
          <w:rFonts w:ascii="Century Gothic" w:hAnsi="Century Gothic"/>
          <w:sz w:val="19"/>
          <w:szCs w:val="19"/>
        </w:rPr>
        <w:t xml:space="preserve">se </w:t>
      </w:r>
      <w:r w:rsidRPr="009A501D">
        <w:rPr>
          <w:rFonts w:ascii="Century Gothic" w:hAnsi="Century Gothic"/>
          <w:sz w:val="19"/>
          <w:szCs w:val="19"/>
        </w:rPr>
        <w:t xml:space="preserve">ha </w:t>
      </w:r>
      <w:r w:rsidR="00F108B6" w:rsidRPr="009A501D">
        <w:rPr>
          <w:rFonts w:ascii="Century Gothic" w:hAnsi="Century Gothic"/>
          <w:sz w:val="19"/>
          <w:szCs w:val="19"/>
        </w:rPr>
        <w:t>considerado</w:t>
      </w:r>
      <w:r w:rsidRPr="009A501D">
        <w:rPr>
          <w:rFonts w:ascii="Century Gothic" w:hAnsi="Century Gothic"/>
          <w:sz w:val="19"/>
          <w:szCs w:val="19"/>
        </w:rPr>
        <w:t xml:space="preserve"> neces</w:t>
      </w:r>
      <w:r w:rsidR="00F108B6" w:rsidRPr="009A501D">
        <w:rPr>
          <w:rFonts w:ascii="Century Gothic" w:hAnsi="Century Gothic"/>
          <w:sz w:val="19"/>
          <w:szCs w:val="19"/>
        </w:rPr>
        <w:t>ario</w:t>
      </w:r>
      <w:r w:rsidRPr="009A501D">
        <w:rPr>
          <w:rFonts w:ascii="Century Gothic" w:hAnsi="Century Gothic"/>
          <w:sz w:val="19"/>
          <w:szCs w:val="19"/>
        </w:rPr>
        <w:t xml:space="preserve"> que el Modelo transparente los costos indirectos.  Por el lado de los indicadores</w:t>
      </w:r>
      <w:r w:rsidR="00F108B6" w:rsidRPr="009A501D">
        <w:rPr>
          <w:rFonts w:ascii="Century Gothic" w:hAnsi="Century Gothic"/>
          <w:sz w:val="19"/>
          <w:szCs w:val="19"/>
        </w:rPr>
        <w:t>-</w:t>
      </w:r>
      <w:r w:rsidRPr="009A501D">
        <w:rPr>
          <w:rFonts w:ascii="Century Gothic" w:hAnsi="Century Gothic"/>
          <w:sz w:val="19"/>
          <w:szCs w:val="19"/>
        </w:rPr>
        <w:t xml:space="preserve">objetivo, se </w:t>
      </w:r>
      <w:r w:rsidR="00F55090" w:rsidRPr="009A501D">
        <w:rPr>
          <w:rFonts w:ascii="Century Gothic" w:hAnsi="Century Gothic"/>
          <w:sz w:val="19"/>
          <w:szCs w:val="19"/>
        </w:rPr>
        <w:t xml:space="preserve">propusieron los pasos a seguir para </w:t>
      </w:r>
      <w:r w:rsidR="00F108B6" w:rsidRPr="009A501D">
        <w:rPr>
          <w:rFonts w:ascii="Century Gothic" w:hAnsi="Century Gothic"/>
          <w:sz w:val="19"/>
          <w:szCs w:val="19"/>
        </w:rPr>
        <w:t>una identificación estandarizada de cada programa, en correspondencia con</w:t>
      </w:r>
      <w:r w:rsidR="00F55090" w:rsidRPr="009A501D">
        <w:rPr>
          <w:rFonts w:ascii="Century Gothic" w:hAnsi="Century Gothic"/>
          <w:sz w:val="19"/>
          <w:szCs w:val="19"/>
        </w:rPr>
        <w:t xml:space="preserve"> </w:t>
      </w:r>
      <w:r w:rsidR="00F108B6" w:rsidRPr="009A501D">
        <w:rPr>
          <w:rFonts w:ascii="Century Gothic" w:hAnsi="Century Gothic"/>
          <w:sz w:val="19"/>
          <w:szCs w:val="19"/>
        </w:rPr>
        <w:t xml:space="preserve">sus </w:t>
      </w:r>
      <w:r w:rsidR="00F55090" w:rsidRPr="009A501D">
        <w:rPr>
          <w:rFonts w:ascii="Century Gothic" w:hAnsi="Century Gothic"/>
          <w:sz w:val="19"/>
          <w:szCs w:val="19"/>
        </w:rPr>
        <w:t>objetivos y las necesidades que les dieron origen.</w:t>
      </w:r>
      <w:r w:rsidR="000D1585" w:rsidRPr="009A501D">
        <w:rPr>
          <w:rStyle w:val="Refdenotaalpie"/>
          <w:rFonts w:ascii="Century Gothic" w:hAnsi="Century Gothic"/>
          <w:sz w:val="19"/>
          <w:szCs w:val="19"/>
        </w:rPr>
        <w:footnoteReference w:id="16"/>
      </w:r>
      <w:r w:rsidR="00F55090" w:rsidRPr="009A501D">
        <w:rPr>
          <w:rFonts w:ascii="Century Gothic" w:hAnsi="Century Gothic"/>
          <w:sz w:val="19"/>
          <w:szCs w:val="19"/>
        </w:rPr>
        <w:t xml:space="preserve"> </w:t>
      </w:r>
    </w:p>
    <w:p w14:paraId="0E3AE87C" w14:textId="55AB4B16" w:rsidR="00EC1414" w:rsidRPr="009A501D" w:rsidRDefault="00EC1414" w:rsidP="00ED6084">
      <w:pPr>
        <w:pStyle w:val="Ttulo2"/>
        <w:spacing w:before="240"/>
        <w:rPr>
          <w:rFonts w:ascii="Century Gothic" w:eastAsiaTheme="minorHAnsi" w:hAnsi="Century Gothic" w:cstheme="minorBidi"/>
          <w:bCs/>
          <w:color w:val="0079BF"/>
          <w:sz w:val="24"/>
          <w:szCs w:val="24"/>
        </w:rPr>
      </w:pPr>
      <w:bookmarkStart w:id="25" w:name="_Toc131161809"/>
      <w:r w:rsidRPr="009A501D">
        <w:rPr>
          <w:rFonts w:ascii="Century Gothic" w:eastAsiaTheme="minorHAnsi" w:hAnsi="Century Gothic" w:cstheme="minorBidi"/>
          <w:bCs/>
          <w:color w:val="0079BF"/>
          <w:sz w:val="24"/>
          <w:szCs w:val="24"/>
        </w:rPr>
        <w:t>IV.3. Seguimiento de cambios</w:t>
      </w:r>
      <w:bookmarkEnd w:id="25"/>
      <w:r w:rsidRPr="009A501D">
        <w:rPr>
          <w:rFonts w:ascii="Century Gothic" w:eastAsiaTheme="minorHAnsi" w:hAnsi="Century Gothic" w:cstheme="minorBidi"/>
          <w:bCs/>
          <w:color w:val="0079BF"/>
          <w:sz w:val="24"/>
          <w:szCs w:val="24"/>
        </w:rPr>
        <w:t xml:space="preserve"> </w:t>
      </w:r>
    </w:p>
    <w:p w14:paraId="5AB661DC" w14:textId="57657903"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 xml:space="preserve">Los </w:t>
      </w:r>
      <w:r w:rsidRPr="009A501D">
        <w:rPr>
          <w:rFonts w:ascii="Century Gothic" w:hAnsi="Century Gothic"/>
          <w:i/>
          <w:iCs/>
          <w:sz w:val="19"/>
          <w:szCs w:val="19"/>
        </w:rPr>
        <w:t>Lineamientos del Proceso de Gestión de Cambios en los Programas de Información Estadística y Geográfica</w:t>
      </w:r>
      <w:r w:rsidRPr="009A501D">
        <w:rPr>
          <w:rFonts w:ascii="Century Gothic" w:hAnsi="Century Gothic"/>
          <w:sz w:val="19"/>
          <w:szCs w:val="19"/>
        </w:rPr>
        <w:t xml:space="preserve"> (Lineamientos) fueron aprobados por la Junta de Gobierno del INEGI en diciembre de 2019. </w:t>
      </w:r>
      <w:r w:rsidR="00E52683" w:rsidRPr="009A501D">
        <w:rPr>
          <w:rFonts w:ascii="Century Gothic" w:hAnsi="Century Gothic"/>
          <w:sz w:val="19"/>
          <w:szCs w:val="19"/>
        </w:rPr>
        <w:t>Su</w:t>
      </w:r>
      <w:r w:rsidRPr="009A501D">
        <w:rPr>
          <w:rFonts w:ascii="Century Gothic" w:hAnsi="Century Gothic"/>
          <w:sz w:val="19"/>
          <w:szCs w:val="19"/>
        </w:rPr>
        <w:t xml:space="preserve"> propósito es establecer los pasos </w:t>
      </w:r>
      <w:r w:rsidR="00EF3E9E" w:rsidRPr="009A501D">
        <w:rPr>
          <w:rFonts w:ascii="Century Gothic" w:hAnsi="Century Gothic"/>
          <w:sz w:val="19"/>
          <w:szCs w:val="19"/>
        </w:rPr>
        <w:t>a</w:t>
      </w:r>
      <w:r w:rsidRPr="009A501D">
        <w:rPr>
          <w:rFonts w:ascii="Century Gothic" w:hAnsi="Century Gothic"/>
          <w:sz w:val="19"/>
          <w:szCs w:val="19"/>
        </w:rPr>
        <w:t xml:space="preserve"> seguir para documentar los cambios que se realizan </w:t>
      </w:r>
      <w:r w:rsidR="00EF3E9E" w:rsidRPr="009A501D">
        <w:rPr>
          <w:rFonts w:ascii="Century Gothic" w:hAnsi="Century Gothic"/>
          <w:sz w:val="19"/>
          <w:szCs w:val="19"/>
        </w:rPr>
        <w:t xml:space="preserve">dentro de </w:t>
      </w:r>
      <w:r w:rsidRPr="009A501D">
        <w:rPr>
          <w:rFonts w:ascii="Century Gothic" w:hAnsi="Century Gothic"/>
          <w:sz w:val="19"/>
          <w:szCs w:val="19"/>
        </w:rPr>
        <w:t xml:space="preserve">los </w:t>
      </w:r>
      <w:r w:rsidR="005F6B27" w:rsidRPr="009A501D">
        <w:rPr>
          <w:rFonts w:ascii="Century Gothic" w:hAnsi="Century Gothic"/>
          <w:sz w:val="19"/>
          <w:szCs w:val="19"/>
        </w:rPr>
        <w:t>procesos de producción</w:t>
      </w:r>
      <w:r w:rsidRPr="009A501D">
        <w:rPr>
          <w:rFonts w:ascii="Century Gothic" w:hAnsi="Century Gothic"/>
          <w:sz w:val="19"/>
          <w:szCs w:val="19"/>
        </w:rPr>
        <w:t xml:space="preserve"> y que repercuten en su diseño. Dicha documentación debe permitir conocer tanto el origen y tipo de cambio, como los efectos que tiene sobre los resultados.</w:t>
      </w:r>
    </w:p>
    <w:p w14:paraId="08CBDC2D" w14:textId="59C90E7C"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 xml:space="preserve">Los Lineamientos prevén dos tipos de cambios: los cambios previstos, es decir, aquellos que se realizan de forma planeada antes de la ejecución del proceso, y los cambios no previstos, que suceden </w:t>
      </w:r>
      <w:r w:rsidR="00EE4F8B" w:rsidRPr="009A501D">
        <w:rPr>
          <w:rFonts w:ascii="Century Gothic" w:hAnsi="Century Gothic"/>
          <w:sz w:val="19"/>
          <w:szCs w:val="19"/>
        </w:rPr>
        <w:t>cuando</w:t>
      </w:r>
      <w:r w:rsidRPr="009A501D">
        <w:rPr>
          <w:rFonts w:ascii="Century Gothic" w:hAnsi="Century Gothic"/>
          <w:sz w:val="19"/>
          <w:szCs w:val="19"/>
        </w:rPr>
        <w:t xml:space="preserve"> durante la ejecución del proceso se realizan actividades distintas a las establecidas en el diseño. En 2022</w:t>
      </w:r>
      <w:r w:rsidR="000D1585" w:rsidRPr="009A501D">
        <w:rPr>
          <w:rFonts w:ascii="Century Gothic" w:hAnsi="Century Gothic"/>
          <w:sz w:val="19"/>
          <w:szCs w:val="19"/>
        </w:rPr>
        <w:t>,</w:t>
      </w:r>
      <w:r w:rsidRPr="009A501D">
        <w:rPr>
          <w:rFonts w:ascii="Century Gothic" w:hAnsi="Century Gothic"/>
          <w:sz w:val="19"/>
          <w:szCs w:val="19"/>
        </w:rPr>
        <w:t xml:space="preserve"> todos los cambios que se registraron fueron previstos</w:t>
      </w:r>
      <w:r w:rsidR="000D1585" w:rsidRPr="009A501D">
        <w:rPr>
          <w:rFonts w:ascii="Century Gothic" w:hAnsi="Century Gothic"/>
          <w:sz w:val="19"/>
          <w:szCs w:val="19"/>
        </w:rPr>
        <w:t>.</w:t>
      </w:r>
      <w:r w:rsidRPr="009A501D">
        <w:rPr>
          <w:rFonts w:ascii="Century Gothic" w:hAnsi="Century Gothic"/>
          <w:sz w:val="19"/>
          <w:szCs w:val="19"/>
        </w:rPr>
        <w:t xml:space="preserve"> En el cuadro IV.</w:t>
      </w:r>
      <w:r w:rsidR="001D5671" w:rsidRPr="009A501D">
        <w:rPr>
          <w:rFonts w:ascii="Century Gothic" w:hAnsi="Century Gothic"/>
          <w:sz w:val="19"/>
          <w:szCs w:val="19"/>
        </w:rPr>
        <w:t>3</w:t>
      </w:r>
      <w:r w:rsidRPr="009A501D">
        <w:rPr>
          <w:rFonts w:ascii="Century Gothic" w:hAnsi="Century Gothic"/>
          <w:sz w:val="19"/>
          <w:szCs w:val="19"/>
        </w:rPr>
        <w:t>.1 se presentan los procesos que registraron cambios en 2022</w:t>
      </w:r>
      <w:r w:rsidR="00CD0689" w:rsidRPr="009A501D">
        <w:rPr>
          <w:rFonts w:ascii="Century Gothic" w:hAnsi="Century Gothic"/>
          <w:sz w:val="19"/>
          <w:szCs w:val="19"/>
        </w:rPr>
        <w:t>, mientras que e</w:t>
      </w:r>
      <w:r w:rsidRPr="009A501D">
        <w:rPr>
          <w:rFonts w:ascii="Century Gothic" w:hAnsi="Century Gothic"/>
          <w:sz w:val="19"/>
          <w:szCs w:val="19"/>
        </w:rPr>
        <w:t xml:space="preserve">n el </w:t>
      </w:r>
      <w:r w:rsidR="000D1585" w:rsidRPr="009A501D">
        <w:rPr>
          <w:rFonts w:ascii="Century Gothic" w:hAnsi="Century Gothic"/>
          <w:sz w:val="19"/>
          <w:szCs w:val="19"/>
        </w:rPr>
        <w:t>A</w:t>
      </w:r>
      <w:r w:rsidRPr="009A501D">
        <w:rPr>
          <w:rFonts w:ascii="Century Gothic" w:hAnsi="Century Gothic"/>
          <w:sz w:val="19"/>
          <w:szCs w:val="19"/>
        </w:rPr>
        <w:t xml:space="preserve">nexo </w:t>
      </w:r>
      <w:r w:rsidR="00FC24B8" w:rsidRPr="009A501D">
        <w:rPr>
          <w:rFonts w:ascii="Century Gothic" w:hAnsi="Century Gothic"/>
          <w:sz w:val="19"/>
          <w:szCs w:val="19"/>
        </w:rPr>
        <w:t>8</w:t>
      </w:r>
      <w:r w:rsidRPr="009A501D">
        <w:rPr>
          <w:rFonts w:ascii="Century Gothic" w:hAnsi="Century Gothic"/>
          <w:sz w:val="19"/>
          <w:szCs w:val="19"/>
        </w:rPr>
        <w:t xml:space="preserve"> se describen las características principales de estas modificaciones.</w:t>
      </w:r>
    </w:p>
    <w:p w14:paraId="285D353C" w14:textId="1AD001DC" w:rsidR="00C10AE9" w:rsidRPr="009A501D" w:rsidRDefault="00C10AE9">
      <w:pPr>
        <w:rPr>
          <w:rFonts w:ascii="Century Gothic" w:hAnsi="Century Gothic"/>
          <w:sz w:val="19"/>
          <w:szCs w:val="19"/>
        </w:rPr>
      </w:pPr>
      <w:r w:rsidRPr="009A501D">
        <w:rPr>
          <w:rFonts w:ascii="Century Gothic" w:hAnsi="Century Gothic"/>
          <w:sz w:val="19"/>
          <w:szCs w:val="19"/>
        </w:rPr>
        <w:br w:type="page"/>
      </w:r>
    </w:p>
    <w:p w14:paraId="605BE662" w14:textId="701AA0D9" w:rsidR="00EC1414" w:rsidRPr="009A501D" w:rsidRDefault="00EC1414" w:rsidP="00664A1D">
      <w:pPr>
        <w:spacing w:before="240"/>
        <w:jc w:val="center"/>
        <w:rPr>
          <w:rFonts w:ascii="Century Gothic" w:hAnsi="Century Gothic" w:cstheme="minorHAnsi"/>
          <w:b/>
          <w:sz w:val="19"/>
          <w:szCs w:val="19"/>
        </w:rPr>
      </w:pPr>
      <w:r w:rsidRPr="009A501D">
        <w:rPr>
          <w:rFonts w:ascii="Century Gothic" w:hAnsi="Century Gothic"/>
          <w:b/>
          <w:sz w:val="19"/>
          <w:szCs w:val="19"/>
        </w:rPr>
        <w:lastRenderedPageBreak/>
        <w:t>IV.</w:t>
      </w:r>
      <w:r w:rsidR="008D11E0" w:rsidRPr="009A501D">
        <w:rPr>
          <w:rFonts w:ascii="Century Gothic" w:hAnsi="Century Gothic"/>
          <w:b/>
          <w:sz w:val="19"/>
          <w:szCs w:val="19"/>
        </w:rPr>
        <w:t>3</w:t>
      </w:r>
      <w:r w:rsidRPr="009A501D">
        <w:rPr>
          <w:rFonts w:ascii="Century Gothic" w:hAnsi="Century Gothic"/>
          <w:b/>
          <w:sz w:val="19"/>
          <w:szCs w:val="19"/>
        </w:rPr>
        <w:t>.1</w:t>
      </w:r>
      <w:r w:rsidRPr="009A501D">
        <w:rPr>
          <w:rFonts w:ascii="Century Gothic" w:hAnsi="Century Gothic" w:cstheme="minorHAnsi"/>
          <w:b/>
          <w:sz w:val="19"/>
          <w:szCs w:val="19"/>
        </w:rPr>
        <w:t>. Procesos con cambios registrados en 2022</w:t>
      </w:r>
    </w:p>
    <w:tbl>
      <w:tblPr>
        <w:tblW w:w="102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88"/>
        <w:gridCol w:w="6215"/>
        <w:gridCol w:w="1160"/>
        <w:gridCol w:w="1838"/>
      </w:tblGrid>
      <w:tr w:rsidR="00EC1414" w:rsidRPr="009A501D" w14:paraId="7640D23F" w14:textId="77777777" w:rsidTr="00664A1D">
        <w:trPr>
          <w:trHeight w:val="284"/>
          <w:jc w:val="center"/>
        </w:trPr>
        <w:tc>
          <w:tcPr>
            <w:tcW w:w="988" w:type="dxa"/>
            <w:shd w:val="clear" w:color="auto" w:fill="002060"/>
            <w:vAlign w:val="center"/>
            <w:hideMark/>
          </w:tcPr>
          <w:p w14:paraId="40A23796" w14:textId="77777777" w:rsidR="00EC1414" w:rsidRPr="009A501D" w:rsidRDefault="00EC1414" w:rsidP="001170BD">
            <w:pPr>
              <w:spacing w:after="0"/>
              <w:jc w:val="both"/>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UA</w:t>
            </w:r>
          </w:p>
        </w:tc>
        <w:tc>
          <w:tcPr>
            <w:tcW w:w="6215" w:type="dxa"/>
            <w:shd w:val="clear" w:color="auto" w:fill="002060"/>
            <w:vAlign w:val="center"/>
            <w:hideMark/>
          </w:tcPr>
          <w:p w14:paraId="2A3B443E" w14:textId="77777777" w:rsidR="00EC1414" w:rsidRPr="009A501D" w:rsidRDefault="00EC1414" w:rsidP="001170BD">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Proceso</w:t>
            </w:r>
          </w:p>
        </w:tc>
        <w:tc>
          <w:tcPr>
            <w:tcW w:w="1160" w:type="dxa"/>
            <w:shd w:val="clear" w:color="auto" w:fill="002060"/>
            <w:vAlign w:val="center"/>
            <w:hideMark/>
          </w:tcPr>
          <w:p w14:paraId="3EB5D4B1" w14:textId="77777777" w:rsidR="00EC1414" w:rsidRPr="009A501D" w:rsidRDefault="00EC1414" w:rsidP="001170BD">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Acrónimo</w:t>
            </w:r>
          </w:p>
        </w:tc>
        <w:tc>
          <w:tcPr>
            <w:tcW w:w="1838" w:type="dxa"/>
            <w:shd w:val="clear" w:color="auto" w:fill="002060"/>
            <w:vAlign w:val="center"/>
            <w:hideMark/>
          </w:tcPr>
          <w:p w14:paraId="60AD5FCB" w14:textId="77777777" w:rsidR="00EC1414" w:rsidRPr="009A501D" w:rsidRDefault="00EC1414" w:rsidP="001170BD">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Número de cambios (previstos)</w:t>
            </w:r>
          </w:p>
        </w:tc>
      </w:tr>
      <w:tr w:rsidR="00EC1414" w:rsidRPr="009A501D" w14:paraId="556BD701" w14:textId="77777777" w:rsidTr="00664A1D">
        <w:trPr>
          <w:trHeight w:val="284"/>
          <w:jc w:val="center"/>
        </w:trPr>
        <w:tc>
          <w:tcPr>
            <w:tcW w:w="988" w:type="dxa"/>
            <w:vMerge w:val="restart"/>
            <w:shd w:val="clear" w:color="auto" w:fill="FFFFFF" w:themeFill="background1"/>
            <w:vAlign w:val="center"/>
            <w:hideMark/>
          </w:tcPr>
          <w:p w14:paraId="2FCEC37B" w14:textId="77777777" w:rsidR="00EC1414" w:rsidRPr="009A501D" w:rsidRDefault="00EC1414" w:rsidP="001170BD">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6215" w:type="dxa"/>
            <w:shd w:val="clear" w:color="auto" w:fill="FFFFFF" w:themeFill="background1"/>
            <w:vAlign w:val="center"/>
            <w:hideMark/>
          </w:tcPr>
          <w:p w14:paraId="2A2E249F"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Calidad e Impacto Gubernamental</w:t>
            </w:r>
          </w:p>
        </w:tc>
        <w:tc>
          <w:tcPr>
            <w:tcW w:w="1160" w:type="dxa"/>
            <w:shd w:val="clear" w:color="auto" w:fill="FFFFFF" w:themeFill="background1"/>
            <w:vAlign w:val="center"/>
            <w:hideMark/>
          </w:tcPr>
          <w:p w14:paraId="473FA08F"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ENCIG</w:t>
            </w:r>
          </w:p>
        </w:tc>
        <w:tc>
          <w:tcPr>
            <w:tcW w:w="1838" w:type="dxa"/>
            <w:shd w:val="clear" w:color="auto" w:fill="FFFFFF" w:themeFill="background1"/>
            <w:vAlign w:val="center"/>
            <w:hideMark/>
          </w:tcPr>
          <w:p w14:paraId="6EFF5BA6"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EC1414" w:rsidRPr="009A501D" w14:paraId="07EB91D3" w14:textId="77777777" w:rsidTr="00664A1D">
        <w:trPr>
          <w:trHeight w:val="284"/>
          <w:jc w:val="center"/>
        </w:trPr>
        <w:tc>
          <w:tcPr>
            <w:tcW w:w="988" w:type="dxa"/>
            <w:vMerge/>
            <w:shd w:val="clear" w:color="auto" w:fill="FFFFFF" w:themeFill="background1"/>
            <w:vAlign w:val="center"/>
            <w:hideMark/>
          </w:tcPr>
          <w:p w14:paraId="25242A31" w14:textId="77777777" w:rsidR="00EC1414" w:rsidRPr="009A501D" w:rsidRDefault="00EC1414" w:rsidP="001170BD">
            <w:pPr>
              <w:spacing w:after="0"/>
              <w:rPr>
                <w:rFonts w:ascii="Century Gothic" w:eastAsia="Times New Roman" w:hAnsi="Century Gothic" w:cs="Calibri"/>
                <w:color w:val="000000"/>
                <w:sz w:val="16"/>
                <w:szCs w:val="16"/>
                <w:lang w:eastAsia="es-MX"/>
              </w:rPr>
            </w:pPr>
          </w:p>
        </w:tc>
        <w:tc>
          <w:tcPr>
            <w:tcW w:w="6215" w:type="dxa"/>
            <w:shd w:val="clear" w:color="auto" w:fill="FFFFFF" w:themeFill="background1"/>
            <w:vAlign w:val="center"/>
            <w:hideMark/>
          </w:tcPr>
          <w:p w14:paraId="777351B2"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la Dinámica de las Relaciones en los Hogares</w:t>
            </w:r>
          </w:p>
        </w:tc>
        <w:tc>
          <w:tcPr>
            <w:tcW w:w="1160" w:type="dxa"/>
            <w:shd w:val="clear" w:color="auto" w:fill="FFFFFF" w:themeFill="background1"/>
            <w:vAlign w:val="center"/>
            <w:hideMark/>
          </w:tcPr>
          <w:p w14:paraId="1E1206D6"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ENDIREH</w:t>
            </w:r>
          </w:p>
        </w:tc>
        <w:tc>
          <w:tcPr>
            <w:tcW w:w="1838" w:type="dxa"/>
            <w:shd w:val="clear" w:color="auto" w:fill="FFFFFF" w:themeFill="background1"/>
            <w:vAlign w:val="center"/>
            <w:hideMark/>
          </w:tcPr>
          <w:p w14:paraId="349D0C3F"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EC1414" w:rsidRPr="009A501D" w14:paraId="427BD016" w14:textId="77777777" w:rsidTr="00664A1D">
        <w:trPr>
          <w:trHeight w:val="284"/>
          <w:jc w:val="center"/>
        </w:trPr>
        <w:tc>
          <w:tcPr>
            <w:tcW w:w="988" w:type="dxa"/>
            <w:vMerge/>
            <w:shd w:val="clear" w:color="auto" w:fill="FFFFFF" w:themeFill="background1"/>
            <w:vAlign w:val="center"/>
            <w:hideMark/>
          </w:tcPr>
          <w:p w14:paraId="73460352" w14:textId="77777777" w:rsidR="00EC1414" w:rsidRPr="009A501D" w:rsidRDefault="00EC1414" w:rsidP="001170BD">
            <w:pPr>
              <w:spacing w:after="0"/>
              <w:rPr>
                <w:rFonts w:ascii="Century Gothic" w:eastAsia="Times New Roman" w:hAnsi="Century Gothic" w:cs="Calibri"/>
                <w:color w:val="000000"/>
                <w:sz w:val="16"/>
                <w:szCs w:val="16"/>
                <w:lang w:eastAsia="es-MX"/>
              </w:rPr>
            </w:pPr>
          </w:p>
        </w:tc>
        <w:tc>
          <w:tcPr>
            <w:tcW w:w="6215" w:type="dxa"/>
            <w:shd w:val="clear" w:color="auto" w:fill="FFFFFF" w:themeFill="background1"/>
            <w:vAlign w:val="center"/>
            <w:hideMark/>
          </w:tcPr>
          <w:p w14:paraId="5FFA5F6B"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Transparencia, Acceso a la Información Pública y Protección de Datos Personales Estatal</w:t>
            </w:r>
          </w:p>
        </w:tc>
        <w:tc>
          <w:tcPr>
            <w:tcW w:w="1160" w:type="dxa"/>
            <w:shd w:val="clear" w:color="auto" w:fill="FFFFFF" w:themeFill="background1"/>
            <w:vAlign w:val="center"/>
            <w:hideMark/>
          </w:tcPr>
          <w:p w14:paraId="232B64D0"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CNTAIPPDPE</w:t>
            </w:r>
          </w:p>
        </w:tc>
        <w:tc>
          <w:tcPr>
            <w:tcW w:w="1838" w:type="dxa"/>
            <w:shd w:val="clear" w:color="auto" w:fill="FFFFFF" w:themeFill="background1"/>
            <w:vAlign w:val="center"/>
            <w:hideMark/>
          </w:tcPr>
          <w:p w14:paraId="52C74A57"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EC1414" w:rsidRPr="009A501D" w14:paraId="1D269443" w14:textId="77777777" w:rsidTr="00664A1D">
        <w:trPr>
          <w:trHeight w:val="284"/>
          <w:jc w:val="center"/>
        </w:trPr>
        <w:tc>
          <w:tcPr>
            <w:tcW w:w="988" w:type="dxa"/>
            <w:vMerge/>
            <w:shd w:val="clear" w:color="auto" w:fill="FFFFFF" w:themeFill="background1"/>
            <w:vAlign w:val="center"/>
            <w:hideMark/>
          </w:tcPr>
          <w:p w14:paraId="22EAA5B9" w14:textId="77777777" w:rsidR="00EC1414" w:rsidRPr="009A501D" w:rsidRDefault="00EC1414" w:rsidP="001170BD">
            <w:pPr>
              <w:spacing w:after="0"/>
              <w:rPr>
                <w:rFonts w:ascii="Century Gothic" w:eastAsia="Times New Roman" w:hAnsi="Century Gothic" w:cs="Calibri"/>
                <w:color w:val="000000"/>
                <w:sz w:val="16"/>
                <w:szCs w:val="16"/>
                <w:lang w:eastAsia="es-MX"/>
              </w:rPr>
            </w:pPr>
          </w:p>
        </w:tc>
        <w:tc>
          <w:tcPr>
            <w:tcW w:w="6215" w:type="dxa"/>
            <w:shd w:val="clear" w:color="auto" w:fill="FFFFFF" w:themeFill="background1"/>
            <w:vAlign w:val="center"/>
            <w:hideMark/>
          </w:tcPr>
          <w:p w14:paraId="1EE479DC"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Gobiernos Municipales y Demarcaciones Territoriales de la Ciudad de México</w:t>
            </w:r>
          </w:p>
        </w:tc>
        <w:tc>
          <w:tcPr>
            <w:tcW w:w="1160" w:type="dxa"/>
            <w:shd w:val="clear" w:color="auto" w:fill="FFFFFF" w:themeFill="background1"/>
            <w:vAlign w:val="center"/>
            <w:hideMark/>
          </w:tcPr>
          <w:p w14:paraId="3E23A39F"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CNGMD</w:t>
            </w:r>
          </w:p>
        </w:tc>
        <w:tc>
          <w:tcPr>
            <w:tcW w:w="1838" w:type="dxa"/>
            <w:shd w:val="clear" w:color="auto" w:fill="FFFFFF" w:themeFill="background1"/>
            <w:vAlign w:val="center"/>
            <w:hideMark/>
          </w:tcPr>
          <w:p w14:paraId="7848D52A"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EC1414" w:rsidRPr="009A501D" w14:paraId="728AAF3F" w14:textId="77777777" w:rsidTr="00664A1D">
        <w:trPr>
          <w:trHeight w:val="284"/>
          <w:jc w:val="center"/>
        </w:trPr>
        <w:tc>
          <w:tcPr>
            <w:tcW w:w="988" w:type="dxa"/>
            <w:shd w:val="clear" w:color="auto" w:fill="F2F2F2" w:themeFill="background1" w:themeFillShade="F2"/>
            <w:vAlign w:val="center"/>
            <w:hideMark/>
          </w:tcPr>
          <w:p w14:paraId="6C12864F" w14:textId="77777777" w:rsidR="00EC1414" w:rsidRPr="009A501D" w:rsidRDefault="00EC1414" w:rsidP="001170BD">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6215" w:type="dxa"/>
            <w:shd w:val="clear" w:color="auto" w:fill="F2F2F2" w:themeFill="background1" w:themeFillShade="F2"/>
            <w:vAlign w:val="center"/>
            <w:hideMark/>
          </w:tcPr>
          <w:p w14:paraId="1DB778D7"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de salud en establecimientos particulares</w:t>
            </w:r>
          </w:p>
        </w:tc>
        <w:tc>
          <w:tcPr>
            <w:tcW w:w="1160" w:type="dxa"/>
            <w:shd w:val="clear" w:color="auto" w:fill="F2F2F2" w:themeFill="background1" w:themeFillShade="F2"/>
            <w:vAlign w:val="center"/>
            <w:hideMark/>
          </w:tcPr>
          <w:p w14:paraId="22A39890" w14:textId="77777777" w:rsidR="00EC1414" w:rsidRPr="009A501D" w:rsidRDefault="00EC1414" w:rsidP="001170BD">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ESEP</w:t>
            </w:r>
          </w:p>
        </w:tc>
        <w:tc>
          <w:tcPr>
            <w:tcW w:w="1838" w:type="dxa"/>
            <w:shd w:val="clear" w:color="auto" w:fill="F2F2F2" w:themeFill="background1" w:themeFillShade="F2"/>
            <w:vAlign w:val="center"/>
            <w:hideMark/>
          </w:tcPr>
          <w:p w14:paraId="79209896"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EC1414" w:rsidRPr="009A501D" w14:paraId="71873DAB" w14:textId="77777777" w:rsidTr="00664A1D">
        <w:trPr>
          <w:trHeight w:val="284"/>
          <w:jc w:val="center"/>
        </w:trPr>
        <w:tc>
          <w:tcPr>
            <w:tcW w:w="988" w:type="dxa"/>
            <w:shd w:val="clear" w:color="auto" w:fill="FFFFFF" w:themeFill="background1"/>
            <w:vAlign w:val="center"/>
            <w:hideMark/>
          </w:tcPr>
          <w:p w14:paraId="4D71EE5C" w14:textId="77777777" w:rsidR="00EC1414" w:rsidRPr="009A501D" w:rsidRDefault="00EC1414" w:rsidP="001170BD">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6215" w:type="dxa"/>
            <w:shd w:val="clear" w:color="auto" w:fill="FFFFFF" w:themeFill="background1"/>
            <w:vAlign w:val="center"/>
            <w:hideMark/>
          </w:tcPr>
          <w:p w14:paraId="26D21D9C" w14:textId="77777777" w:rsidR="00EC1414" w:rsidRPr="009A501D" w:rsidRDefault="00EC1414" w:rsidP="001170BD">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Topografía</w:t>
            </w:r>
          </w:p>
        </w:tc>
        <w:tc>
          <w:tcPr>
            <w:tcW w:w="1160" w:type="dxa"/>
            <w:shd w:val="clear" w:color="auto" w:fill="FFFFFF" w:themeFill="background1"/>
            <w:vAlign w:val="center"/>
            <w:hideMark/>
          </w:tcPr>
          <w:p w14:paraId="65C6A982" w14:textId="77777777" w:rsidR="00EC1414" w:rsidRPr="009A501D" w:rsidRDefault="00EC1414" w:rsidP="001170BD">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w:t>
            </w:r>
          </w:p>
        </w:tc>
        <w:tc>
          <w:tcPr>
            <w:tcW w:w="1838" w:type="dxa"/>
            <w:shd w:val="clear" w:color="auto" w:fill="FFFFFF" w:themeFill="background1"/>
            <w:vAlign w:val="center"/>
            <w:hideMark/>
          </w:tcPr>
          <w:p w14:paraId="1161D724" w14:textId="77777777" w:rsidR="00EC1414" w:rsidRPr="009A501D" w:rsidRDefault="00EC1414" w:rsidP="001170BD">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bl>
    <w:p w14:paraId="50726BD1" w14:textId="4A738D1D" w:rsidR="00E5198F" w:rsidRPr="009A501D" w:rsidRDefault="00EC1414" w:rsidP="004157D6">
      <w:pPr>
        <w:spacing w:before="240"/>
        <w:jc w:val="both"/>
        <w:rPr>
          <w:rFonts w:ascii="Century Gothic" w:hAnsi="Century Gothic"/>
          <w:sz w:val="19"/>
          <w:szCs w:val="19"/>
        </w:rPr>
      </w:pPr>
      <w:r w:rsidRPr="009A501D">
        <w:rPr>
          <w:rFonts w:ascii="Century Gothic" w:hAnsi="Century Gothic"/>
          <w:sz w:val="19"/>
          <w:szCs w:val="19"/>
        </w:rPr>
        <w:t xml:space="preserve">En 2022 se registraron cambios únicamente en </w:t>
      </w:r>
      <w:r w:rsidR="00177096" w:rsidRPr="009A501D">
        <w:rPr>
          <w:rFonts w:ascii="Century Gothic" w:hAnsi="Century Gothic"/>
          <w:sz w:val="19"/>
          <w:szCs w:val="19"/>
        </w:rPr>
        <w:t>seis</w:t>
      </w:r>
      <w:r w:rsidRPr="009A501D">
        <w:rPr>
          <w:rFonts w:ascii="Century Gothic" w:hAnsi="Century Gothic"/>
          <w:sz w:val="19"/>
          <w:szCs w:val="19"/>
        </w:rPr>
        <w:t xml:space="preserve"> procesos de producción</w:t>
      </w:r>
      <w:r w:rsidR="00A3097F">
        <w:rPr>
          <w:rFonts w:ascii="Century Gothic" w:hAnsi="Century Gothic"/>
          <w:sz w:val="19"/>
          <w:szCs w:val="19"/>
        </w:rPr>
        <w:t xml:space="preserve"> (ver Anexo 8)</w:t>
      </w:r>
      <w:r w:rsidRPr="009A501D">
        <w:rPr>
          <w:rFonts w:ascii="Century Gothic" w:hAnsi="Century Gothic"/>
          <w:sz w:val="19"/>
          <w:szCs w:val="19"/>
        </w:rPr>
        <w:t>, cifra por debajo de los 39 procesos que registraron cambios en 2021</w:t>
      </w:r>
      <w:r w:rsidR="00A3097F">
        <w:rPr>
          <w:rStyle w:val="Refdenotaalpie"/>
          <w:rFonts w:ascii="Century Gothic" w:hAnsi="Century Gothic"/>
          <w:sz w:val="19"/>
          <w:szCs w:val="19"/>
        </w:rPr>
        <w:footnoteReference w:id="17"/>
      </w:r>
      <w:r w:rsidRPr="009A501D">
        <w:rPr>
          <w:rFonts w:ascii="Century Gothic" w:hAnsi="Century Gothic"/>
          <w:sz w:val="19"/>
          <w:szCs w:val="19"/>
        </w:rPr>
        <w:t>.</w:t>
      </w:r>
      <w:r w:rsidR="00ED7705" w:rsidRPr="009A501D">
        <w:rPr>
          <w:rFonts w:ascii="Century Gothic" w:hAnsi="Century Gothic"/>
          <w:sz w:val="19"/>
          <w:szCs w:val="19"/>
        </w:rPr>
        <w:t xml:space="preserve">  Es necesario ahondar más sobre las causas de </w:t>
      </w:r>
      <w:r w:rsidR="00925F55" w:rsidRPr="009A501D">
        <w:rPr>
          <w:rFonts w:ascii="Century Gothic" w:hAnsi="Century Gothic"/>
          <w:sz w:val="19"/>
          <w:szCs w:val="19"/>
        </w:rPr>
        <w:t xml:space="preserve">esta caída en el registro de cambios, ya que si bien podría ser reflejo de una mayor estabilidad después de la pandemia, también podría deberse a un subregistro de estas modificaciones. </w:t>
      </w:r>
    </w:p>
    <w:p w14:paraId="3F12B045" w14:textId="501D0869"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 xml:space="preserve">Los cambios impactaron la pertinencia, </w:t>
      </w:r>
      <w:r w:rsidR="00C13FF9" w:rsidRPr="009A501D">
        <w:rPr>
          <w:rFonts w:ascii="Century Gothic" w:hAnsi="Century Gothic"/>
          <w:sz w:val="19"/>
          <w:szCs w:val="19"/>
        </w:rPr>
        <w:t xml:space="preserve">la </w:t>
      </w:r>
      <w:r w:rsidRPr="009A501D">
        <w:rPr>
          <w:rFonts w:ascii="Century Gothic" w:hAnsi="Century Gothic"/>
          <w:sz w:val="19"/>
          <w:szCs w:val="19"/>
        </w:rPr>
        <w:t xml:space="preserve">oportunidad, </w:t>
      </w:r>
      <w:r w:rsidR="00C13FF9" w:rsidRPr="009A501D">
        <w:rPr>
          <w:rFonts w:ascii="Century Gothic" w:hAnsi="Century Gothic"/>
          <w:sz w:val="19"/>
          <w:szCs w:val="19"/>
        </w:rPr>
        <w:t>la</w:t>
      </w:r>
      <w:r w:rsidRPr="009A501D">
        <w:rPr>
          <w:rFonts w:ascii="Century Gothic" w:hAnsi="Century Gothic"/>
          <w:sz w:val="19"/>
          <w:szCs w:val="19"/>
        </w:rPr>
        <w:t xml:space="preserve"> precisión,</w:t>
      </w:r>
      <w:r w:rsidR="00B001E3" w:rsidRPr="009A501D">
        <w:rPr>
          <w:rFonts w:ascii="Century Gothic" w:hAnsi="Century Gothic"/>
          <w:sz w:val="19"/>
          <w:szCs w:val="19"/>
        </w:rPr>
        <w:t xml:space="preserve"> y</w:t>
      </w:r>
      <w:r w:rsidRPr="009A501D">
        <w:rPr>
          <w:rFonts w:ascii="Century Gothic" w:hAnsi="Century Gothic"/>
          <w:sz w:val="19"/>
          <w:szCs w:val="19"/>
        </w:rPr>
        <w:t xml:space="preserve"> </w:t>
      </w:r>
      <w:r w:rsidR="00C13FF9" w:rsidRPr="009A501D">
        <w:rPr>
          <w:rFonts w:ascii="Century Gothic" w:hAnsi="Century Gothic"/>
          <w:sz w:val="19"/>
          <w:szCs w:val="19"/>
        </w:rPr>
        <w:t xml:space="preserve">la </w:t>
      </w:r>
      <w:r w:rsidRPr="009A501D">
        <w:rPr>
          <w:rFonts w:ascii="Century Gothic" w:hAnsi="Century Gothic"/>
          <w:sz w:val="19"/>
          <w:szCs w:val="19"/>
        </w:rPr>
        <w:t>comparabilidad o accesibilidad de la información de forma diferenciada (ver cuadro IV.</w:t>
      </w:r>
      <w:r w:rsidR="00DC47C3" w:rsidRPr="009A501D">
        <w:rPr>
          <w:rFonts w:ascii="Century Gothic" w:hAnsi="Century Gothic"/>
          <w:sz w:val="19"/>
          <w:szCs w:val="19"/>
        </w:rPr>
        <w:t>3</w:t>
      </w:r>
      <w:r w:rsidRPr="009A501D">
        <w:rPr>
          <w:rFonts w:ascii="Century Gothic" w:hAnsi="Century Gothic"/>
          <w:sz w:val="19"/>
          <w:szCs w:val="19"/>
        </w:rPr>
        <w:t>.</w:t>
      </w:r>
      <w:r w:rsidR="00A34FB3" w:rsidRPr="009A501D">
        <w:rPr>
          <w:rFonts w:ascii="Century Gothic" w:hAnsi="Century Gothic"/>
          <w:sz w:val="19"/>
          <w:szCs w:val="19"/>
        </w:rPr>
        <w:t>2</w:t>
      </w:r>
      <w:r w:rsidRPr="009A501D">
        <w:rPr>
          <w:rFonts w:ascii="Century Gothic" w:hAnsi="Century Gothic"/>
          <w:sz w:val="19"/>
          <w:szCs w:val="19"/>
        </w:rPr>
        <w:t>). Destaca el impacto en la coherencia y comparabilidad de la información en el Censo Nacional de Gobiernos Municipales y Demarcaciones Territoriales de la Ciudad de Méxic</w:t>
      </w:r>
      <w:r w:rsidR="00D22ECC" w:rsidRPr="009A501D">
        <w:rPr>
          <w:rFonts w:ascii="Century Gothic" w:hAnsi="Century Gothic"/>
          <w:sz w:val="19"/>
          <w:szCs w:val="19"/>
        </w:rPr>
        <w:t>o</w:t>
      </w:r>
      <w:r w:rsidRPr="009A501D">
        <w:rPr>
          <w:rFonts w:ascii="Century Gothic" w:hAnsi="Century Gothic"/>
          <w:sz w:val="19"/>
          <w:szCs w:val="19"/>
        </w:rPr>
        <w:t xml:space="preserve"> (CNGMD)</w:t>
      </w:r>
      <w:r w:rsidR="003A322D" w:rsidRPr="009A501D">
        <w:rPr>
          <w:rStyle w:val="Refdenotaalpie"/>
          <w:rFonts w:ascii="Century Gothic" w:hAnsi="Century Gothic"/>
          <w:sz w:val="19"/>
          <w:szCs w:val="19"/>
        </w:rPr>
        <w:footnoteReference w:id="18"/>
      </w:r>
      <w:r w:rsidRPr="009A501D">
        <w:rPr>
          <w:rFonts w:ascii="Century Gothic" w:hAnsi="Century Gothic"/>
          <w:sz w:val="19"/>
          <w:szCs w:val="19"/>
        </w:rPr>
        <w:t xml:space="preserve"> y </w:t>
      </w:r>
      <w:r w:rsidR="006020C6" w:rsidRPr="009A501D">
        <w:rPr>
          <w:rFonts w:ascii="Century Gothic" w:hAnsi="Century Gothic"/>
          <w:sz w:val="19"/>
          <w:szCs w:val="19"/>
        </w:rPr>
        <w:t>Topografía</w:t>
      </w:r>
      <w:r w:rsidRPr="009A501D">
        <w:rPr>
          <w:rFonts w:ascii="Century Gothic" w:hAnsi="Century Gothic"/>
          <w:sz w:val="19"/>
          <w:szCs w:val="19"/>
        </w:rPr>
        <w:t xml:space="preserve"> (TOPO). </w:t>
      </w:r>
    </w:p>
    <w:p w14:paraId="074F3F53" w14:textId="53A7F826" w:rsidR="00EC1414" w:rsidRPr="009A501D" w:rsidRDefault="00EC1414" w:rsidP="00664A1D">
      <w:pPr>
        <w:spacing w:before="240"/>
        <w:jc w:val="center"/>
        <w:rPr>
          <w:rFonts w:ascii="Century Gothic" w:hAnsi="Century Gothic"/>
          <w:sz w:val="19"/>
          <w:szCs w:val="19"/>
        </w:rPr>
      </w:pPr>
      <w:r w:rsidRPr="009A501D">
        <w:rPr>
          <w:rFonts w:ascii="Century Gothic" w:hAnsi="Century Gothic"/>
          <w:b/>
          <w:sz w:val="19"/>
          <w:szCs w:val="19"/>
        </w:rPr>
        <w:t>IV.</w:t>
      </w:r>
      <w:r w:rsidR="008D11E0" w:rsidRPr="009A501D">
        <w:rPr>
          <w:rFonts w:ascii="Century Gothic" w:hAnsi="Century Gothic"/>
          <w:b/>
          <w:sz w:val="19"/>
          <w:szCs w:val="19"/>
        </w:rPr>
        <w:t>3</w:t>
      </w:r>
      <w:r w:rsidRPr="009A501D">
        <w:rPr>
          <w:rFonts w:ascii="Century Gothic" w:hAnsi="Century Gothic"/>
          <w:b/>
          <w:sz w:val="19"/>
          <w:szCs w:val="19"/>
        </w:rPr>
        <w:t>.</w:t>
      </w:r>
      <w:r w:rsidR="00A34FB3" w:rsidRPr="009A501D">
        <w:rPr>
          <w:rFonts w:ascii="Century Gothic" w:hAnsi="Century Gothic"/>
          <w:b/>
          <w:sz w:val="19"/>
          <w:szCs w:val="19"/>
        </w:rPr>
        <w:t>2</w:t>
      </w:r>
      <w:r w:rsidRPr="009A501D">
        <w:rPr>
          <w:rFonts w:ascii="Century Gothic" w:hAnsi="Century Gothic" w:cstheme="minorHAnsi"/>
          <w:b/>
          <w:sz w:val="19"/>
          <w:szCs w:val="19"/>
        </w:rPr>
        <w:t>. Principios de calidad impactados por los cambios</w:t>
      </w:r>
    </w:p>
    <w:tbl>
      <w:tblPr>
        <w:tblW w:w="923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325"/>
        <w:gridCol w:w="1257"/>
        <w:gridCol w:w="1439"/>
        <w:gridCol w:w="1161"/>
        <w:gridCol w:w="1598"/>
        <w:gridCol w:w="1450"/>
      </w:tblGrid>
      <w:tr w:rsidR="00EC1414" w:rsidRPr="009A501D" w14:paraId="4445ED5B" w14:textId="77777777" w:rsidTr="00C0496A">
        <w:trPr>
          <w:trHeight w:val="284"/>
          <w:jc w:val="center"/>
        </w:trPr>
        <w:tc>
          <w:tcPr>
            <w:tcW w:w="2325" w:type="dxa"/>
            <w:shd w:val="clear" w:color="auto" w:fill="002060"/>
            <w:noWrap/>
            <w:vAlign w:val="center"/>
            <w:hideMark/>
          </w:tcPr>
          <w:p w14:paraId="063D0DE6" w14:textId="6DA0212A" w:rsidR="00EC1414" w:rsidRPr="009A501D" w:rsidRDefault="005F6B27" w:rsidP="00782D67">
            <w:pPr>
              <w:spacing w:after="0"/>
              <w:jc w:val="both"/>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Proceso</w:t>
            </w:r>
          </w:p>
        </w:tc>
        <w:tc>
          <w:tcPr>
            <w:tcW w:w="1257" w:type="dxa"/>
            <w:shd w:val="clear" w:color="auto" w:fill="002060"/>
            <w:vAlign w:val="center"/>
            <w:hideMark/>
          </w:tcPr>
          <w:p w14:paraId="6F4AF39D" w14:textId="77777777" w:rsidR="00EC1414" w:rsidRPr="009A501D" w:rsidRDefault="00EC1414" w:rsidP="00782D67">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Pertinencia</w:t>
            </w:r>
          </w:p>
        </w:tc>
        <w:tc>
          <w:tcPr>
            <w:tcW w:w="1439" w:type="dxa"/>
            <w:shd w:val="clear" w:color="auto" w:fill="002060"/>
            <w:vAlign w:val="center"/>
            <w:hideMark/>
          </w:tcPr>
          <w:p w14:paraId="2970BDAE" w14:textId="77777777" w:rsidR="00EC1414" w:rsidRPr="009A501D" w:rsidRDefault="00EC1414" w:rsidP="00782D67">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Oportunidad y puntualidad</w:t>
            </w:r>
          </w:p>
        </w:tc>
        <w:tc>
          <w:tcPr>
            <w:tcW w:w="1161" w:type="dxa"/>
            <w:shd w:val="clear" w:color="auto" w:fill="002060"/>
            <w:vAlign w:val="center"/>
            <w:hideMark/>
          </w:tcPr>
          <w:p w14:paraId="65298890" w14:textId="77777777" w:rsidR="00EC1414" w:rsidRPr="009A501D" w:rsidRDefault="00EC1414" w:rsidP="00782D67">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Veracidad o precisión</w:t>
            </w:r>
          </w:p>
        </w:tc>
        <w:tc>
          <w:tcPr>
            <w:tcW w:w="1598" w:type="dxa"/>
            <w:shd w:val="clear" w:color="auto" w:fill="002060"/>
            <w:vAlign w:val="center"/>
            <w:hideMark/>
          </w:tcPr>
          <w:p w14:paraId="0568D9AD" w14:textId="77777777" w:rsidR="00EC1414" w:rsidRPr="009A501D" w:rsidRDefault="00EC1414" w:rsidP="00782D67">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Coherencia y comparabilidad</w:t>
            </w:r>
          </w:p>
        </w:tc>
        <w:tc>
          <w:tcPr>
            <w:tcW w:w="1450" w:type="dxa"/>
            <w:shd w:val="clear" w:color="auto" w:fill="002060"/>
            <w:vAlign w:val="center"/>
            <w:hideMark/>
          </w:tcPr>
          <w:p w14:paraId="227381C3" w14:textId="77777777" w:rsidR="00EC1414" w:rsidRPr="009A501D" w:rsidRDefault="00EC1414" w:rsidP="00782D67">
            <w:pPr>
              <w:spacing w:after="0"/>
              <w:jc w:val="center"/>
              <w:rPr>
                <w:rFonts w:ascii="Century Gothic" w:eastAsia="Times New Roman" w:hAnsi="Century Gothic" w:cs="Calibri"/>
                <w:b/>
                <w:color w:val="FFFFFF"/>
                <w:sz w:val="16"/>
                <w:szCs w:val="16"/>
                <w:lang w:eastAsia="es-MX"/>
              </w:rPr>
            </w:pPr>
            <w:r w:rsidRPr="009A501D">
              <w:rPr>
                <w:rFonts w:ascii="Century Gothic" w:eastAsia="Times New Roman" w:hAnsi="Century Gothic" w:cs="Calibri"/>
                <w:b/>
                <w:color w:val="FFFFFF"/>
                <w:sz w:val="16"/>
                <w:szCs w:val="16"/>
                <w:lang w:eastAsia="es-MX"/>
              </w:rPr>
              <w:t>Accesibilidad</w:t>
            </w:r>
          </w:p>
        </w:tc>
      </w:tr>
      <w:tr w:rsidR="00EC1414" w:rsidRPr="009A501D" w14:paraId="2A09E844" w14:textId="77777777" w:rsidTr="00C0496A">
        <w:trPr>
          <w:trHeight w:val="284"/>
          <w:jc w:val="center"/>
        </w:trPr>
        <w:tc>
          <w:tcPr>
            <w:tcW w:w="2325" w:type="dxa"/>
            <w:shd w:val="clear" w:color="auto" w:fill="FFFFFF" w:themeFill="background1"/>
            <w:noWrap/>
            <w:vAlign w:val="center"/>
            <w:hideMark/>
          </w:tcPr>
          <w:p w14:paraId="49AF9BE4" w14:textId="77777777" w:rsidR="00EC1414" w:rsidRPr="009A501D" w:rsidRDefault="00EC1414"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CNTAIPPDPE</w:t>
            </w:r>
          </w:p>
        </w:tc>
        <w:tc>
          <w:tcPr>
            <w:tcW w:w="1257" w:type="dxa"/>
            <w:shd w:val="clear" w:color="auto" w:fill="FFFFFF" w:themeFill="background1"/>
            <w:noWrap/>
            <w:vAlign w:val="center"/>
            <w:hideMark/>
          </w:tcPr>
          <w:p w14:paraId="70FC5FE1"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439" w:type="dxa"/>
            <w:shd w:val="clear" w:color="auto" w:fill="FFFFFF" w:themeFill="background1"/>
            <w:noWrap/>
            <w:vAlign w:val="center"/>
            <w:hideMark/>
          </w:tcPr>
          <w:p w14:paraId="1CF723B7" w14:textId="77777777" w:rsidR="00EC1414" w:rsidRPr="009A501D" w:rsidRDefault="00EC1414" w:rsidP="00782D67">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w:t>
            </w:r>
          </w:p>
        </w:tc>
        <w:tc>
          <w:tcPr>
            <w:tcW w:w="1161" w:type="dxa"/>
            <w:shd w:val="clear" w:color="auto" w:fill="FFFFFF" w:themeFill="background1"/>
            <w:noWrap/>
            <w:vAlign w:val="center"/>
            <w:hideMark/>
          </w:tcPr>
          <w:p w14:paraId="5021E963"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598" w:type="dxa"/>
            <w:shd w:val="clear" w:color="auto" w:fill="FFFFFF" w:themeFill="background1"/>
            <w:noWrap/>
            <w:vAlign w:val="center"/>
            <w:hideMark/>
          </w:tcPr>
          <w:p w14:paraId="400366DD"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Century Gothic" w:eastAsia="Times New Roman" w:hAnsi="Century Gothic" w:cs="Calibri"/>
                <w:color w:val="202124"/>
                <w:sz w:val="16"/>
                <w:szCs w:val="16"/>
                <w:lang w:eastAsia="es-MX"/>
              </w:rPr>
              <w:t> </w:t>
            </w:r>
          </w:p>
        </w:tc>
        <w:tc>
          <w:tcPr>
            <w:tcW w:w="1450" w:type="dxa"/>
            <w:shd w:val="clear" w:color="auto" w:fill="FFFFFF" w:themeFill="background1"/>
            <w:noWrap/>
            <w:vAlign w:val="center"/>
            <w:hideMark/>
          </w:tcPr>
          <w:p w14:paraId="5D8DF557" w14:textId="77777777" w:rsidR="00EC1414" w:rsidRPr="009A501D" w:rsidRDefault="00EC1414" w:rsidP="00782D67">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w:t>
            </w:r>
          </w:p>
        </w:tc>
      </w:tr>
      <w:tr w:rsidR="00EC1414" w:rsidRPr="009A501D" w14:paraId="495E8BD6" w14:textId="77777777" w:rsidTr="00C0496A">
        <w:trPr>
          <w:trHeight w:val="284"/>
          <w:jc w:val="center"/>
        </w:trPr>
        <w:tc>
          <w:tcPr>
            <w:tcW w:w="2325" w:type="dxa"/>
            <w:shd w:val="clear" w:color="auto" w:fill="F2F2F2" w:themeFill="background1" w:themeFillShade="F2"/>
            <w:noWrap/>
            <w:vAlign w:val="center"/>
            <w:hideMark/>
          </w:tcPr>
          <w:p w14:paraId="5920547D" w14:textId="77777777" w:rsidR="00EC1414" w:rsidRPr="009A501D" w:rsidRDefault="00EC1414"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CNGMD</w:t>
            </w:r>
          </w:p>
        </w:tc>
        <w:tc>
          <w:tcPr>
            <w:tcW w:w="1257" w:type="dxa"/>
            <w:shd w:val="clear" w:color="auto" w:fill="F2F2F2" w:themeFill="background1" w:themeFillShade="F2"/>
            <w:noWrap/>
            <w:vAlign w:val="center"/>
            <w:hideMark/>
          </w:tcPr>
          <w:p w14:paraId="48562CCE"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439" w:type="dxa"/>
            <w:shd w:val="clear" w:color="auto" w:fill="F2F2F2" w:themeFill="background1" w:themeFillShade="F2"/>
            <w:noWrap/>
            <w:vAlign w:val="center"/>
            <w:hideMark/>
          </w:tcPr>
          <w:p w14:paraId="2D01BC2B" w14:textId="77777777" w:rsidR="00EC1414" w:rsidRPr="009A501D" w:rsidRDefault="00EC1414" w:rsidP="00782D67">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w:t>
            </w:r>
          </w:p>
        </w:tc>
        <w:tc>
          <w:tcPr>
            <w:tcW w:w="1161" w:type="dxa"/>
            <w:shd w:val="clear" w:color="auto" w:fill="F2F2F2" w:themeFill="background1" w:themeFillShade="F2"/>
            <w:noWrap/>
            <w:vAlign w:val="center"/>
            <w:hideMark/>
          </w:tcPr>
          <w:p w14:paraId="369C9596"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598" w:type="dxa"/>
            <w:shd w:val="clear" w:color="auto" w:fill="F2F2F2" w:themeFill="background1" w:themeFillShade="F2"/>
            <w:noWrap/>
            <w:vAlign w:val="center"/>
            <w:hideMark/>
          </w:tcPr>
          <w:p w14:paraId="30237EC6"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450" w:type="dxa"/>
            <w:shd w:val="clear" w:color="auto" w:fill="F2F2F2" w:themeFill="background1" w:themeFillShade="F2"/>
            <w:noWrap/>
            <w:vAlign w:val="center"/>
            <w:hideMark/>
          </w:tcPr>
          <w:p w14:paraId="5CC33F41" w14:textId="77777777" w:rsidR="00EC1414" w:rsidRPr="009A501D" w:rsidRDefault="00EC1414" w:rsidP="00782D67">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w:t>
            </w:r>
          </w:p>
        </w:tc>
      </w:tr>
      <w:tr w:rsidR="00EC1414" w:rsidRPr="009A501D" w14:paraId="48F804EB" w14:textId="77777777" w:rsidTr="00C0496A">
        <w:trPr>
          <w:trHeight w:val="284"/>
          <w:jc w:val="center"/>
        </w:trPr>
        <w:tc>
          <w:tcPr>
            <w:tcW w:w="2325" w:type="dxa"/>
            <w:shd w:val="clear" w:color="auto" w:fill="FFFFFF" w:themeFill="background1"/>
            <w:noWrap/>
            <w:vAlign w:val="center"/>
            <w:hideMark/>
          </w:tcPr>
          <w:p w14:paraId="4B2767CF" w14:textId="77777777" w:rsidR="00EC1414" w:rsidRPr="009A501D" w:rsidRDefault="00EC1414"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w:t>
            </w:r>
          </w:p>
        </w:tc>
        <w:tc>
          <w:tcPr>
            <w:tcW w:w="1257" w:type="dxa"/>
            <w:shd w:val="clear" w:color="auto" w:fill="FFFFFF" w:themeFill="background1"/>
            <w:noWrap/>
            <w:vAlign w:val="center"/>
            <w:hideMark/>
          </w:tcPr>
          <w:p w14:paraId="41C64C96"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Century Gothic" w:eastAsia="Times New Roman" w:hAnsi="Century Gothic" w:cs="Calibri"/>
                <w:color w:val="202124"/>
                <w:sz w:val="16"/>
                <w:szCs w:val="16"/>
                <w:lang w:eastAsia="es-MX"/>
              </w:rPr>
              <w:t> </w:t>
            </w:r>
          </w:p>
        </w:tc>
        <w:tc>
          <w:tcPr>
            <w:tcW w:w="1439" w:type="dxa"/>
            <w:shd w:val="clear" w:color="auto" w:fill="FFFFFF" w:themeFill="background1"/>
            <w:noWrap/>
            <w:vAlign w:val="center"/>
            <w:hideMark/>
          </w:tcPr>
          <w:p w14:paraId="6F74EEE8"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161" w:type="dxa"/>
            <w:shd w:val="clear" w:color="auto" w:fill="FFFFFF" w:themeFill="background1"/>
            <w:noWrap/>
            <w:vAlign w:val="center"/>
            <w:hideMark/>
          </w:tcPr>
          <w:p w14:paraId="73FE2101" w14:textId="77777777" w:rsidR="00EC1414" w:rsidRPr="009A501D" w:rsidRDefault="00EC1414" w:rsidP="00782D67">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w:t>
            </w:r>
          </w:p>
        </w:tc>
        <w:tc>
          <w:tcPr>
            <w:tcW w:w="1598" w:type="dxa"/>
            <w:shd w:val="clear" w:color="auto" w:fill="FFFFFF" w:themeFill="background1"/>
            <w:noWrap/>
            <w:vAlign w:val="center"/>
            <w:hideMark/>
          </w:tcPr>
          <w:p w14:paraId="774524C3"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c>
          <w:tcPr>
            <w:tcW w:w="1450" w:type="dxa"/>
            <w:shd w:val="clear" w:color="auto" w:fill="FFFFFF" w:themeFill="background1"/>
            <w:noWrap/>
            <w:vAlign w:val="center"/>
            <w:hideMark/>
          </w:tcPr>
          <w:p w14:paraId="32A0415B" w14:textId="77777777" w:rsidR="00EC1414" w:rsidRPr="009A501D" w:rsidRDefault="00EC1414" w:rsidP="00782D67">
            <w:pPr>
              <w:spacing w:after="0"/>
              <w:jc w:val="center"/>
              <w:rPr>
                <w:rFonts w:ascii="Century Gothic" w:eastAsia="Times New Roman" w:hAnsi="Century Gothic" w:cs="Calibri"/>
                <w:color w:val="202124"/>
                <w:sz w:val="16"/>
                <w:szCs w:val="16"/>
                <w:lang w:eastAsia="es-MX"/>
              </w:rPr>
            </w:pPr>
            <w:r w:rsidRPr="009A501D">
              <w:rPr>
                <w:rFonts w:ascii="Segoe UI Symbol" w:eastAsia="Times New Roman" w:hAnsi="Segoe UI Symbol" w:cs="Segoe UI Symbol"/>
                <w:color w:val="202124"/>
                <w:sz w:val="16"/>
                <w:szCs w:val="16"/>
                <w:lang w:eastAsia="es-MX"/>
              </w:rPr>
              <w:t>✔</w:t>
            </w:r>
          </w:p>
        </w:tc>
      </w:tr>
      <w:tr w:rsidR="00EC1414" w:rsidRPr="009A501D" w14:paraId="1C5BB465" w14:textId="77777777" w:rsidTr="00C0496A">
        <w:trPr>
          <w:trHeight w:val="284"/>
          <w:jc w:val="center"/>
        </w:trPr>
        <w:tc>
          <w:tcPr>
            <w:tcW w:w="2325" w:type="dxa"/>
            <w:shd w:val="clear" w:color="auto" w:fill="F2F2F2" w:themeFill="background1" w:themeFillShade="F2"/>
            <w:noWrap/>
            <w:vAlign w:val="center"/>
          </w:tcPr>
          <w:p w14:paraId="6DE1826F" w14:textId="3051F8D5" w:rsidR="00EC1414" w:rsidRPr="009A501D" w:rsidRDefault="00EC1414"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ENCIG </w:t>
            </w:r>
          </w:p>
        </w:tc>
        <w:tc>
          <w:tcPr>
            <w:tcW w:w="6905" w:type="dxa"/>
            <w:gridSpan w:val="5"/>
            <w:vMerge w:val="restart"/>
            <w:shd w:val="clear" w:color="auto" w:fill="F2F2F2" w:themeFill="background1" w:themeFillShade="F2"/>
            <w:noWrap/>
            <w:vAlign w:val="center"/>
          </w:tcPr>
          <w:p w14:paraId="7F55DF12" w14:textId="4A44ED84" w:rsidR="00EC1414" w:rsidRPr="009A501D" w:rsidRDefault="00EC1414" w:rsidP="00782D67">
            <w:pPr>
              <w:spacing w:after="0"/>
              <w:jc w:val="center"/>
              <w:rPr>
                <w:rFonts w:ascii="Century Gothic" w:eastAsia="Times New Roman" w:hAnsi="Century Gothic" w:cs="Segoe UI Symbol"/>
                <w:color w:val="202124"/>
                <w:sz w:val="16"/>
                <w:szCs w:val="16"/>
                <w:lang w:eastAsia="es-MX"/>
              </w:rPr>
            </w:pPr>
            <w:r w:rsidRPr="009A501D">
              <w:rPr>
                <w:rFonts w:ascii="Century Gothic" w:eastAsia="Times New Roman" w:hAnsi="Century Gothic" w:cs="Segoe UI Symbol"/>
                <w:color w:val="202124"/>
                <w:sz w:val="16"/>
                <w:szCs w:val="16"/>
                <w:lang w:eastAsia="es-MX"/>
              </w:rPr>
              <w:t>Sin identificación</w:t>
            </w:r>
          </w:p>
        </w:tc>
      </w:tr>
      <w:tr w:rsidR="00F07E1B" w:rsidRPr="009A501D" w14:paraId="486CBADE" w14:textId="77777777" w:rsidTr="000B6040">
        <w:trPr>
          <w:trHeight w:val="284"/>
          <w:jc w:val="center"/>
        </w:trPr>
        <w:tc>
          <w:tcPr>
            <w:tcW w:w="2325" w:type="dxa"/>
            <w:shd w:val="clear" w:color="auto" w:fill="F2F2F2" w:themeFill="background1" w:themeFillShade="F2"/>
            <w:noWrap/>
            <w:vAlign w:val="center"/>
          </w:tcPr>
          <w:p w14:paraId="2110A452" w14:textId="5C0D1074" w:rsidR="00F07E1B" w:rsidRPr="009A501D" w:rsidRDefault="00E41B88"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ENDIREH </w:t>
            </w:r>
          </w:p>
        </w:tc>
        <w:tc>
          <w:tcPr>
            <w:tcW w:w="6905" w:type="dxa"/>
            <w:gridSpan w:val="5"/>
            <w:vMerge/>
            <w:shd w:val="clear" w:color="auto" w:fill="F2F2F2" w:themeFill="background1" w:themeFillShade="F2"/>
            <w:noWrap/>
          </w:tcPr>
          <w:p w14:paraId="167CAFB0" w14:textId="2E5971DA" w:rsidR="00F07E1B" w:rsidRPr="009A501D" w:rsidRDefault="00F07E1B" w:rsidP="00782D67">
            <w:pPr>
              <w:spacing w:after="0"/>
              <w:jc w:val="center"/>
              <w:rPr>
                <w:rFonts w:ascii="Century Gothic" w:eastAsia="Times New Roman" w:hAnsi="Century Gothic" w:cs="Segoe UI Symbol"/>
                <w:color w:val="202124"/>
                <w:sz w:val="16"/>
                <w:szCs w:val="16"/>
                <w:lang w:eastAsia="es-MX"/>
              </w:rPr>
            </w:pPr>
          </w:p>
        </w:tc>
      </w:tr>
      <w:tr w:rsidR="00F07E1B" w:rsidRPr="009A501D" w14:paraId="04FBDD97" w14:textId="77777777" w:rsidTr="000B6040">
        <w:trPr>
          <w:trHeight w:val="284"/>
          <w:jc w:val="center"/>
        </w:trPr>
        <w:tc>
          <w:tcPr>
            <w:tcW w:w="2325" w:type="dxa"/>
            <w:shd w:val="clear" w:color="auto" w:fill="F2F2F2" w:themeFill="background1" w:themeFillShade="F2"/>
            <w:noWrap/>
            <w:vAlign w:val="center"/>
          </w:tcPr>
          <w:p w14:paraId="2478130A" w14:textId="1B874AEC" w:rsidR="00F07E1B" w:rsidRPr="009A501D" w:rsidRDefault="00E41B88" w:rsidP="00782D67">
            <w:pPr>
              <w:spacing w:after="0"/>
              <w:jc w:val="both"/>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ESEP</w:t>
            </w:r>
          </w:p>
        </w:tc>
        <w:tc>
          <w:tcPr>
            <w:tcW w:w="6905" w:type="dxa"/>
            <w:gridSpan w:val="5"/>
            <w:vMerge/>
            <w:shd w:val="clear" w:color="auto" w:fill="F2F2F2" w:themeFill="background1" w:themeFillShade="F2"/>
            <w:noWrap/>
          </w:tcPr>
          <w:p w14:paraId="2D7F3AB4" w14:textId="59AD1FB5" w:rsidR="00F07E1B" w:rsidRPr="009A501D" w:rsidRDefault="00F07E1B" w:rsidP="00782D67">
            <w:pPr>
              <w:spacing w:after="0"/>
              <w:jc w:val="center"/>
              <w:rPr>
                <w:rFonts w:ascii="Century Gothic" w:eastAsia="Times New Roman" w:hAnsi="Century Gothic" w:cs="Segoe UI Symbol"/>
                <w:color w:val="202124"/>
                <w:sz w:val="16"/>
                <w:szCs w:val="16"/>
                <w:lang w:eastAsia="es-MX"/>
              </w:rPr>
            </w:pPr>
          </w:p>
        </w:tc>
      </w:tr>
    </w:tbl>
    <w:p w14:paraId="5CD4F2E4" w14:textId="06A3DC0D"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 xml:space="preserve">Como puede observarse en </w:t>
      </w:r>
      <w:r w:rsidR="00C77FB2" w:rsidRPr="009A501D">
        <w:rPr>
          <w:rFonts w:ascii="Century Gothic" w:hAnsi="Century Gothic"/>
          <w:sz w:val="19"/>
          <w:szCs w:val="19"/>
        </w:rPr>
        <w:t>la</w:t>
      </w:r>
      <w:r w:rsidRPr="009A501D">
        <w:rPr>
          <w:rFonts w:ascii="Century Gothic" w:hAnsi="Century Gothic"/>
          <w:sz w:val="19"/>
          <w:szCs w:val="19"/>
        </w:rPr>
        <w:t xml:space="preserve"> </w:t>
      </w:r>
      <w:r w:rsidR="00C77FB2" w:rsidRPr="009A501D">
        <w:rPr>
          <w:rFonts w:ascii="Century Gothic" w:hAnsi="Century Gothic"/>
          <w:sz w:val="19"/>
          <w:szCs w:val="19"/>
        </w:rPr>
        <w:t>figura</w:t>
      </w:r>
      <w:r w:rsidRPr="009A501D">
        <w:rPr>
          <w:rFonts w:ascii="Century Gothic" w:hAnsi="Century Gothic"/>
          <w:sz w:val="19"/>
          <w:szCs w:val="19"/>
        </w:rPr>
        <w:t xml:space="preserve"> IV.</w:t>
      </w:r>
      <w:r w:rsidR="001D5671" w:rsidRPr="009A501D">
        <w:rPr>
          <w:rFonts w:ascii="Century Gothic" w:hAnsi="Century Gothic"/>
          <w:sz w:val="19"/>
          <w:szCs w:val="19"/>
        </w:rPr>
        <w:t>3</w:t>
      </w:r>
      <w:r w:rsidRPr="009A501D">
        <w:rPr>
          <w:rFonts w:ascii="Century Gothic" w:hAnsi="Century Gothic"/>
          <w:sz w:val="19"/>
          <w:szCs w:val="19"/>
        </w:rPr>
        <w:t>.</w:t>
      </w:r>
      <w:r w:rsidR="00A34FB3" w:rsidRPr="009A501D">
        <w:rPr>
          <w:rFonts w:ascii="Century Gothic" w:hAnsi="Century Gothic"/>
          <w:sz w:val="19"/>
          <w:szCs w:val="19"/>
        </w:rPr>
        <w:t>3</w:t>
      </w:r>
      <w:r w:rsidRPr="009A501D">
        <w:rPr>
          <w:rFonts w:ascii="Century Gothic" w:hAnsi="Century Gothic"/>
          <w:sz w:val="19"/>
          <w:szCs w:val="19"/>
        </w:rPr>
        <w:t xml:space="preserve">, la mayoría de los cambios provienen de iniciativas del personal del INEGI (60%) y el resto tanto de usuarios externos como de organismos internacionales. </w:t>
      </w:r>
      <w:r w:rsidR="00EE4F8B" w:rsidRPr="009A501D">
        <w:rPr>
          <w:rFonts w:ascii="Century Gothic" w:hAnsi="Century Gothic"/>
          <w:sz w:val="19"/>
          <w:szCs w:val="19"/>
        </w:rPr>
        <w:t>No</w:t>
      </w:r>
      <w:r w:rsidRPr="009A501D">
        <w:rPr>
          <w:rFonts w:ascii="Century Gothic" w:hAnsi="Century Gothic"/>
          <w:sz w:val="19"/>
          <w:szCs w:val="19"/>
        </w:rPr>
        <w:t xml:space="preserve"> se identificaron cambios </w:t>
      </w:r>
      <w:r w:rsidR="00D1181A" w:rsidRPr="009A501D">
        <w:rPr>
          <w:rFonts w:ascii="Century Gothic" w:hAnsi="Century Gothic"/>
          <w:sz w:val="19"/>
          <w:szCs w:val="19"/>
        </w:rPr>
        <w:t xml:space="preserve">a </w:t>
      </w:r>
      <w:r w:rsidRPr="009A501D">
        <w:rPr>
          <w:rFonts w:ascii="Century Gothic" w:hAnsi="Century Gothic"/>
          <w:sz w:val="19"/>
          <w:szCs w:val="19"/>
        </w:rPr>
        <w:t xml:space="preserve">consecuencia de las evaluaciones realizadas por las áreas o auditorías, lo que muestra la importancia de fortalecer las evaluaciones a través del marco genérico de evaluaciones </w:t>
      </w:r>
      <w:r w:rsidR="00D22ECC" w:rsidRPr="009A501D">
        <w:rPr>
          <w:rFonts w:ascii="Century Gothic" w:hAnsi="Century Gothic"/>
          <w:sz w:val="19"/>
          <w:szCs w:val="19"/>
        </w:rPr>
        <w:t>en desarrollo</w:t>
      </w:r>
      <w:r w:rsidRPr="009A501D">
        <w:rPr>
          <w:rFonts w:ascii="Century Gothic" w:hAnsi="Century Gothic"/>
          <w:sz w:val="19"/>
          <w:szCs w:val="19"/>
        </w:rPr>
        <w:t>.</w:t>
      </w:r>
    </w:p>
    <w:p w14:paraId="2A75046D" w14:textId="66379114" w:rsidR="00C10AE9" w:rsidRPr="009A501D" w:rsidRDefault="00C10AE9">
      <w:pPr>
        <w:rPr>
          <w:rFonts w:ascii="Century Gothic" w:hAnsi="Century Gothic"/>
          <w:sz w:val="19"/>
          <w:szCs w:val="19"/>
        </w:rPr>
      </w:pPr>
      <w:r w:rsidRPr="009A501D">
        <w:rPr>
          <w:rFonts w:ascii="Century Gothic" w:hAnsi="Century Gothic"/>
          <w:sz w:val="19"/>
          <w:szCs w:val="19"/>
        </w:rPr>
        <w:br w:type="page"/>
      </w:r>
    </w:p>
    <w:p w14:paraId="20104C61" w14:textId="77A1A338" w:rsidR="00EC1414" w:rsidRPr="009A501D" w:rsidRDefault="00EC1414" w:rsidP="00664A1D">
      <w:pPr>
        <w:spacing w:before="240"/>
        <w:jc w:val="center"/>
        <w:rPr>
          <w:rFonts w:ascii="Century Gothic" w:hAnsi="Century Gothic" w:cstheme="minorHAnsi"/>
          <w:b/>
          <w:sz w:val="19"/>
          <w:szCs w:val="19"/>
        </w:rPr>
      </w:pPr>
      <w:r w:rsidRPr="009A501D">
        <w:rPr>
          <w:rFonts w:ascii="Century Gothic" w:hAnsi="Century Gothic"/>
          <w:b/>
          <w:sz w:val="19"/>
          <w:szCs w:val="19"/>
        </w:rPr>
        <w:lastRenderedPageBreak/>
        <w:t>IV.</w:t>
      </w:r>
      <w:r w:rsidR="008D11E0" w:rsidRPr="009A501D">
        <w:rPr>
          <w:rFonts w:ascii="Century Gothic" w:hAnsi="Century Gothic"/>
          <w:b/>
          <w:sz w:val="19"/>
          <w:szCs w:val="19"/>
        </w:rPr>
        <w:t>3</w:t>
      </w:r>
      <w:r w:rsidRPr="009A501D">
        <w:rPr>
          <w:rFonts w:ascii="Century Gothic" w:hAnsi="Century Gothic"/>
          <w:b/>
          <w:sz w:val="19"/>
          <w:szCs w:val="19"/>
        </w:rPr>
        <w:t>.</w:t>
      </w:r>
      <w:r w:rsidR="00A34FB3" w:rsidRPr="009A501D">
        <w:rPr>
          <w:rFonts w:ascii="Century Gothic" w:hAnsi="Century Gothic"/>
          <w:b/>
          <w:sz w:val="19"/>
          <w:szCs w:val="19"/>
        </w:rPr>
        <w:t>3</w:t>
      </w:r>
      <w:r w:rsidRPr="009A501D">
        <w:rPr>
          <w:rFonts w:ascii="Century Gothic" w:hAnsi="Century Gothic" w:cstheme="minorHAnsi"/>
          <w:b/>
          <w:sz w:val="19"/>
          <w:szCs w:val="19"/>
        </w:rPr>
        <w:t>. Origen de los cambios</w:t>
      </w:r>
    </w:p>
    <w:p w14:paraId="2C4EE11C" w14:textId="12DBC521" w:rsidR="00EC1414" w:rsidRPr="009A501D" w:rsidRDefault="00EC33A9" w:rsidP="00664A1D">
      <w:pPr>
        <w:spacing w:before="240"/>
        <w:jc w:val="center"/>
        <w:rPr>
          <w:rFonts w:ascii="Century Gothic" w:hAnsi="Century Gothic"/>
          <w:sz w:val="19"/>
          <w:szCs w:val="19"/>
        </w:rPr>
      </w:pPr>
      <w:r w:rsidRPr="009A501D">
        <w:rPr>
          <w:noProof/>
        </w:rPr>
        <w:drawing>
          <wp:inline distT="0" distB="0" distL="0" distR="0" wp14:anchorId="0B0DB76D" wp14:editId="348C2410">
            <wp:extent cx="4726995" cy="24769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2502" cy="2479813"/>
                    </a:xfrm>
                    <a:prstGeom prst="rect">
                      <a:avLst/>
                    </a:prstGeom>
                    <a:noFill/>
                    <a:ln>
                      <a:noFill/>
                    </a:ln>
                  </pic:spPr>
                </pic:pic>
              </a:graphicData>
            </a:graphic>
          </wp:inline>
        </w:drawing>
      </w:r>
    </w:p>
    <w:p w14:paraId="58132350" w14:textId="7D3BCFFB"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 xml:space="preserve">Al analizar las evidencias que se modificaron, </w:t>
      </w:r>
      <w:r w:rsidR="00F07E1B" w:rsidRPr="009A501D">
        <w:rPr>
          <w:rFonts w:ascii="Century Gothic" w:hAnsi="Century Gothic"/>
          <w:sz w:val="19"/>
          <w:szCs w:val="19"/>
        </w:rPr>
        <w:t xml:space="preserve">se </w:t>
      </w:r>
      <w:r w:rsidRPr="009A501D">
        <w:rPr>
          <w:rFonts w:ascii="Century Gothic" w:hAnsi="Century Gothic"/>
          <w:sz w:val="19"/>
          <w:szCs w:val="19"/>
        </w:rPr>
        <w:t>puede identificar que el diseño conceptual fue el mayormente modificado, seguido por el diseño de los sistemas de producción y de los flujos de trabajo</w:t>
      </w:r>
      <w:r w:rsidR="00D22ECC" w:rsidRPr="009A501D">
        <w:rPr>
          <w:rFonts w:ascii="Century Gothic" w:hAnsi="Century Gothic"/>
          <w:sz w:val="19"/>
          <w:szCs w:val="19"/>
        </w:rPr>
        <w:t>,</w:t>
      </w:r>
      <w:r w:rsidRPr="009A501D">
        <w:rPr>
          <w:rFonts w:ascii="Century Gothic" w:hAnsi="Century Gothic"/>
          <w:sz w:val="19"/>
          <w:szCs w:val="19"/>
        </w:rPr>
        <w:t xml:space="preserve"> así como del diseño del procesamiento y análisis de la producción (ver cuadro IV.</w:t>
      </w:r>
      <w:r w:rsidR="00DC47C3" w:rsidRPr="009A501D">
        <w:rPr>
          <w:rFonts w:ascii="Century Gothic" w:hAnsi="Century Gothic"/>
          <w:sz w:val="19"/>
          <w:szCs w:val="19"/>
        </w:rPr>
        <w:t>3</w:t>
      </w:r>
      <w:r w:rsidRPr="009A501D">
        <w:rPr>
          <w:rFonts w:ascii="Century Gothic" w:hAnsi="Century Gothic"/>
          <w:sz w:val="19"/>
          <w:szCs w:val="19"/>
        </w:rPr>
        <w:t>.</w:t>
      </w:r>
      <w:r w:rsidR="00A34FB3" w:rsidRPr="009A501D">
        <w:rPr>
          <w:rFonts w:ascii="Century Gothic" w:hAnsi="Century Gothic"/>
          <w:sz w:val="19"/>
          <w:szCs w:val="19"/>
        </w:rPr>
        <w:t>4</w:t>
      </w:r>
      <w:r w:rsidRPr="009A501D">
        <w:rPr>
          <w:rFonts w:ascii="Century Gothic" w:hAnsi="Century Gothic"/>
          <w:sz w:val="19"/>
          <w:szCs w:val="19"/>
        </w:rPr>
        <w:t>).</w:t>
      </w:r>
    </w:p>
    <w:p w14:paraId="06A3166E" w14:textId="6DD4496E" w:rsidR="00EC1414" w:rsidRPr="009A501D" w:rsidRDefault="00EC1414" w:rsidP="00664A1D">
      <w:pPr>
        <w:spacing w:before="240"/>
        <w:jc w:val="center"/>
        <w:rPr>
          <w:rFonts w:ascii="Century Gothic" w:hAnsi="Century Gothic"/>
          <w:sz w:val="19"/>
          <w:szCs w:val="19"/>
        </w:rPr>
      </w:pPr>
      <w:r w:rsidRPr="009A501D">
        <w:rPr>
          <w:rFonts w:ascii="Century Gothic" w:hAnsi="Century Gothic"/>
          <w:b/>
          <w:sz w:val="19"/>
          <w:szCs w:val="19"/>
        </w:rPr>
        <w:t>IV.</w:t>
      </w:r>
      <w:r w:rsidR="008D11E0" w:rsidRPr="009A501D">
        <w:rPr>
          <w:rFonts w:ascii="Century Gothic" w:hAnsi="Century Gothic"/>
          <w:b/>
          <w:sz w:val="19"/>
          <w:szCs w:val="19"/>
        </w:rPr>
        <w:t>3</w:t>
      </w:r>
      <w:r w:rsidRPr="009A501D">
        <w:rPr>
          <w:rFonts w:ascii="Century Gothic" w:hAnsi="Century Gothic"/>
          <w:b/>
          <w:sz w:val="19"/>
          <w:szCs w:val="19"/>
        </w:rPr>
        <w:t>.</w:t>
      </w:r>
      <w:r w:rsidR="00A34FB3" w:rsidRPr="009A501D">
        <w:rPr>
          <w:rFonts w:ascii="Century Gothic" w:hAnsi="Century Gothic"/>
          <w:b/>
          <w:sz w:val="19"/>
          <w:szCs w:val="19"/>
        </w:rPr>
        <w:t>4</w:t>
      </w:r>
      <w:r w:rsidRPr="009A501D">
        <w:rPr>
          <w:rFonts w:ascii="Century Gothic" w:hAnsi="Century Gothic" w:cstheme="minorHAnsi"/>
          <w:b/>
          <w:sz w:val="19"/>
          <w:szCs w:val="19"/>
        </w:rPr>
        <w:t>. Evidencias modificadas</w:t>
      </w:r>
    </w:p>
    <w:tbl>
      <w:tblPr>
        <w:tblW w:w="950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65"/>
        <w:gridCol w:w="1204"/>
        <w:gridCol w:w="2634"/>
      </w:tblGrid>
      <w:tr w:rsidR="00EC1414" w:rsidRPr="009A501D" w14:paraId="7F0B5112" w14:textId="77777777" w:rsidTr="00664A1D">
        <w:trPr>
          <w:trHeight w:val="284"/>
          <w:jc w:val="center"/>
        </w:trPr>
        <w:tc>
          <w:tcPr>
            <w:tcW w:w="5665" w:type="dxa"/>
            <w:shd w:val="clear" w:color="auto" w:fill="002060"/>
            <w:vAlign w:val="center"/>
            <w:hideMark/>
          </w:tcPr>
          <w:p w14:paraId="39A04005" w14:textId="77777777" w:rsidR="00EC1414" w:rsidRPr="009A501D" w:rsidRDefault="00EC1414" w:rsidP="00F07E1B">
            <w:pPr>
              <w:spacing w:after="0"/>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Evidencias modificadas</w:t>
            </w:r>
          </w:p>
        </w:tc>
        <w:tc>
          <w:tcPr>
            <w:tcW w:w="1204" w:type="dxa"/>
            <w:shd w:val="clear" w:color="auto" w:fill="002060"/>
            <w:vAlign w:val="center"/>
            <w:hideMark/>
          </w:tcPr>
          <w:p w14:paraId="53C4D349" w14:textId="77777777" w:rsidR="00EC1414" w:rsidRPr="009A501D" w:rsidRDefault="00EC1414" w:rsidP="00F07E1B">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Porcentaje</w:t>
            </w:r>
          </w:p>
        </w:tc>
        <w:tc>
          <w:tcPr>
            <w:tcW w:w="2634" w:type="dxa"/>
            <w:shd w:val="clear" w:color="auto" w:fill="002060"/>
            <w:noWrap/>
            <w:vAlign w:val="center"/>
            <w:hideMark/>
          </w:tcPr>
          <w:p w14:paraId="40EA7EB2" w14:textId="4498AE12" w:rsidR="00EC1414" w:rsidRPr="009A501D" w:rsidRDefault="005F6B27" w:rsidP="00F07E1B">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Proceso</w:t>
            </w:r>
          </w:p>
        </w:tc>
      </w:tr>
      <w:tr w:rsidR="00EC1414" w:rsidRPr="009A501D" w14:paraId="4F924649" w14:textId="77777777" w:rsidTr="00664A1D">
        <w:trPr>
          <w:trHeight w:val="284"/>
          <w:jc w:val="center"/>
        </w:trPr>
        <w:tc>
          <w:tcPr>
            <w:tcW w:w="5665" w:type="dxa"/>
            <w:shd w:val="clear" w:color="auto" w:fill="FFFFFF" w:themeFill="background1"/>
            <w:vAlign w:val="center"/>
            <w:hideMark/>
          </w:tcPr>
          <w:p w14:paraId="70321AA5" w14:textId="77777777" w:rsidR="00EC1414" w:rsidRPr="009A501D" w:rsidRDefault="00EC1414" w:rsidP="00F07E1B">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 Diseño conceptual y del producto de información</w:t>
            </w:r>
          </w:p>
        </w:tc>
        <w:tc>
          <w:tcPr>
            <w:tcW w:w="1204" w:type="dxa"/>
            <w:shd w:val="clear" w:color="auto" w:fill="FFFFFF" w:themeFill="background1"/>
            <w:vAlign w:val="center"/>
            <w:hideMark/>
          </w:tcPr>
          <w:p w14:paraId="4D351690"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45.5</w:t>
            </w:r>
          </w:p>
        </w:tc>
        <w:tc>
          <w:tcPr>
            <w:tcW w:w="2634" w:type="dxa"/>
            <w:shd w:val="clear" w:color="auto" w:fill="FFFFFF" w:themeFill="background1"/>
            <w:vAlign w:val="center"/>
            <w:hideMark/>
          </w:tcPr>
          <w:p w14:paraId="08AF7E70"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ENCIG / ENDIREH / CNTAIPPDPE / CNGMD / ESEP</w:t>
            </w:r>
          </w:p>
        </w:tc>
      </w:tr>
      <w:tr w:rsidR="00EC1414" w:rsidRPr="009A501D" w14:paraId="26297E49" w14:textId="77777777" w:rsidTr="00BC774F">
        <w:trPr>
          <w:trHeight w:val="284"/>
          <w:jc w:val="center"/>
        </w:trPr>
        <w:tc>
          <w:tcPr>
            <w:tcW w:w="5665" w:type="dxa"/>
            <w:shd w:val="clear" w:color="auto" w:fill="auto"/>
            <w:vAlign w:val="center"/>
            <w:hideMark/>
          </w:tcPr>
          <w:p w14:paraId="399F2FD1" w14:textId="77777777" w:rsidR="00EC1414" w:rsidRPr="009A501D" w:rsidRDefault="00EC1414" w:rsidP="00F07E1B">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II. Diseño de los sistemas de producción y de los flujos de trabajo</w:t>
            </w:r>
          </w:p>
        </w:tc>
        <w:tc>
          <w:tcPr>
            <w:tcW w:w="1204" w:type="dxa"/>
            <w:shd w:val="clear" w:color="auto" w:fill="auto"/>
            <w:vAlign w:val="center"/>
            <w:hideMark/>
          </w:tcPr>
          <w:p w14:paraId="2AFA41D7"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18.2</w:t>
            </w:r>
          </w:p>
        </w:tc>
        <w:tc>
          <w:tcPr>
            <w:tcW w:w="2634" w:type="dxa"/>
            <w:shd w:val="clear" w:color="auto" w:fill="auto"/>
            <w:vAlign w:val="center"/>
            <w:hideMark/>
          </w:tcPr>
          <w:p w14:paraId="5DBC9192"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 / ESEP</w:t>
            </w:r>
          </w:p>
        </w:tc>
      </w:tr>
      <w:tr w:rsidR="00EC1414" w:rsidRPr="009A501D" w14:paraId="33692FB8" w14:textId="77777777" w:rsidTr="00664A1D">
        <w:trPr>
          <w:trHeight w:val="284"/>
          <w:jc w:val="center"/>
        </w:trPr>
        <w:tc>
          <w:tcPr>
            <w:tcW w:w="5665" w:type="dxa"/>
            <w:shd w:val="clear" w:color="auto" w:fill="FFFFFF" w:themeFill="background1"/>
            <w:vAlign w:val="center"/>
            <w:hideMark/>
          </w:tcPr>
          <w:p w14:paraId="20DE6DBE" w14:textId="77777777" w:rsidR="00EC1414" w:rsidRPr="009A501D" w:rsidRDefault="00EC1414" w:rsidP="00F07E1B">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III. Diseño de la captación</w:t>
            </w:r>
          </w:p>
        </w:tc>
        <w:tc>
          <w:tcPr>
            <w:tcW w:w="1204" w:type="dxa"/>
            <w:shd w:val="clear" w:color="auto" w:fill="FFFFFF" w:themeFill="background1"/>
            <w:vAlign w:val="center"/>
            <w:hideMark/>
          </w:tcPr>
          <w:p w14:paraId="1024E6D8"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9.1</w:t>
            </w:r>
          </w:p>
        </w:tc>
        <w:tc>
          <w:tcPr>
            <w:tcW w:w="2634" w:type="dxa"/>
            <w:shd w:val="clear" w:color="auto" w:fill="FFFFFF" w:themeFill="background1"/>
            <w:vAlign w:val="center"/>
            <w:hideMark/>
          </w:tcPr>
          <w:p w14:paraId="72B8B79E" w14:textId="77777777" w:rsidR="00EC1414" w:rsidRPr="009A501D" w:rsidRDefault="00EC1414" w:rsidP="00F07E1B">
            <w:pPr>
              <w:spacing w:after="0"/>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ESEP</w:t>
            </w:r>
          </w:p>
        </w:tc>
      </w:tr>
      <w:tr w:rsidR="00EC1414" w:rsidRPr="009A501D" w14:paraId="350CF6E3" w14:textId="77777777" w:rsidTr="00BC774F">
        <w:trPr>
          <w:trHeight w:val="284"/>
          <w:jc w:val="center"/>
        </w:trPr>
        <w:tc>
          <w:tcPr>
            <w:tcW w:w="5665" w:type="dxa"/>
            <w:shd w:val="clear" w:color="auto" w:fill="auto"/>
            <w:vAlign w:val="center"/>
            <w:hideMark/>
          </w:tcPr>
          <w:p w14:paraId="6558817B" w14:textId="77777777" w:rsidR="00EC1414" w:rsidRPr="009A501D" w:rsidRDefault="00EC1414" w:rsidP="00F07E1B">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 Diseño del procesamiento y análisis de la producción</w:t>
            </w:r>
          </w:p>
        </w:tc>
        <w:tc>
          <w:tcPr>
            <w:tcW w:w="1204" w:type="dxa"/>
            <w:shd w:val="clear" w:color="auto" w:fill="auto"/>
            <w:vAlign w:val="center"/>
            <w:hideMark/>
          </w:tcPr>
          <w:p w14:paraId="0F6C2B25"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18.2</w:t>
            </w:r>
          </w:p>
        </w:tc>
        <w:tc>
          <w:tcPr>
            <w:tcW w:w="2634" w:type="dxa"/>
            <w:shd w:val="clear" w:color="auto" w:fill="auto"/>
            <w:vAlign w:val="center"/>
            <w:hideMark/>
          </w:tcPr>
          <w:p w14:paraId="43BFEDA7" w14:textId="77777777" w:rsidR="00EC1414" w:rsidRPr="009A501D" w:rsidRDefault="00EC1414" w:rsidP="00F07E1B">
            <w:pPr>
              <w:spacing w:after="0"/>
              <w:jc w:val="center"/>
              <w:rPr>
                <w:rFonts w:ascii="Century Gothic" w:eastAsia="Times New Roman" w:hAnsi="Century Gothic" w:cs="Calibri"/>
                <w:sz w:val="16"/>
                <w:szCs w:val="16"/>
                <w:lang w:eastAsia="es-MX"/>
              </w:rPr>
            </w:pPr>
            <w:r w:rsidRPr="009A501D">
              <w:rPr>
                <w:rFonts w:ascii="Century Gothic" w:eastAsia="Times New Roman" w:hAnsi="Century Gothic" w:cs="Calibri"/>
                <w:sz w:val="16"/>
                <w:szCs w:val="16"/>
                <w:lang w:eastAsia="es-MX"/>
              </w:rPr>
              <w:t>CNGMD / TOPO</w:t>
            </w:r>
          </w:p>
        </w:tc>
      </w:tr>
      <w:tr w:rsidR="00EC1414" w:rsidRPr="009A501D" w14:paraId="6191DDEA" w14:textId="77777777" w:rsidTr="00664A1D">
        <w:trPr>
          <w:trHeight w:val="284"/>
          <w:jc w:val="center"/>
        </w:trPr>
        <w:tc>
          <w:tcPr>
            <w:tcW w:w="5665" w:type="dxa"/>
            <w:shd w:val="clear" w:color="auto" w:fill="FFFFFF" w:themeFill="background1"/>
            <w:vAlign w:val="center"/>
            <w:hideMark/>
          </w:tcPr>
          <w:p w14:paraId="4D68266D" w14:textId="77777777" w:rsidR="00EC1414" w:rsidRPr="009A501D" w:rsidRDefault="00EC1414" w:rsidP="00F07E1B">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VI. Diseño del Esquema de Difusión</w:t>
            </w:r>
          </w:p>
        </w:tc>
        <w:tc>
          <w:tcPr>
            <w:tcW w:w="1204" w:type="dxa"/>
            <w:shd w:val="clear" w:color="auto" w:fill="FFFFFF" w:themeFill="background1"/>
            <w:vAlign w:val="center"/>
            <w:hideMark/>
          </w:tcPr>
          <w:p w14:paraId="2F96F3C6"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9.1</w:t>
            </w:r>
          </w:p>
        </w:tc>
        <w:tc>
          <w:tcPr>
            <w:tcW w:w="2634" w:type="dxa"/>
            <w:shd w:val="clear" w:color="auto" w:fill="FFFFFF" w:themeFill="background1"/>
            <w:vAlign w:val="center"/>
            <w:hideMark/>
          </w:tcPr>
          <w:p w14:paraId="4D12B40B" w14:textId="77777777" w:rsidR="00EC1414" w:rsidRPr="009A501D" w:rsidRDefault="00EC1414" w:rsidP="00F07E1B">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w:t>
            </w:r>
          </w:p>
        </w:tc>
      </w:tr>
      <w:tr w:rsidR="00EC1414" w:rsidRPr="009A501D" w14:paraId="6537F442" w14:textId="77777777" w:rsidTr="00664A1D">
        <w:trPr>
          <w:trHeight w:val="284"/>
          <w:jc w:val="center"/>
        </w:trPr>
        <w:tc>
          <w:tcPr>
            <w:tcW w:w="5665" w:type="dxa"/>
            <w:shd w:val="clear" w:color="auto" w:fill="002060"/>
            <w:vAlign w:val="center"/>
            <w:hideMark/>
          </w:tcPr>
          <w:p w14:paraId="33FB44A2" w14:textId="77777777" w:rsidR="00EC1414" w:rsidRPr="009A501D" w:rsidRDefault="00EC1414" w:rsidP="00F07E1B">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Total</w:t>
            </w:r>
          </w:p>
        </w:tc>
        <w:tc>
          <w:tcPr>
            <w:tcW w:w="1204" w:type="dxa"/>
            <w:shd w:val="clear" w:color="auto" w:fill="002060"/>
            <w:vAlign w:val="center"/>
            <w:hideMark/>
          </w:tcPr>
          <w:p w14:paraId="4984C089" w14:textId="77777777" w:rsidR="00EC1414" w:rsidRPr="009A501D" w:rsidRDefault="00EC1414" w:rsidP="00F07E1B">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100.0</w:t>
            </w:r>
          </w:p>
        </w:tc>
        <w:tc>
          <w:tcPr>
            <w:tcW w:w="2634" w:type="dxa"/>
            <w:shd w:val="clear" w:color="auto" w:fill="002060"/>
            <w:vAlign w:val="center"/>
            <w:hideMark/>
          </w:tcPr>
          <w:p w14:paraId="04DB1EC4" w14:textId="77777777" w:rsidR="00EC1414" w:rsidRPr="009A501D" w:rsidRDefault="00EC1414" w:rsidP="00F07E1B">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 </w:t>
            </w:r>
          </w:p>
        </w:tc>
      </w:tr>
    </w:tbl>
    <w:p w14:paraId="46A4DAB6" w14:textId="47632C8A" w:rsidR="009004A3" w:rsidRPr="009A501D" w:rsidRDefault="009004A3" w:rsidP="009004A3">
      <w:pPr>
        <w:spacing w:before="240"/>
        <w:jc w:val="both"/>
        <w:rPr>
          <w:rFonts w:ascii="Century Gothic" w:hAnsi="Century Gothic"/>
          <w:sz w:val="19"/>
          <w:szCs w:val="19"/>
        </w:rPr>
      </w:pPr>
      <w:r w:rsidRPr="009A501D">
        <w:rPr>
          <w:rFonts w:ascii="Century Gothic" w:hAnsi="Century Gothic"/>
          <w:sz w:val="19"/>
          <w:szCs w:val="19"/>
        </w:rPr>
        <w:t>Por otro lado</w:t>
      </w:r>
      <w:r w:rsidR="00526370" w:rsidRPr="009A501D">
        <w:rPr>
          <w:rFonts w:ascii="Century Gothic" w:hAnsi="Century Gothic"/>
          <w:sz w:val="19"/>
          <w:szCs w:val="19"/>
        </w:rPr>
        <w:t>,</w:t>
      </w:r>
      <w:r w:rsidRPr="009A501D">
        <w:rPr>
          <w:rFonts w:ascii="Century Gothic" w:hAnsi="Century Gothic"/>
          <w:sz w:val="19"/>
          <w:szCs w:val="19"/>
        </w:rPr>
        <w:t xml:space="preserve"> se</w:t>
      </w:r>
      <w:r w:rsidR="005E3FBF" w:rsidRPr="009A501D">
        <w:rPr>
          <w:rFonts w:ascii="Century Gothic" w:hAnsi="Century Gothic"/>
          <w:sz w:val="19"/>
          <w:szCs w:val="19"/>
        </w:rPr>
        <w:t xml:space="preserve"> observa la falta de </w:t>
      </w:r>
      <w:r w:rsidRPr="009A501D">
        <w:rPr>
          <w:rFonts w:ascii="Century Gothic" w:hAnsi="Century Gothic"/>
          <w:sz w:val="19"/>
          <w:szCs w:val="19"/>
        </w:rPr>
        <w:t>pruebas estadísticas (ver cuadro IV.3.</w:t>
      </w:r>
      <w:r w:rsidR="00A34FB3" w:rsidRPr="009A501D">
        <w:rPr>
          <w:rFonts w:ascii="Century Gothic" w:hAnsi="Century Gothic"/>
          <w:sz w:val="19"/>
          <w:szCs w:val="19"/>
        </w:rPr>
        <w:t>5</w:t>
      </w:r>
      <w:r w:rsidRPr="009A501D">
        <w:rPr>
          <w:rFonts w:ascii="Century Gothic" w:hAnsi="Century Gothic"/>
          <w:sz w:val="19"/>
          <w:szCs w:val="19"/>
        </w:rPr>
        <w:t>).</w:t>
      </w:r>
    </w:p>
    <w:p w14:paraId="3D6749B7" w14:textId="1449001B" w:rsidR="009004A3" w:rsidRPr="009A501D" w:rsidRDefault="009004A3" w:rsidP="009004A3">
      <w:pPr>
        <w:spacing w:before="240"/>
        <w:jc w:val="center"/>
        <w:rPr>
          <w:rFonts w:ascii="Century Gothic" w:hAnsi="Century Gothic"/>
          <w:sz w:val="19"/>
          <w:szCs w:val="19"/>
        </w:rPr>
      </w:pPr>
      <w:r w:rsidRPr="009A501D">
        <w:rPr>
          <w:rFonts w:ascii="Century Gothic" w:hAnsi="Century Gothic"/>
          <w:b/>
          <w:sz w:val="19"/>
          <w:szCs w:val="19"/>
        </w:rPr>
        <w:t>IV.3.</w:t>
      </w:r>
      <w:r w:rsidR="00A34FB3" w:rsidRPr="009A501D">
        <w:rPr>
          <w:rFonts w:ascii="Century Gothic" w:hAnsi="Century Gothic"/>
          <w:b/>
          <w:sz w:val="19"/>
          <w:szCs w:val="19"/>
        </w:rPr>
        <w:t>5</w:t>
      </w:r>
      <w:r w:rsidRPr="009A501D">
        <w:rPr>
          <w:rFonts w:ascii="Century Gothic" w:hAnsi="Century Gothic" w:cstheme="minorHAnsi"/>
          <w:b/>
          <w:sz w:val="19"/>
          <w:szCs w:val="19"/>
        </w:rPr>
        <w:t>. Tipos de pruebas registradas</w:t>
      </w:r>
    </w:p>
    <w:tbl>
      <w:tblPr>
        <w:tblW w:w="8505" w:type="dxa"/>
        <w:tblInd w:w="9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23"/>
        <w:gridCol w:w="1238"/>
        <w:gridCol w:w="3544"/>
      </w:tblGrid>
      <w:tr w:rsidR="009004A3" w:rsidRPr="009A501D" w14:paraId="2BAB4021" w14:textId="77777777">
        <w:trPr>
          <w:trHeight w:val="284"/>
        </w:trPr>
        <w:tc>
          <w:tcPr>
            <w:tcW w:w="3723" w:type="dxa"/>
            <w:shd w:val="clear" w:color="auto" w:fill="002060"/>
            <w:noWrap/>
            <w:vAlign w:val="center"/>
          </w:tcPr>
          <w:p w14:paraId="3E83C3E7" w14:textId="77777777" w:rsidR="009004A3" w:rsidRPr="009A501D" w:rsidRDefault="009004A3">
            <w:pPr>
              <w:spacing w:after="0"/>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Tipo de prueba</w:t>
            </w:r>
          </w:p>
        </w:tc>
        <w:tc>
          <w:tcPr>
            <w:tcW w:w="1238" w:type="dxa"/>
            <w:shd w:val="clear" w:color="auto" w:fill="002060"/>
            <w:noWrap/>
            <w:vAlign w:val="center"/>
          </w:tcPr>
          <w:p w14:paraId="5FFF4743" w14:textId="77777777" w:rsidR="009004A3" w:rsidRPr="009A501D" w:rsidRDefault="009004A3">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Cantidad</w:t>
            </w:r>
          </w:p>
        </w:tc>
        <w:tc>
          <w:tcPr>
            <w:tcW w:w="3544" w:type="dxa"/>
            <w:shd w:val="clear" w:color="auto" w:fill="002060"/>
            <w:vAlign w:val="center"/>
          </w:tcPr>
          <w:p w14:paraId="5F5DC714" w14:textId="77777777" w:rsidR="009004A3" w:rsidRPr="009A501D" w:rsidRDefault="009004A3">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Proceso</w:t>
            </w:r>
          </w:p>
        </w:tc>
      </w:tr>
      <w:tr w:rsidR="009004A3" w:rsidRPr="009A501D" w14:paraId="6A6E49BE" w14:textId="77777777">
        <w:trPr>
          <w:trHeight w:val="284"/>
        </w:trPr>
        <w:tc>
          <w:tcPr>
            <w:tcW w:w="3723" w:type="dxa"/>
            <w:shd w:val="clear" w:color="auto" w:fill="F2F2F2" w:themeFill="background1" w:themeFillShade="F2"/>
            <w:noWrap/>
            <w:vAlign w:val="center"/>
            <w:hideMark/>
          </w:tcPr>
          <w:p w14:paraId="63C8011C" w14:textId="77777777" w:rsidR="009004A3" w:rsidRPr="009A501D" w:rsidRDefault="009004A3">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Prueba de escritorio</w:t>
            </w:r>
          </w:p>
        </w:tc>
        <w:tc>
          <w:tcPr>
            <w:tcW w:w="1238" w:type="dxa"/>
            <w:shd w:val="clear" w:color="auto" w:fill="F2F2F2" w:themeFill="background1" w:themeFillShade="F2"/>
            <w:noWrap/>
            <w:vAlign w:val="center"/>
            <w:hideMark/>
          </w:tcPr>
          <w:p w14:paraId="0ADF882F"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3544" w:type="dxa"/>
            <w:shd w:val="clear" w:color="auto" w:fill="F2F2F2" w:themeFill="background1" w:themeFillShade="F2"/>
            <w:vAlign w:val="center"/>
            <w:hideMark/>
          </w:tcPr>
          <w:p w14:paraId="3C7833F6"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CNTAIPPDPE / CNGMD</w:t>
            </w:r>
          </w:p>
        </w:tc>
      </w:tr>
      <w:tr w:rsidR="009004A3" w:rsidRPr="009A501D" w14:paraId="353DF9CB" w14:textId="77777777">
        <w:trPr>
          <w:trHeight w:val="284"/>
        </w:trPr>
        <w:tc>
          <w:tcPr>
            <w:tcW w:w="3723" w:type="dxa"/>
            <w:shd w:val="clear" w:color="auto" w:fill="auto"/>
            <w:noWrap/>
            <w:vAlign w:val="center"/>
            <w:hideMark/>
          </w:tcPr>
          <w:p w14:paraId="240FF503" w14:textId="77777777" w:rsidR="009004A3" w:rsidRPr="009A501D" w:rsidRDefault="009004A3">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Prueba piloto</w:t>
            </w:r>
          </w:p>
        </w:tc>
        <w:tc>
          <w:tcPr>
            <w:tcW w:w="1238" w:type="dxa"/>
            <w:shd w:val="clear" w:color="auto" w:fill="auto"/>
            <w:noWrap/>
            <w:vAlign w:val="center"/>
            <w:hideMark/>
          </w:tcPr>
          <w:p w14:paraId="133738A7"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3544" w:type="dxa"/>
            <w:shd w:val="clear" w:color="auto" w:fill="auto"/>
            <w:noWrap/>
            <w:vAlign w:val="center"/>
            <w:hideMark/>
          </w:tcPr>
          <w:p w14:paraId="488519DC"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ENDIREH</w:t>
            </w:r>
          </w:p>
        </w:tc>
      </w:tr>
      <w:tr w:rsidR="009004A3" w:rsidRPr="009A501D" w14:paraId="152BD8A0" w14:textId="77777777">
        <w:trPr>
          <w:trHeight w:val="284"/>
        </w:trPr>
        <w:tc>
          <w:tcPr>
            <w:tcW w:w="3723" w:type="dxa"/>
            <w:shd w:val="clear" w:color="auto" w:fill="F2F2F2" w:themeFill="background1" w:themeFillShade="F2"/>
            <w:noWrap/>
            <w:vAlign w:val="center"/>
            <w:hideMark/>
          </w:tcPr>
          <w:p w14:paraId="25A4B7AA" w14:textId="77777777" w:rsidR="009004A3" w:rsidRPr="009A501D" w:rsidRDefault="009004A3">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Prueba de prototipo</w:t>
            </w:r>
          </w:p>
        </w:tc>
        <w:tc>
          <w:tcPr>
            <w:tcW w:w="1238" w:type="dxa"/>
            <w:shd w:val="clear" w:color="auto" w:fill="F2F2F2" w:themeFill="background1" w:themeFillShade="F2"/>
            <w:noWrap/>
            <w:vAlign w:val="center"/>
            <w:hideMark/>
          </w:tcPr>
          <w:p w14:paraId="3B26C335"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3544" w:type="dxa"/>
            <w:shd w:val="clear" w:color="auto" w:fill="F2F2F2" w:themeFill="background1" w:themeFillShade="F2"/>
            <w:vAlign w:val="center"/>
            <w:hideMark/>
          </w:tcPr>
          <w:p w14:paraId="591BA8E9"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ENCIG / TOPO</w:t>
            </w:r>
          </w:p>
        </w:tc>
      </w:tr>
      <w:tr w:rsidR="009004A3" w:rsidRPr="009A501D" w14:paraId="27A46DB6" w14:textId="77777777">
        <w:trPr>
          <w:trHeight w:val="284"/>
        </w:trPr>
        <w:tc>
          <w:tcPr>
            <w:tcW w:w="3723" w:type="dxa"/>
            <w:shd w:val="clear" w:color="auto" w:fill="auto"/>
            <w:noWrap/>
            <w:vAlign w:val="center"/>
            <w:hideMark/>
          </w:tcPr>
          <w:p w14:paraId="4E222DC4" w14:textId="77777777" w:rsidR="009004A3" w:rsidRPr="009A501D" w:rsidRDefault="009004A3">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Prueba en campo y prueba cualitativa</w:t>
            </w:r>
          </w:p>
        </w:tc>
        <w:tc>
          <w:tcPr>
            <w:tcW w:w="1238" w:type="dxa"/>
            <w:shd w:val="clear" w:color="auto" w:fill="auto"/>
            <w:noWrap/>
            <w:vAlign w:val="center"/>
            <w:hideMark/>
          </w:tcPr>
          <w:p w14:paraId="1042A886"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3544" w:type="dxa"/>
            <w:shd w:val="clear" w:color="auto" w:fill="auto"/>
            <w:noWrap/>
            <w:vAlign w:val="center"/>
            <w:hideMark/>
          </w:tcPr>
          <w:p w14:paraId="6847DADE"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CNTAIPPDPE / CNGMD</w:t>
            </w:r>
          </w:p>
        </w:tc>
      </w:tr>
      <w:tr w:rsidR="009004A3" w:rsidRPr="009A501D" w14:paraId="390469A8" w14:textId="77777777">
        <w:trPr>
          <w:trHeight w:val="284"/>
        </w:trPr>
        <w:tc>
          <w:tcPr>
            <w:tcW w:w="3723" w:type="dxa"/>
            <w:shd w:val="clear" w:color="auto" w:fill="F2F2F2" w:themeFill="background1" w:themeFillShade="F2"/>
            <w:vAlign w:val="center"/>
            <w:hideMark/>
          </w:tcPr>
          <w:p w14:paraId="6A11AAA5" w14:textId="77777777" w:rsidR="009004A3" w:rsidRPr="009A501D" w:rsidRDefault="009004A3">
            <w:pPr>
              <w:spacing w:after="0"/>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Temática</w:t>
            </w:r>
          </w:p>
        </w:tc>
        <w:tc>
          <w:tcPr>
            <w:tcW w:w="1238" w:type="dxa"/>
            <w:shd w:val="clear" w:color="auto" w:fill="F2F2F2" w:themeFill="background1" w:themeFillShade="F2"/>
            <w:noWrap/>
            <w:vAlign w:val="center"/>
            <w:hideMark/>
          </w:tcPr>
          <w:p w14:paraId="42CC5961"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3544" w:type="dxa"/>
            <w:shd w:val="clear" w:color="auto" w:fill="F2F2F2" w:themeFill="background1" w:themeFillShade="F2"/>
            <w:vAlign w:val="center"/>
            <w:hideMark/>
          </w:tcPr>
          <w:p w14:paraId="348DA51F" w14:textId="77777777" w:rsidR="009004A3" w:rsidRPr="009A501D" w:rsidRDefault="009004A3">
            <w:pPr>
              <w:spacing w:after="0"/>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w:t>
            </w:r>
          </w:p>
        </w:tc>
      </w:tr>
      <w:tr w:rsidR="009004A3" w:rsidRPr="009A501D" w14:paraId="3C48D023" w14:textId="77777777">
        <w:trPr>
          <w:trHeight w:val="284"/>
        </w:trPr>
        <w:tc>
          <w:tcPr>
            <w:tcW w:w="3723" w:type="dxa"/>
            <w:shd w:val="clear" w:color="auto" w:fill="002060"/>
            <w:noWrap/>
            <w:vAlign w:val="center"/>
            <w:hideMark/>
          </w:tcPr>
          <w:p w14:paraId="7956323C" w14:textId="77777777" w:rsidR="009004A3" w:rsidRPr="009A501D" w:rsidRDefault="009004A3">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Total</w:t>
            </w:r>
          </w:p>
        </w:tc>
        <w:tc>
          <w:tcPr>
            <w:tcW w:w="1238" w:type="dxa"/>
            <w:shd w:val="clear" w:color="auto" w:fill="002060"/>
            <w:noWrap/>
            <w:vAlign w:val="center"/>
            <w:hideMark/>
          </w:tcPr>
          <w:p w14:paraId="7AD230B0" w14:textId="77777777" w:rsidR="009004A3" w:rsidRPr="009A501D" w:rsidRDefault="009004A3">
            <w:pPr>
              <w:spacing w:after="0"/>
              <w:jc w:val="center"/>
              <w:rPr>
                <w:rFonts w:ascii="Century Gothic" w:eastAsia="Times New Roman" w:hAnsi="Century Gothic" w:cs="Calibri"/>
                <w:b/>
                <w:color w:val="FFFFFF" w:themeColor="background1"/>
                <w:sz w:val="16"/>
                <w:szCs w:val="16"/>
                <w:lang w:eastAsia="es-MX"/>
              </w:rPr>
            </w:pPr>
            <w:r w:rsidRPr="009A501D">
              <w:rPr>
                <w:rFonts w:ascii="Century Gothic" w:eastAsia="Times New Roman" w:hAnsi="Century Gothic" w:cs="Calibri"/>
                <w:b/>
                <w:color w:val="FFFFFF" w:themeColor="background1"/>
                <w:sz w:val="16"/>
                <w:szCs w:val="16"/>
                <w:lang w:eastAsia="es-MX"/>
              </w:rPr>
              <w:t>10</w:t>
            </w:r>
          </w:p>
        </w:tc>
        <w:tc>
          <w:tcPr>
            <w:tcW w:w="3544" w:type="dxa"/>
            <w:shd w:val="clear" w:color="auto" w:fill="002060"/>
            <w:noWrap/>
            <w:vAlign w:val="center"/>
            <w:hideMark/>
          </w:tcPr>
          <w:p w14:paraId="6CA2CABE" w14:textId="77777777" w:rsidR="009004A3" w:rsidRPr="009A501D" w:rsidRDefault="009004A3">
            <w:pPr>
              <w:spacing w:after="0"/>
              <w:jc w:val="center"/>
              <w:rPr>
                <w:rFonts w:ascii="Century Gothic" w:eastAsia="Times New Roman" w:hAnsi="Century Gothic" w:cs="Calibri"/>
                <w:b/>
                <w:color w:val="FFFFFF" w:themeColor="background1"/>
                <w:sz w:val="16"/>
                <w:szCs w:val="16"/>
                <w:lang w:eastAsia="es-MX"/>
              </w:rPr>
            </w:pPr>
          </w:p>
        </w:tc>
      </w:tr>
    </w:tbl>
    <w:p w14:paraId="26F6DBF2" w14:textId="6571EFEE" w:rsidR="00EC1414" w:rsidRPr="009A501D" w:rsidRDefault="00EC1414" w:rsidP="00664A1D">
      <w:pPr>
        <w:spacing w:before="240"/>
        <w:jc w:val="both"/>
        <w:rPr>
          <w:rFonts w:ascii="Century Gothic" w:hAnsi="Century Gothic"/>
          <w:sz w:val="19"/>
          <w:szCs w:val="19"/>
        </w:rPr>
      </w:pPr>
      <w:r w:rsidRPr="009A501D">
        <w:rPr>
          <w:rFonts w:ascii="Century Gothic" w:hAnsi="Century Gothic"/>
          <w:sz w:val="19"/>
          <w:szCs w:val="19"/>
        </w:rPr>
        <w:t>Un reto para el Comité es impulsar la documentación de los cambios</w:t>
      </w:r>
      <w:r w:rsidR="00D22ECC" w:rsidRPr="009A501D">
        <w:rPr>
          <w:rFonts w:ascii="Century Gothic" w:hAnsi="Century Gothic"/>
          <w:sz w:val="19"/>
          <w:szCs w:val="19"/>
        </w:rPr>
        <w:t>,</w:t>
      </w:r>
      <w:r w:rsidRPr="009A501D">
        <w:rPr>
          <w:rFonts w:ascii="Century Gothic" w:hAnsi="Century Gothic"/>
          <w:sz w:val="19"/>
          <w:szCs w:val="19"/>
        </w:rPr>
        <w:t xml:space="preserve"> así como la aplicación de pruebas estadísticas que permitan conocer, </w:t>
      </w:r>
      <w:proofErr w:type="spellStart"/>
      <w:r w:rsidRPr="009A501D">
        <w:rPr>
          <w:rFonts w:ascii="Century Gothic" w:hAnsi="Century Gothic"/>
          <w:i/>
          <w:sz w:val="19"/>
          <w:szCs w:val="19"/>
        </w:rPr>
        <w:t>ex-ante</w:t>
      </w:r>
      <w:proofErr w:type="spellEnd"/>
      <w:r w:rsidRPr="009A501D">
        <w:rPr>
          <w:rFonts w:ascii="Century Gothic" w:hAnsi="Century Gothic"/>
          <w:sz w:val="19"/>
          <w:szCs w:val="19"/>
        </w:rPr>
        <w:t>, si existe impacto en la información a consecuencia de los cambios y de esta manera evitar la pérdida de comparabilidad.</w:t>
      </w:r>
    </w:p>
    <w:p w14:paraId="30020CD4" w14:textId="77777777" w:rsidR="006E6A41" w:rsidRPr="009A501D" w:rsidRDefault="006E6A41" w:rsidP="00664A1D">
      <w:pPr>
        <w:spacing w:before="240"/>
        <w:rPr>
          <w:rFonts w:ascii="Century Gothic" w:hAnsi="Century Gothic"/>
        </w:rPr>
      </w:pPr>
      <w:r w:rsidRPr="009A501D">
        <w:rPr>
          <w:rFonts w:ascii="Century Gothic" w:hAnsi="Century Gothic"/>
        </w:rPr>
        <w:br w:type="page"/>
      </w:r>
    </w:p>
    <w:p w14:paraId="640FA86C" w14:textId="3529BCB4" w:rsidR="00445EC7" w:rsidRPr="009A501D" w:rsidRDefault="00445EC7" w:rsidP="009B353C">
      <w:pPr>
        <w:pStyle w:val="Ttulo1"/>
        <w:spacing w:after="160"/>
        <w:ind w:left="2835" w:hanging="2835"/>
        <w:jc w:val="right"/>
        <w:rPr>
          <w:rFonts w:ascii="Century Gothic" w:hAnsi="Century Gothic" w:cstheme="minorHAnsi"/>
          <w:b/>
          <w:bCs/>
          <w:color w:val="0079BF"/>
        </w:rPr>
      </w:pPr>
      <w:bookmarkStart w:id="26" w:name="_Toc131161810"/>
      <w:r w:rsidRPr="009A501D">
        <w:rPr>
          <w:rFonts w:ascii="Century Gothic" w:hAnsi="Century Gothic" w:cstheme="minorHAnsi"/>
          <w:b/>
          <w:bCs/>
          <w:color w:val="0079BF"/>
        </w:rPr>
        <w:lastRenderedPageBreak/>
        <w:t>V. CONCLUSIONES</w:t>
      </w:r>
      <w:bookmarkEnd w:id="26"/>
    </w:p>
    <w:p w14:paraId="30B33CB8" w14:textId="77777777" w:rsidR="00CD5774" w:rsidRDefault="002712BC" w:rsidP="009B353C">
      <w:pPr>
        <w:spacing w:before="240"/>
        <w:jc w:val="both"/>
        <w:rPr>
          <w:rFonts w:ascii="Century Gothic" w:hAnsi="Century Gothic"/>
          <w:sz w:val="19"/>
          <w:szCs w:val="19"/>
        </w:rPr>
      </w:pPr>
      <w:r w:rsidRPr="009A501D">
        <w:rPr>
          <w:rFonts w:ascii="Century Gothic" w:hAnsi="Century Gothic"/>
          <w:sz w:val="19"/>
          <w:szCs w:val="19"/>
        </w:rPr>
        <w:t>En 2020, el Comité se planteó metas a tres años en materia de estandarización de procesos, evaluación de la calidad y documentación de las mejoras. Algunas de estas metas no sólo han sido cumplidas, sino que se han iniciado actividades adicionales</w:t>
      </w:r>
      <w:r w:rsidR="00EA32D8" w:rsidRPr="009A501D">
        <w:rPr>
          <w:rFonts w:ascii="Century Gothic" w:hAnsi="Century Gothic"/>
          <w:sz w:val="19"/>
          <w:szCs w:val="19"/>
        </w:rPr>
        <w:t xml:space="preserve">. </w:t>
      </w:r>
      <w:r w:rsidR="00920C9C" w:rsidRPr="009A501D">
        <w:rPr>
          <w:rFonts w:ascii="Century Gothic" w:hAnsi="Century Gothic"/>
          <w:sz w:val="19"/>
          <w:szCs w:val="19"/>
        </w:rPr>
        <w:t xml:space="preserve"> </w:t>
      </w:r>
      <w:r w:rsidR="00DF70F6">
        <w:rPr>
          <w:rFonts w:ascii="Century Gothic" w:hAnsi="Century Gothic"/>
          <w:sz w:val="19"/>
          <w:szCs w:val="19"/>
        </w:rPr>
        <w:t>S</w:t>
      </w:r>
      <w:r w:rsidR="004A1E12" w:rsidRPr="009A501D">
        <w:rPr>
          <w:rFonts w:ascii="Century Gothic" w:hAnsi="Century Gothic"/>
          <w:sz w:val="19"/>
          <w:szCs w:val="19"/>
        </w:rPr>
        <w:t xml:space="preserve">e cumplió con que el 100% de los programas de información registren evidencias en el </w:t>
      </w:r>
      <w:r w:rsidR="00CC7399" w:rsidRPr="009A501D">
        <w:rPr>
          <w:rFonts w:ascii="Century Gothic" w:hAnsi="Century Gothic"/>
          <w:sz w:val="19"/>
          <w:szCs w:val="19"/>
        </w:rPr>
        <w:t>PTRACKING</w:t>
      </w:r>
      <w:r w:rsidR="0046427A" w:rsidRPr="009A501D">
        <w:rPr>
          <w:rFonts w:ascii="Century Gothic" w:hAnsi="Century Gothic"/>
          <w:sz w:val="19"/>
          <w:szCs w:val="19"/>
        </w:rPr>
        <w:t xml:space="preserve">, adicionalmente se realizó </w:t>
      </w:r>
      <w:r w:rsidR="004A1E12" w:rsidRPr="009A501D">
        <w:rPr>
          <w:rFonts w:ascii="Century Gothic" w:hAnsi="Century Gothic"/>
          <w:sz w:val="19"/>
          <w:szCs w:val="19"/>
        </w:rPr>
        <w:t xml:space="preserve">un ejercicio del contenido de esas evidencias y </w:t>
      </w:r>
      <w:r w:rsidR="0046427A" w:rsidRPr="009A501D">
        <w:rPr>
          <w:rFonts w:ascii="Century Gothic" w:hAnsi="Century Gothic"/>
          <w:sz w:val="19"/>
          <w:szCs w:val="19"/>
        </w:rPr>
        <w:t xml:space="preserve">se </w:t>
      </w:r>
      <w:r w:rsidR="004A1E12" w:rsidRPr="009A501D">
        <w:rPr>
          <w:rFonts w:ascii="Century Gothic" w:hAnsi="Century Gothic"/>
          <w:sz w:val="19"/>
          <w:szCs w:val="19"/>
        </w:rPr>
        <w:t>comenz</w:t>
      </w:r>
      <w:r w:rsidR="0046427A" w:rsidRPr="009A501D">
        <w:rPr>
          <w:rFonts w:ascii="Century Gothic" w:hAnsi="Century Gothic"/>
          <w:sz w:val="19"/>
          <w:szCs w:val="19"/>
        </w:rPr>
        <w:t>ó</w:t>
      </w:r>
      <w:r w:rsidR="004A1E12" w:rsidRPr="009A501D">
        <w:rPr>
          <w:rFonts w:ascii="Century Gothic" w:hAnsi="Century Gothic"/>
          <w:sz w:val="19"/>
          <w:szCs w:val="19"/>
        </w:rPr>
        <w:t xml:space="preserve"> la creación de guías que especifican las características que deben tener éstas.</w:t>
      </w:r>
      <w:r w:rsidR="00DF70F6">
        <w:rPr>
          <w:rFonts w:ascii="Century Gothic" w:hAnsi="Century Gothic"/>
          <w:sz w:val="19"/>
          <w:szCs w:val="19"/>
        </w:rPr>
        <w:t xml:space="preserve"> Se cuenta con un tablero de control en el PTRACKING que monitorea el 100% de los programas de información.</w:t>
      </w:r>
      <w:r w:rsidR="00276143" w:rsidRPr="009A501D">
        <w:rPr>
          <w:rFonts w:ascii="Century Gothic" w:hAnsi="Century Gothic"/>
          <w:sz w:val="19"/>
          <w:szCs w:val="19"/>
        </w:rPr>
        <w:t xml:space="preserve"> </w:t>
      </w:r>
      <w:r w:rsidR="006020C6" w:rsidRPr="009A501D">
        <w:rPr>
          <w:rFonts w:ascii="Century Gothic" w:hAnsi="Century Gothic"/>
          <w:sz w:val="19"/>
          <w:szCs w:val="19"/>
        </w:rPr>
        <w:t xml:space="preserve">El </w:t>
      </w:r>
      <w:r w:rsidR="00D22ECC" w:rsidRPr="009A501D">
        <w:rPr>
          <w:rFonts w:ascii="Century Gothic" w:hAnsi="Century Gothic"/>
          <w:sz w:val="19"/>
          <w:szCs w:val="19"/>
        </w:rPr>
        <w:t>M</w:t>
      </w:r>
      <w:r w:rsidR="007C23AC" w:rsidRPr="009A501D">
        <w:rPr>
          <w:rFonts w:ascii="Century Gothic" w:hAnsi="Century Gothic"/>
          <w:sz w:val="19"/>
          <w:szCs w:val="19"/>
        </w:rPr>
        <w:t xml:space="preserve">odelo de </w:t>
      </w:r>
      <w:r w:rsidR="00D22ECC" w:rsidRPr="009A501D">
        <w:rPr>
          <w:rFonts w:ascii="Century Gothic" w:hAnsi="Century Gothic"/>
          <w:sz w:val="19"/>
          <w:szCs w:val="19"/>
        </w:rPr>
        <w:t>C</w:t>
      </w:r>
      <w:r w:rsidR="007C23AC" w:rsidRPr="009A501D">
        <w:rPr>
          <w:rFonts w:ascii="Century Gothic" w:hAnsi="Century Gothic"/>
          <w:sz w:val="19"/>
          <w:szCs w:val="19"/>
        </w:rPr>
        <w:t xml:space="preserve">ostos por </w:t>
      </w:r>
      <w:r w:rsidR="00D22ECC" w:rsidRPr="009A501D">
        <w:rPr>
          <w:rFonts w:ascii="Century Gothic" w:hAnsi="Century Gothic"/>
          <w:sz w:val="19"/>
          <w:szCs w:val="19"/>
        </w:rPr>
        <w:t>P</w:t>
      </w:r>
      <w:r w:rsidR="007C23AC" w:rsidRPr="009A501D">
        <w:rPr>
          <w:rFonts w:ascii="Century Gothic" w:hAnsi="Century Gothic"/>
          <w:sz w:val="19"/>
          <w:szCs w:val="19"/>
        </w:rPr>
        <w:t xml:space="preserve">roceso </w:t>
      </w:r>
      <w:r w:rsidR="006F684E" w:rsidRPr="009A501D">
        <w:rPr>
          <w:rFonts w:ascii="Century Gothic" w:hAnsi="Century Gothic"/>
          <w:sz w:val="19"/>
          <w:szCs w:val="19"/>
        </w:rPr>
        <w:t>ya</w:t>
      </w:r>
      <w:r w:rsidR="007C23AC" w:rsidRPr="009A501D">
        <w:rPr>
          <w:rFonts w:ascii="Century Gothic" w:hAnsi="Century Gothic"/>
          <w:sz w:val="19"/>
          <w:szCs w:val="19"/>
        </w:rPr>
        <w:t xml:space="preserve"> permite medir los costos por programa </w:t>
      </w:r>
      <w:r w:rsidR="00E72244" w:rsidRPr="009A501D">
        <w:rPr>
          <w:rFonts w:ascii="Century Gothic" w:hAnsi="Century Gothic"/>
          <w:sz w:val="19"/>
          <w:szCs w:val="19"/>
        </w:rPr>
        <w:t>de información</w:t>
      </w:r>
      <w:r w:rsidR="009C4A37" w:rsidRPr="009A501D">
        <w:rPr>
          <w:rFonts w:ascii="Century Gothic" w:hAnsi="Century Gothic"/>
          <w:sz w:val="19"/>
          <w:szCs w:val="19"/>
        </w:rPr>
        <w:t>,</w:t>
      </w:r>
      <w:r w:rsidR="007C23AC" w:rsidRPr="009A501D">
        <w:rPr>
          <w:rFonts w:ascii="Century Gothic" w:hAnsi="Century Gothic"/>
          <w:sz w:val="19"/>
          <w:szCs w:val="19"/>
        </w:rPr>
        <w:t xml:space="preserve"> y por fase, lo que será fundament</w:t>
      </w:r>
      <w:r w:rsidR="00565BA2" w:rsidRPr="009A501D">
        <w:rPr>
          <w:rFonts w:ascii="Century Gothic" w:hAnsi="Century Gothic"/>
          <w:sz w:val="19"/>
          <w:szCs w:val="19"/>
        </w:rPr>
        <w:t xml:space="preserve">o </w:t>
      </w:r>
      <w:r w:rsidR="007C23AC" w:rsidRPr="009A501D">
        <w:rPr>
          <w:rFonts w:ascii="Century Gothic" w:hAnsi="Century Gothic"/>
          <w:sz w:val="19"/>
          <w:szCs w:val="19"/>
        </w:rPr>
        <w:t>para la medición del costo</w:t>
      </w:r>
      <w:r w:rsidR="00D22ECC" w:rsidRPr="009A501D">
        <w:rPr>
          <w:rFonts w:ascii="Century Gothic" w:hAnsi="Century Gothic"/>
          <w:sz w:val="19"/>
          <w:szCs w:val="19"/>
        </w:rPr>
        <w:t>-</w:t>
      </w:r>
      <w:r w:rsidR="007C23AC" w:rsidRPr="009A501D">
        <w:rPr>
          <w:rFonts w:ascii="Century Gothic" w:hAnsi="Century Gothic"/>
          <w:sz w:val="19"/>
          <w:szCs w:val="19"/>
        </w:rPr>
        <w:t>efectividad.</w:t>
      </w:r>
      <w:r w:rsidR="00CD5774" w:rsidRPr="00CD5774">
        <w:rPr>
          <w:rFonts w:ascii="Century Gothic" w:hAnsi="Century Gothic"/>
          <w:sz w:val="19"/>
          <w:szCs w:val="19"/>
        </w:rPr>
        <w:t xml:space="preserve"> </w:t>
      </w:r>
      <w:r w:rsidR="00CD5774" w:rsidRPr="009A501D">
        <w:rPr>
          <w:rFonts w:ascii="Century Gothic" w:hAnsi="Century Gothic"/>
          <w:sz w:val="19"/>
          <w:szCs w:val="19"/>
        </w:rPr>
        <w:t>Por otra parte, a partir de las arquitecturas reveladas por las Unidades Administrativas productoras de información, se construyen modelos de arquitectura de información por método de generación para los procesos de producción del Instituto. Finalmente, se obtuvo una primera valoración del nivel de madurez de la interoperabilidad la cual permite identificar acciones necesarias para mejorar la interoperabilidad en los procesos de producción.</w:t>
      </w:r>
    </w:p>
    <w:p w14:paraId="00EA2ECC" w14:textId="34AC63BA" w:rsidR="00B066C4" w:rsidRPr="009A501D" w:rsidRDefault="001C56EF" w:rsidP="009B353C">
      <w:pPr>
        <w:spacing w:before="240"/>
        <w:jc w:val="both"/>
        <w:rPr>
          <w:rFonts w:ascii="Century Gothic" w:hAnsi="Century Gothic"/>
          <w:sz w:val="19"/>
          <w:szCs w:val="19"/>
        </w:rPr>
      </w:pPr>
      <w:r w:rsidRPr="009A501D">
        <w:rPr>
          <w:rFonts w:ascii="Century Gothic" w:hAnsi="Century Gothic"/>
          <w:sz w:val="19"/>
          <w:szCs w:val="19"/>
        </w:rPr>
        <w:t xml:space="preserve">Asimismo, </w:t>
      </w:r>
      <w:r w:rsidR="00CC42A9" w:rsidRPr="009A501D">
        <w:rPr>
          <w:rFonts w:ascii="Century Gothic" w:hAnsi="Century Gothic"/>
          <w:sz w:val="19"/>
          <w:szCs w:val="19"/>
        </w:rPr>
        <w:t>se miden</w:t>
      </w:r>
      <w:r w:rsidR="002712BC" w:rsidRPr="009A501D">
        <w:rPr>
          <w:rFonts w:ascii="Century Gothic" w:hAnsi="Century Gothic"/>
          <w:sz w:val="19"/>
          <w:szCs w:val="19"/>
        </w:rPr>
        <w:t xml:space="preserve"> los indicadores de pertinencia, oportunidad y accesibilidad para el 100% de los programas de </w:t>
      </w:r>
      <w:r w:rsidR="000D7789" w:rsidRPr="009A501D">
        <w:rPr>
          <w:rFonts w:ascii="Century Gothic" w:hAnsi="Century Gothic"/>
          <w:sz w:val="19"/>
          <w:szCs w:val="19"/>
        </w:rPr>
        <w:t xml:space="preserve">información </w:t>
      </w:r>
      <w:r w:rsidR="00802C58" w:rsidRPr="009A501D">
        <w:rPr>
          <w:rFonts w:ascii="Century Gothic" w:hAnsi="Century Gothic"/>
          <w:sz w:val="19"/>
          <w:szCs w:val="19"/>
        </w:rPr>
        <w:t>y l</w:t>
      </w:r>
      <w:r w:rsidR="002712BC" w:rsidRPr="009A501D">
        <w:rPr>
          <w:rFonts w:ascii="Century Gothic" w:hAnsi="Century Gothic"/>
          <w:sz w:val="19"/>
          <w:szCs w:val="19"/>
        </w:rPr>
        <w:t xml:space="preserve">os procesos </w:t>
      </w:r>
      <w:r w:rsidR="00D22ECC" w:rsidRPr="009A501D">
        <w:rPr>
          <w:rFonts w:ascii="Century Gothic" w:hAnsi="Century Gothic"/>
          <w:sz w:val="19"/>
          <w:szCs w:val="19"/>
        </w:rPr>
        <w:t>correspondientes a</w:t>
      </w:r>
      <w:r w:rsidR="002712BC" w:rsidRPr="009A501D">
        <w:rPr>
          <w:rFonts w:ascii="Century Gothic" w:hAnsi="Century Gothic"/>
          <w:sz w:val="19"/>
          <w:szCs w:val="19"/>
        </w:rPr>
        <w:t xml:space="preserve"> encuestas, censos y registros administrativos reportan indicadores de precisión </w:t>
      </w:r>
      <w:r w:rsidR="00D22ECC" w:rsidRPr="009A501D">
        <w:rPr>
          <w:rFonts w:ascii="Century Gothic" w:hAnsi="Century Gothic"/>
          <w:sz w:val="19"/>
          <w:szCs w:val="19"/>
        </w:rPr>
        <w:t xml:space="preserve">con cada publicación </w:t>
      </w:r>
      <w:r w:rsidR="00D80374" w:rsidRPr="009A501D">
        <w:rPr>
          <w:rFonts w:ascii="Century Gothic" w:hAnsi="Century Gothic"/>
          <w:sz w:val="19"/>
          <w:szCs w:val="19"/>
        </w:rPr>
        <w:t xml:space="preserve">de </w:t>
      </w:r>
      <w:r w:rsidR="002712BC" w:rsidRPr="009A501D">
        <w:rPr>
          <w:rFonts w:ascii="Century Gothic" w:hAnsi="Century Gothic"/>
          <w:sz w:val="19"/>
          <w:szCs w:val="19"/>
        </w:rPr>
        <w:t>información.</w:t>
      </w:r>
      <w:r w:rsidR="00CD5774">
        <w:rPr>
          <w:rFonts w:ascii="Century Gothic" w:hAnsi="Century Gothic"/>
          <w:sz w:val="19"/>
          <w:szCs w:val="19"/>
        </w:rPr>
        <w:t xml:space="preserve">  Se cuenta con un catálogo de evaluaciones del 100% de los programas que realizan evaluaciones sistemáticas.</w:t>
      </w:r>
      <w:r w:rsidR="002712BC" w:rsidRPr="009A501D">
        <w:rPr>
          <w:rFonts w:ascii="Century Gothic" w:hAnsi="Century Gothic"/>
          <w:sz w:val="19"/>
          <w:szCs w:val="19"/>
        </w:rPr>
        <w:t xml:space="preserve"> </w:t>
      </w:r>
      <w:r w:rsidR="00D80374" w:rsidRPr="009A501D">
        <w:rPr>
          <w:rFonts w:ascii="Century Gothic" w:hAnsi="Century Gothic"/>
          <w:sz w:val="19"/>
          <w:szCs w:val="19"/>
        </w:rPr>
        <w:t>Mediante el S</w:t>
      </w:r>
      <w:r w:rsidR="002712BC" w:rsidRPr="009A501D">
        <w:rPr>
          <w:rFonts w:ascii="Century Gothic" w:hAnsi="Century Gothic"/>
          <w:sz w:val="19"/>
          <w:szCs w:val="19"/>
        </w:rPr>
        <w:t xml:space="preserve">istema de </w:t>
      </w:r>
      <w:r w:rsidR="00D80374" w:rsidRPr="009A501D">
        <w:rPr>
          <w:rFonts w:ascii="Century Gothic" w:hAnsi="Century Gothic"/>
          <w:sz w:val="19"/>
          <w:szCs w:val="19"/>
        </w:rPr>
        <w:t>S</w:t>
      </w:r>
      <w:r w:rsidR="002712BC" w:rsidRPr="009A501D">
        <w:rPr>
          <w:rFonts w:ascii="Century Gothic" w:hAnsi="Century Gothic"/>
          <w:sz w:val="19"/>
          <w:szCs w:val="19"/>
        </w:rPr>
        <w:t xml:space="preserve">eguimiento de </w:t>
      </w:r>
      <w:r w:rsidR="00D80374" w:rsidRPr="009A501D">
        <w:rPr>
          <w:rFonts w:ascii="Century Gothic" w:hAnsi="Century Gothic"/>
          <w:sz w:val="19"/>
          <w:szCs w:val="19"/>
        </w:rPr>
        <w:t>C</w:t>
      </w:r>
      <w:r w:rsidR="002712BC" w:rsidRPr="009A501D">
        <w:rPr>
          <w:rFonts w:ascii="Century Gothic" w:hAnsi="Century Gothic"/>
          <w:sz w:val="19"/>
          <w:szCs w:val="19"/>
        </w:rPr>
        <w:t xml:space="preserve">ambios se </w:t>
      </w:r>
      <w:r w:rsidR="00430CA3" w:rsidRPr="009A501D">
        <w:rPr>
          <w:rFonts w:ascii="Century Gothic" w:hAnsi="Century Gothic"/>
          <w:sz w:val="19"/>
          <w:szCs w:val="19"/>
        </w:rPr>
        <w:t>evidencian</w:t>
      </w:r>
      <w:r w:rsidR="005E297E" w:rsidRPr="009A501D">
        <w:rPr>
          <w:rFonts w:ascii="Century Gothic" w:hAnsi="Century Gothic"/>
          <w:sz w:val="19"/>
          <w:szCs w:val="19"/>
        </w:rPr>
        <w:t xml:space="preserve"> </w:t>
      </w:r>
      <w:r w:rsidR="002712BC" w:rsidRPr="009A501D">
        <w:rPr>
          <w:rFonts w:ascii="Century Gothic" w:hAnsi="Century Gothic"/>
          <w:sz w:val="19"/>
          <w:szCs w:val="19"/>
        </w:rPr>
        <w:t>las modificaciones al diseño del</w:t>
      </w:r>
      <w:r w:rsidR="00056E74">
        <w:rPr>
          <w:rFonts w:ascii="Century Gothic" w:hAnsi="Century Gothic"/>
          <w:sz w:val="19"/>
          <w:szCs w:val="19"/>
        </w:rPr>
        <w:t xml:space="preserve"> 100% de los procesos de producción reportados</w:t>
      </w:r>
      <w:r w:rsidR="00D80374" w:rsidRPr="009A501D">
        <w:rPr>
          <w:rFonts w:ascii="Century Gothic" w:hAnsi="Century Gothic"/>
          <w:sz w:val="19"/>
          <w:szCs w:val="19"/>
        </w:rPr>
        <w:t xml:space="preserve"> </w:t>
      </w:r>
      <w:r w:rsidR="00120F52" w:rsidRPr="009A501D">
        <w:rPr>
          <w:rFonts w:ascii="Century Gothic" w:hAnsi="Century Gothic"/>
          <w:sz w:val="19"/>
          <w:szCs w:val="19"/>
        </w:rPr>
        <w:t>y existen cursos</w:t>
      </w:r>
      <w:r w:rsidR="00CD5774">
        <w:rPr>
          <w:rFonts w:ascii="Century Gothic" w:hAnsi="Century Gothic"/>
          <w:sz w:val="19"/>
          <w:szCs w:val="19"/>
        </w:rPr>
        <w:t xml:space="preserve"> para el 81% de las guías e indicadores aprobados por el Comité</w:t>
      </w:r>
      <w:r w:rsidR="00120F52" w:rsidRPr="009A501D">
        <w:rPr>
          <w:rFonts w:ascii="Century Gothic" w:hAnsi="Century Gothic"/>
          <w:sz w:val="19"/>
          <w:szCs w:val="19"/>
        </w:rPr>
        <w:t xml:space="preserve"> con los que se ha capacitado a miles de </w:t>
      </w:r>
      <w:r w:rsidR="00D80374" w:rsidRPr="009A501D">
        <w:rPr>
          <w:rFonts w:ascii="Century Gothic" w:hAnsi="Century Gothic"/>
          <w:sz w:val="19"/>
          <w:szCs w:val="19"/>
        </w:rPr>
        <w:t>personas</w:t>
      </w:r>
      <w:r w:rsidR="00120F52" w:rsidRPr="009A501D">
        <w:rPr>
          <w:rFonts w:ascii="Century Gothic" w:hAnsi="Century Gothic"/>
          <w:sz w:val="19"/>
          <w:szCs w:val="19"/>
        </w:rPr>
        <w:t>.</w:t>
      </w:r>
      <w:r w:rsidR="00915A7A" w:rsidRPr="009A501D">
        <w:rPr>
          <w:rFonts w:ascii="Century Gothic" w:hAnsi="Century Gothic"/>
          <w:sz w:val="19"/>
          <w:szCs w:val="19"/>
        </w:rPr>
        <w:t xml:space="preserve"> </w:t>
      </w:r>
    </w:p>
    <w:p w14:paraId="016BFB0E" w14:textId="0B12445D" w:rsidR="007F0906" w:rsidRPr="009A501D" w:rsidRDefault="00120F52" w:rsidP="00664A1D">
      <w:pPr>
        <w:spacing w:before="240"/>
        <w:jc w:val="both"/>
        <w:rPr>
          <w:rFonts w:ascii="Century Gothic" w:hAnsi="Century Gothic"/>
          <w:sz w:val="19"/>
          <w:szCs w:val="19"/>
        </w:rPr>
      </w:pPr>
      <w:r w:rsidRPr="009A501D">
        <w:rPr>
          <w:rFonts w:ascii="Century Gothic" w:hAnsi="Century Gothic"/>
          <w:sz w:val="19"/>
          <w:szCs w:val="19"/>
        </w:rPr>
        <w:t xml:space="preserve">Sin embargo, estos logros han puesto en evidencia nuevos retos que implican una mayor profundización de la estrategia de calidad.  Si bien se </w:t>
      </w:r>
      <w:r w:rsidR="007348E6" w:rsidRPr="009A501D">
        <w:rPr>
          <w:rFonts w:ascii="Century Gothic" w:hAnsi="Century Gothic"/>
          <w:sz w:val="19"/>
          <w:szCs w:val="19"/>
        </w:rPr>
        <w:t xml:space="preserve">desarrolló </w:t>
      </w:r>
      <w:r w:rsidRPr="009A501D">
        <w:rPr>
          <w:rFonts w:ascii="Century Gothic" w:hAnsi="Century Gothic"/>
          <w:sz w:val="19"/>
          <w:szCs w:val="19"/>
        </w:rPr>
        <w:t xml:space="preserve">un tablero para </w:t>
      </w:r>
      <w:r w:rsidR="007348E6" w:rsidRPr="009A501D">
        <w:rPr>
          <w:rFonts w:ascii="Century Gothic" w:hAnsi="Century Gothic"/>
          <w:sz w:val="19"/>
          <w:szCs w:val="19"/>
        </w:rPr>
        <w:t xml:space="preserve">monitorear </w:t>
      </w:r>
      <w:r w:rsidRPr="009A501D">
        <w:rPr>
          <w:rFonts w:ascii="Century Gothic" w:hAnsi="Century Gothic"/>
          <w:sz w:val="19"/>
          <w:szCs w:val="19"/>
        </w:rPr>
        <w:t xml:space="preserve">los procesos, ciclos y evidencias a través del </w:t>
      </w:r>
      <w:r w:rsidR="00EA5C0F" w:rsidRPr="009A501D">
        <w:rPr>
          <w:rFonts w:ascii="Century Gothic" w:hAnsi="Century Gothic"/>
          <w:sz w:val="19"/>
          <w:szCs w:val="19"/>
        </w:rPr>
        <w:t>PTRACKING</w:t>
      </w:r>
      <w:r w:rsidR="002B0F4D" w:rsidRPr="009A501D">
        <w:rPr>
          <w:rFonts w:ascii="Century Gothic" w:hAnsi="Century Gothic"/>
          <w:sz w:val="19"/>
          <w:szCs w:val="19"/>
        </w:rPr>
        <w:t>,</w:t>
      </w:r>
      <w:r w:rsidRPr="009A501D">
        <w:rPr>
          <w:rFonts w:ascii="Century Gothic" w:hAnsi="Century Gothic"/>
          <w:sz w:val="19"/>
          <w:szCs w:val="19"/>
        </w:rPr>
        <w:t xml:space="preserve"> </w:t>
      </w:r>
      <w:r w:rsidR="0088188C" w:rsidRPr="009A501D">
        <w:rPr>
          <w:rFonts w:ascii="Century Gothic" w:hAnsi="Century Gothic"/>
          <w:sz w:val="19"/>
          <w:szCs w:val="19"/>
        </w:rPr>
        <w:t>es necesario implementar</w:t>
      </w:r>
      <w:r w:rsidRPr="009A501D">
        <w:rPr>
          <w:rFonts w:ascii="Century Gothic" w:hAnsi="Century Gothic"/>
          <w:sz w:val="19"/>
          <w:szCs w:val="19"/>
        </w:rPr>
        <w:t xml:space="preserve"> más indicadores operativos que permitan detectar áreas de mejora en la ejecución de los procesos</w:t>
      </w:r>
      <w:r w:rsidR="007348E6" w:rsidRPr="009A501D">
        <w:rPr>
          <w:rFonts w:ascii="Century Gothic" w:hAnsi="Century Gothic"/>
          <w:sz w:val="19"/>
          <w:szCs w:val="19"/>
        </w:rPr>
        <w:t>, así como sistematizar las guías aprobadas y desarrollar las faltantes</w:t>
      </w:r>
      <w:r w:rsidRPr="009A501D">
        <w:rPr>
          <w:rFonts w:ascii="Century Gothic" w:hAnsi="Century Gothic"/>
          <w:sz w:val="19"/>
          <w:szCs w:val="19"/>
        </w:rPr>
        <w:t xml:space="preserve">.  Actualmente se mide la calidad desde distintas aristas a través de los indicadores y se compiló un </w:t>
      </w:r>
      <w:r w:rsidR="007348E6" w:rsidRPr="009A501D">
        <w:rPr>
          <w:rFonts w:ascii="Century Gothic" w:hAnsi="Century Gothic"/>
          <w:sz w:val="19"/>
          <w:szCs w:val="19"/>
        </w:rPr>
        <w:t xml:space="preserve">primer </w:t>
      </w:r>
      <w:r w:rsidRPr="009A501D">
        <w:rPr>
          <w:rFonts w:ascii="Century Gothic" w:hAnsi="Century Gothic"/>
          <w:sz w:val="19"/>
          <w:szCs w:val="19"/>
        </w:rPr>
        <w:t xml:space="preserve">catálogo de </w:t>
      </w:r>
      <w:r w:rsidR="007348E6" w:rsidRPr="009A501D">
        <w:rPr>
          <w:rFonts w:ascii="Century Gothic" w:hAnsi="Century Gothic"/>
          <w:sz w:val="19"/>
          <w:szCs w:val="19"/>
        </w:rPr>
        <w:t xml:space="preserve">las </w:t>
      </w:r>
      <w:r w:rsidRPr="009A501D">
        <w:rPr>
          <w:rFonts w:ascii="Century Gothic" w:hAnsi="Century Gothic"/>
          <w:sz w:val="19"/>
          <w:szCs w:val="19"/>
        </w:rPr>
        <w:t xml:space="preserve">evaluaciones que han </w:t>
      </w:r>
      <w:r w:rsidR="00D80374" w:rsidRPr="009A501D">
        <w:rPr>
          <w:rFonts w:ascii="Century Gothic" w:hAnsi="Century Gothic"/>
          <w:sz w:val="19"/>
          <w:szCs w:val="19"/>
        </w:rPr>
        <w:t xml:space="preserve">aplicado </w:t>
      </w:r>
      <w:r w:rsidRPr="009A501D">
        <w:rPr>
          <w:rFonts w:ascii="Century Gothic" w:hAnsi="Century Gothic"/>
          <w:sz w:val="19"/>
          <w:szCs w:val="19"/>
        </w:rPr>
        <w:t>las Unidades Administrativas, pero es necesario un marco genérico de evaluaci</w:t>
      </w:r>
      <w:r w:rsidR="00D80374" w:rsidRPr="009A501D">
        <w:rPr>
          <w:rFonts w:ascii="Century Gothic" w:hAnsi="Century Gothic"/>
          <w:sz w:val="19"/>
          <w:szCs w:val="19"/>
        </w:rPr>
        <w:t>ones</w:t>
      </w:r>
      <w:r w:rsidRPr="009A501D">
        <w:rPr>
          <w:rFonts w:ascii="Century Gothic" w:hAnsi="Century Gothic"/>
          <w:sz w:val="19"/>
          <w:szCs w:val="19"/>
        </w:rPr>
        <w:t xml:space="preserve"> que </w:t>
      </w:r>
      <w:r w:rsidR="00D80374" w:rsidRPr="009A501D">
        <w:rPr>
          <w:rFonts w:ascii="Century Gothic" w:hAnsi="Century Gothic"/>
          <w:sz w:val="19"/>
          <w:szCs w:val="19"/>
        </w:rPr>
        <w:t xml:space="preserve">institucionalice un referente común en la </w:t>
      </w:r>
      <w:r w:rsidRPr="009A501D">
        <w:rPr>
          <w:rFonts w:ascii="Century Gothic" w:hAnsi="Century Gothic"/>
          <w:sz w:val="19"/>
          <w:szCs w:val="19"/>
        </w:rPr>
        <w:t>reali</w:t>
      </w:r>
      <w:r w:rsidR="00D80374" w:rsidRPr="009A501D">
        <w:rPr>
          <w:rFonts w:ascii="Century Gothic" w:hAnsi="Century Gothic"/>
          <w:sz w:val="19"/>
          <w:szCs w:val="19"/>
        </w:rPr>
        <w:t>zación de</w:t>
      </w:r>
      <w:r w:rsidRPr="009A501D">
        <w:rPr>
          <w:rFonts w:ascii="Century Gothic" w:hAnsi="Century Gothic"/>
          <w:sz w:val="19"/>
          <w:szCs w:val="19"/>
        </w:rPr>
        <w:t xml:space="preserve"> evaluaciones específicas conforme a los principios de calidad.</w:t>
      </w:r>
      <w:r w:rsidR="002067F8" w:rsidRPr="009A501D">
        <w:rPr>
          <w:rFonts w:ascii="Century Gothic" w:hAnsi="Century Gothic"/>
          <w:sz w:val="19"/>
          <w:szCs w:val="19"/>
        </w:rPr>
        <w:t xml:space="preserve">  </w:t>
      </w:r>
      <w:r w:rsidR="006B38AB" w:rsidRPr="009A501D">
        <w:rPr>
          <w:rFonts w:ascii="Century Gothic" w:hAnsi="Century Gothic"/>
          <w:sz w:val="19"/>
          <w:szCs w:val="19"/>
        </w:rPr>
        <w:t xml:space="preserve">Adicionalmente, es importante profundizar en la identificación y completitud de los indicadores-objetivo </w:t>
      </w:r>
      <w:r w:rsidR="00FF36DD" w:rsidRPr="009A501D">
        <w:rPr>
          <w:rFonts w:ascii="Century Gothic" w:hAnsi="Century Gothic"/>
          <w:sz w:val="19"/>
          <w:szCs w:val="19"/>
        </w:rPr>
        <w:t xml:space="preserve">ya que es </w:t>
      </w:r>
      <w:r w:rsidR="005A56E1" w:rsidRPr="009A501D">
        <w:rPr>
          <w:rFonts w:ascii="Century Gothic" w:hAnsi="Century Gothic"/>
          <w:sz w:val="19"/>
          <w:szCs w:val="19"/>
        </w:rPr>
        <w:t>la unidad de análisis de l</w:t>
      </w:r>
      <w:r w:rsidR="00BD4C79" w:rsidRPr="009A501D">
        <w:rPr>
          <w:rFonts w:ascii="Century Gothic" w:hAnsi="Century Gothic"/>
          <w:sz w:val="19"/>
          <w:szCs w:val="19"/>
        </w:rPr>
        <w:t xml:space="preserve">a calidad, tanto para la precisión como para </w:t>
      </w:r>
      <w:r w:rsidR="003E54FB" w:rsidRPr="009A501D">
        <w:rPr>
          <w:rFonts w:ascii="Century Gothic" w:hAnsi="Century Gothic"/>
          <w:sz w:val="19"/>
          <w:szCs w:val="19"/>
        </w:rPr>
        <w:t>el costo-efectividad.</w:t>
      </w:r>
      <w:r w:rsidR="00162251" w:rsidRPr="009A501D">
        <w:rPr>
          <w:rFonts w:ascii="Century Gothic" w:hAnsi="Century Gothic"/>
          <w:sz w:val="19"/>
          <w:szCs w:val="19"/>
        </w:rPr>
        <w:t xml:space="preserve">  E</w:t>
      </w:r>
      <w:r w:rsidR="00D80374" w:rsidRPr="009A501D">
        <w:rPr>
          <w:rFonts w:ascii="Century Gothic" w:hAnsi="Century Gothic"/>
          <w:sz w:val="19"/>
          <w:szCs w:val="19"/>
        </w:rPr>
        <w:t>l</w:t>
      </w:r>
      <w:r w:rsidRPr="009A501D">
        <w:rPr>
          <w:rFonts w:ascii="Century Gothic" w:hAnsi="Century Gothic"/>
          <w:sz w:val="19"/>
          <w:szCs w:val="19"/>
        </w:rPr>
        <w:t xml:space="preserve"> </w:t>
      </w:r>
      <w:r w:rsidR="00D80374" w:rsidRPr="009A501D">
        <w:rPr>
          <w:rFonts w:ascii="Century Gothic" w:hAnsi="Century Gothic"/>
          <w:sz w:val="19"/>
          <w:szCs w:val="19"/>
        </w:rPr>
        <w:t>S</w:t>
      </w:r>
      <w:r w:rsidRPr="009A501D">
        <w:rPr>
          <w:rFonts w:ascii="Century Gothic" w:hAnsi="Century Gothic"/>
          <w:sz w:val="19"/>
          <w:szCs w:val="19"/>
        </w:rPr>
        <w:t xml:space="preserve">istema de </w:t>
      </w:r>
      <w:r w:rsidR="00D80374" w:rsidRPr="009A501D">
        <w:rPr>
          <w:rFonts w:ascii="Century Gothic" w:hAnsi="Century Gothic"/>
          <w:sz w:val="19"/>
          <w:szCs w:val="19"/>
        </w:rPr>
        <w:t>S</w:t>
      </w:r>
      <w:r w:rsidRPr="009A501D">
        <w:rPr>
          <w:rFonts w:ascii="Century Gothic" w:hAnsi="Century Gothic"/>
          <w:sz w:val="19"/>
          <w:szCs w:val="19"/>
        </w:rPr>
        <w:t xml:space="preserve">eguimiento de </w:t>
      </w:r>
      <w:r w:rsidR="00D80374" w:rsidRPr="009A501D">
        <w:rPr>
          <w:rFonts w:ascii="Century Gothic" w:hAnsi="Century Gothic"/>
          <w:sz w:val="19"/>
          <w:szCs w:val="19"/>
        </w:rPr>
        <w:t>C</w:t>
      </w:r>
      <w:r w:rsidRPr="009A501D">
        <w:rPr>
          <w:rFonts w:ascii="Century Gothic" w:hAnsi="Century Gothic"/>
          <w:sz w:val="19"/>
          <w:szCs w:val="19"/>
        </w:rPr>
        <w:t xml:space="preserve">ambios </w:t>
      </w:r>
      <w:r w:rsidR="00D80374" w:rsidRPr="009A501D">
        <w:rPr>
          <w:rFonts w:ascii="Century Gothic" w:hAnsi="Century Gothic"/>
          <w:sz w:val="19"/>
          <w:szCs w:val="19"/>
        </w:rPr>
        <w:t xml:space="preserve">está en operación, </w:t>
      </w:r>
      <w:r w:rsidR="00162251" w:rsidRPr="009A501D">
        <w:rPr>
          <w:rFonts w:ascii="Century Gothic" w:hAnsi="Century Gothic"/>
          <w:sz w:val="19"/>
          <w:szCs w:val="19"/>
        </w:rPr>
        <w:t>sin embargo,</w:t>
      </w:r>
      <w:r w:rsidR="0079485B" w:rsidRPr="009A501D">
        <w:rPr>
          <w:rFonts w:ascii="Century Gothic" w:hAnsi="Century Gothic"/>
          <w:sz w:val="19"/>
          <w:szCs w:val="19"/>
        </w:rPr>
        <w:t xml:space="preserve"> </w:t>
      </w:r>
      <w:r w:rsidR="00D80374" w:rsidRPr="009A501D">
        <w:rPr>
          <w:rFonts w:ascii="Century Gothic" w:hAnsi="Century Gothic"/>
          <w:sz w:val="19"/>
          <w:szCs w:val="19"/>
        </w:rPr>
        <w:t xml:space="preserve">carece de un mecanismo para </w:t>
      </w:r>
      <w:r w:rsidR="00491F82" w:rsidRPr="009A501D">
        <w:rPr>
          <w:rFonts w:ascii="Century Gothic" w:hAnsi="Century Gothic"/>
          <w:sz w:val="19"/>
          <w:szCs w:val="19"/>
        </w:rPr>
        <w:t>a</w:t>
      </w:r>
      <w:r w:rsidR="0079485B" w:rsidRPr="009A501D">
        <w:rPr>
          <w:rFonts w:ascii="Century Gothic" w:hAnsi="Century Gothic"/>
          <w:sz w:val="19"/>
          <w:szCs w:val="19"/>
        </w:rPr>
        <w:t>segurar el</w:t>
      </w:r>
      <w:r w:rsidR="00D80374" w:rsidRPr="009A501D">
        <w:rPr>
          <w:rFonts w:ascii="Century Gothic" w:hAnsi="Century Gothic"/>
          <w:sz w:val="19"/>
          <w:szCs w:val="19"/>
        </w:rPr>
        <w:t xml:space="preserve"> registr</w:t>
      </w:r>
      <w:r w:rsidR="00491F82" w:rsidRPr="009A501D">
        <w:rPr>
          <w:rFonts w:ascii="Century Gothic" w:hAnsi="Century Gothic"/>
          <w:sz w:val="19"/>
          <w:szCs w:val="19"/>
        </w:rPr>
        <w:t>o de</w:t>
      </w:r>
      <w:r w:rsidR="00D80374" w:rsidRPr="009A501D">
        <w:rPr>
          <w:rFonts w:ascii="Century Gothic" w:hAnsi="Century Gothic"/>
          <w:sz w:val="19"/>
          <w:szCs w:val="19"/>
        </w:rPr>
        <w:t xml:space="preserve"> </w:t>
      </w:r>
      <w:r w:rsidRPr="009A501D">
        <w:rPr>
          <w:rFonts w:ascii="Century Gothic" w:hAnsi="Century Gothic"/>
          <w:sz w:val="19"/>
          <w:szCs w:val="19"/>
        </w:rPr>
        <w:t xml:space="preserve">todos los cambios que se realizan </w:t>
      </w:r>
      <w:r w:rsidR="00D80374" w:rsidRPr="009A501D">
        <w:rPr>
          <w:rFonts w:ascii="Century Gothic" w:hAnsi="Century Gothic"/>
          <w:sz w:val="19"/>
          <w:szCs w:val="19"/>
        </w:rPr>
        <w:t>a</w:t>
      </w:r>
      <w:r w:rsidR="007F0906" w:rsidRPr="009A501D">
        <w:rPr>
          <w:rFonts w:ascii="Century Gothic" w:hAnsi="Century Gothic"/>
          <w:sz w:val="19"/>
          <w:szCs w:val="19"/>
        </w:rPr>
        <w:t xml:space="preserve">l diseño de los </w:t>
      </w:r>
      <w:r w:rsidR="00D80374" w:rsidRPr="009A501D">
        <w:rPr>
          <w:rFonts w:ascii="Century Gothic" w:hAnsi="Century Gothic"/>
          <w:sz w:val="19"/>
          <w:szCs w:val="19"/>
        </w:rPr>
        <w:t>procesos</w:t>
      </w:r>
      <w:r w:rsidR="007F0906" w:rsidRPr="009A501D">
        <w:rPr>
          <w:rFonts w:ascii="Century Gothic" w:hAnsi="Century Gothic"/>
          <w:sz w:val="19"/>
          <w:szCs w:val="19"/>
        </w:rPr>
        <w:t>. Estos retos deben ser considerados para el trabajo subsecuente del Comité.</w:t>
      </w:r>
    </w:p>
    <w:p w14:paraId="57115268" w14:textId="23A9AE17" w:rsidR="002766B2" w:rsidRPr="009A501D" w:rsidRDefault="007F0906" w:rsidP="001B0B26">
      <w:pPr>
        <w:spacing w:before="160" w:after="40"/>
        <w:jc w:val="both"/>
        <w:rPr>
          <w:rFonts w:ascii="Century Gothic" w:hAnsi="Century Gothic"/>
          <w:sz w:val="19"/>
          <w:szCs w:val="19"/>
        </w:rPr>
      </w:pPr>
      <w:r w:rsidRPr="009A501D">
        <w:rPr>
          <w:rFonts w:ascii="Century Gothic" w:hAnsi="Century Gothic"/>
          <w:sz w:val="19"/>
          <w:szCs w:val="19"/>
        </w:rPr>
        <w:t xml:space="preserve">Los resultados de los indicadores de calidad permiten detectar áreas de mejora. </w:t>
      </w:r>
      <w:r w:rsidR="007348E6" w:rsidRPr="009A501D">
        <w:rPr>
          <w:rFonts w:ascii="Century Gothic" w:hAnsi="Century Gothic"/>
          <w:sz w:val="19"/>
          <w:szCs w:val="19"/>
        </w:rPr>
        <w:t>P</w:t>
      </w:r>
      <w:r w:rsidRPr="009A501D">
        <w:rPr>
          <w:rFonts w:ascii="Century Gothic" w:hAnsi="Century Gothic"/>
          <w:sz w:val="19"/>
          <w:szCs w:val="19"/>
        </w:rPr>
        <w:t xml:space="preserve">ara </w:t>
      </w:r>
      <w:r w:rsidR="007348E6" w:rsidRPr="009A501D">
        <w:rPr>
          <w:rFonts w:ascii="Century Gothic" w:hAnsi="Century Gothic"/>
          <w:sz w:val="19"/>
          <w:szCs w:val="19"/>
        </w:rPr>
        <w:t>optimizar</w:t>
      </w:r>
      <w:r w:rsidRPr="009A501D">
        <w:rPr>
          <w:rFonts w:ascii="Century Gothic" w:hAnsi="Century Gothic"/>
          <w:sz w:val="19"/>
          <w:szCs w:val="19"/>
        </w:rPr>
        <w:t xml:space="preserve"> la pertinencia es necesario que </w:t>
      </w:r>
      <w:r w:rsidR="007348E6" w:rsidRPr="009A501D">
        <w:rPr>
          <w:rFonts w:ascii="Century Gothic" w:hAnsi="Century Gothic"/>
          <w:sz w:val="19"/>
          <w:szCs w:val="19"/>
        </w:rPr>
        <w:t xml:space="preserve">más </w:t>
      </w:r>
      <w:r w:rsidRPr="009A501D">
        <w:rPr>
          <w:rFonts w:ascii="Century Gothic" w:hAnsi="Century Gothic"/>
          <w:sz w:val="19"/>
          <w:szCs w:val="19"/>
        </w:rPr>
        <w:t xml:space="preserve">información </w:t>
      </w:r>
      <w:r w:rsidR="007348E6" w:rsidRPr="009A501D">
        <w:rPr>
          <w:rFonts w:ascii="Century Gothic" w:hAnsi="Century Gothic"/>
          <w:sz w:val="19"/>
          <w:szCs w:val="19"/>
        </w:rPr>
        <w:t xml:space="preserve">que </w:t>
      </w:r>
      <w:r w:rsidRPr="009A501D">
        <w:rPr>
          <w:rFonts w:ascii="Century Gothic" w:hAnsi="Century Gothic"/>
          <w:sz w:val="19"/>
          <w:szCs w:val="19"/>
        </w:rPr>
        <w:t xml:space="preserve">ya se produce se utilice </w:t>
      </w:r>
      <w:r w:rsidR="007348E6" w:rsidRPr="009A501D">
        <w:rPr>
          <w:rFonts w:ascii="Century Gothic" w:hAnsi="Century Gothic"/>
          <w:sz w:val="19"/>
          <w:szCs w:val="19"/>
        </w:rPr>
        <w:t xml:space="preserve">en </w:t>
      </w:r>
      <w:r w:rsidRPr="009A501D">
        <w:rPr>
          <w:rFonts w:ascii="Century Gothic" w:hAnsi="Century Gothic"/>
          <w:sz w:val="19"/>
          <w:szCs w:val="19"/>
        </w:rPr>
        <w:t>la medición del desarrollo nacional o</w:t>
      </w:r>
      <w:r w:rsidR="007348E6" w:rsidRPr="009A501D">
        <w:rPr>
          <w:rFonts w:ascii="Century Gothic" w:hAnsi="Century Gothic"/>
          <w:sz w:val="19"/>
          <w:szCs w:val="19"/>
        </w:rPr>
        <w:t>,</w:t>
      </w:r>
      <w:r w:rsidRPr="009A501D">
        <w:rPr>
          <w:rFonts w:ascii="Century Gothic" w:hAnsi="Century Gothic"/>
          <w:sz w:val="19"/>
          <w:szCs w:val="19"/>
        </w:rPr>
        <w:t xml:space="preserve"> en su caso</w:t>
      </w:r>
      <w:r w:rsidR="007348E6" w:rsidRPr="009A501D">
        <w:rPr>
          <w:rFonts w:ascii="Century Gothic" w:hAnsi="Century Gothic"/>
          <w:sz w:val="19"/>
          <w:szCs w:val="19"/>
        </w:rPr>
        <w:t>,</w:t>
      </w:r>
      <w:r w:rsidRPr="009A501D">
        <w:rPr>
          <w:rFonts w:ascii="Century Gothic" w:hAnsi="Century Gothic"/>
          <w:sz w:val="19"/>
          <w:szCs w:val="19"/>
        </w:rPr>
        <w:t xml:space="preserve"> hacer adecuaciones para que se produzca información</w:t>
      </w:r>
      <w:r w:rsidR="00D641B7" w:rsidRPr="009A501D">
        <w:rPr>
          <w:rFonts w:ascii="Century Gothic" w:hAnsi="Century Gothic"/>
          <w:sz w:val="19"/>
          <w:szCs w:val="19"/>
        </w:rPr>
        <w:t xml:space="preserve"> </w:t>
      </w:r>
      <w:r w:rsidR="00391FD0" w:rsidRPr="009A501D">
        <w:rPr>
          <w:rFonts w:ascii="Century Gothic" w:hAnsi="Century Gothic"/>
          <w:sz w:val="19"/>
          <w:szCs w:val="19"/>
        </w:rPr>
        <w:t>que contribuya</w:t>
      </w:r>
      <w:r w:rsidR="00D641B7" w:rsidRPr="009A501D">
        <w:rPr>
          <w:rFonts w:ascii="Century Gothic" w:hAnsi="Century Gothic"/>
          <w:sz w:val="19"/>
          <w:szCs w:val="19"/>
        </w:rPr>
        <w:t xml:space="preserve"> en la planeación nacional</w:t>
      </w:r>
      <w:r w:rsidRPr="009A501D">
        <w:rPr>
          <w:rFonts w:ascii="Century Gothic" w:hAnsi="Century Gothic"/>
          <w:sz w:val="19"/>
          <w:szCs w:val="19"/>
        </w:rPr>
        <w:t xml:space="preserve">. Algunos </w:t>
      </w:r>
      <w:r w:rsidR="003C3FDA" w:rsidRPr="009A501D">
        <w:rPr>
          <w:rFonts w:ascii="Century Gothic" w:hAnsi="Century Gothic"/>
          <w:sz w:val="19"/>
          <w:szCs w:val="19"/>
        </w:rPr>
        <w:t>productos de información</w:t>
      </w:r>
      <w:r w:rsidRPr="009A501D">
        <w:rPr>
          <w:rFonts w:ascii="Century Gothic" w:hAnsi="Century Gothic"/>
          <w:sz w:val="19"/>
          <w:szCs w:val="19"/>
        </w:rPr>
        <w:t xml:space="preserve"> han mejorado </w:t>
      </w:r>
      <w:r w:rsidR="007348E6" w:rsidRPr="009A501D">
        <w:rPr>
          <w:rFonts w:ascii="Century Gothic" w:hAnsi="Century Gothic"/>
          <w:sz w:val="19"/>
          <w:szCs w:val="19"/>
        </w:rPr>
        <w:t xml:space="preserve">su </w:t>
      </w:r>
      <w:r w:rsidRPr="009A501D">
        <w:rPr>
          <w:rFonts w:ascii="Century Gothic" w:hAnsi="Century Gothic"/>
          <w:sz w:val="19"/>
          <w:szCs w:val="19"/>
        </w:rPr>
        <w:t>oportunidad a lo largo del tiempo</w:t>
      </w:r>
      <w:r w:rsidR="00D870B7" w:rsidRPr="009A501D">
        <w:rPr>
          <w:rFonts w:ascii="Century Gothic" w:hAnsi="Century Gothic"/>
          <w:sz w:val="19"/>
          <w:szCs w:val="19"/>
        </w:rPr>
        <w:t>,</w:t>
      </w:r>
      <w:r w:rsidRPr="009A501D">
        <w:rPr>
          <w:rFonts w:ascii="Century Gothic" w:hAnsi="Century Gothic"/>
          <w:sz w:val="19"/>
          <w:szCs w:val="19"/>
        </w:rPr>
        <w:t xml:space="preserve"> sin embargo</w:t>
      </w:r>
      <w:r w:rsidR="003C3FDA" w:rsidRPr="009A501D">
        <w:rPr>
          <w:rFonts w:ascii="Century Gothic" w:hAnsi="Century Gothic"/>
          <w:sz w:val="19"/>
          <w:szCs w:val="19"/>
        </w:rPr>
        <w:t>,</w:t>
      </w:r>
      <w:r w:rsidRPr="009A501D">
        <w:rPr>
          <w:rFonts w:ascii="Century Gothic" w:hAnsi="Century Gothic"/>
          <w:sz w:val="19"/>
          <w:szCs w:val="19"/>
        </w:rPr>
        <w:t xml:space="preserve"> otros </w:t>
      </w:r>
      <w:r w:rsidR="00D641B7" w:rsidRPr="009A501D">
        <w:rPr>
          <w:rFonts w:ascii="Century Gothic" w:hAnsi="Century Gothic"/>
          <w:sz w:val="19"/>
          <w:szCs w:val="19"/>
        </w:rPr>
        <w:t xml:space="preserve">aún tienen un </w:t>
      </w:r>
      <w:r w:rsidR="007348E6" w:rsidRPr="009A501D">
        <w:rPr>
          <w:rFonts w:ascii="Century Gothic" w:hAnsi="Century Gothic"/>
          <w:sz w:val="19"/>
          <w:szCs w:val="19"/>
        </w:rPr>
        <w:t>margen</w:t>
      </w:r>
      <w:r w:rsidRPr="009A501D">
        <w:rPr>
          <w:rFonts w:ascii="Century Gothic" w:hAnsi="Century Gothic"/>
          <w:sz w:val="19"/>
          <w:szCs w:val="19"/>
        </w:rPr>
        <w:t xml:space="preserve"> de mejora</w:t>
      </w:r>
      <w:r w:rsidR="003C3FDA" w:rsidRPr="009A501D">
        <w:rPr>
          <w:rFonts w:ascii="Century Gothic" w:hAnsi="Century Gothic"/>
          <w:sz w:val="19"/>
          <w:szCs w:val="19"/>
        </w:rPr>
        <w:t xml:space="preserve">.  Se ha detectado que es necesario </w:t>
      </w:r>
      <w:r w:rsidR="007348E6" w:rsidRPr="009A501D">
        <w:rPr>
          <w:rFonts w:ascii="Century Gothic" w:hAnsi="Century Gothic"/>
          <w:sz w:val="19"/>
          <w:szCs w:val="19"/>
        </w:rPr>
        <w:t xml:space="preserve">disponer de un </w:t>
      </w:r>
      <w:r w:rsidR="003C3FDA" w:rsidRPr="009A501D">
        <w:rPr>
          <w:rFonts w:ascii="Century Gothic" w:hAnsi="Century Gothic"/>
          <w:sz w:val="19"/>
          <w:szCs w:val="19"/>
        </w:rPr>
        <w:t>estándar de metadatos que facilite la interpretación de la información por parte de los usuarios</w:t>
      </w:r>
      <w:r w:rsidR="00CC5DC7" w:rsidRPr="009A501D">
        <w:rPr>
          <w:rFonts w:ascii="Century Gothic" w:hAnsi="Century Gothic"/>
          <w:sz w:val="19"/>
          <w:szCs w:val="19"/>
        </w:rPr>
        <w:t xml:space="preserve"> sin distingo de procesos y métodos de generación</w:t>
      </w:r>
      <w:r w:rsidR="003C3FDA" w:rsidRPr="009A501D">
        <w:rPr>
          <w:rFonts w:ascii="Century Gothic" w:hAnsi="Century Gothic"/>
          <w:sz w:val="19"/>
          <w:szCs w:val="19"/>
        </w:rPr>
        <w:t xml:space="preserve">.  En </w:t>
      </w:r>
      <w:r w:rsidR="00CC5DC7" w:rsidRPr="009A501D">
        <w:rPr>
          <w:rFonts w:ascii="Century Gothic" w:hAnsi="Century Gothic"/>
          <w:sz w:val="19"/>
          <w:szCs w:val="19"/>
        </w:rPr>
        <w:t>cuanto a</w:t>
      </w:r>
      <w:r w:rsidR="003C3FDA" w:rsidRPr="009A501D">
        <w:rPr>
          <w:rFonts w:ascii="Century Gothic" w:hAnsi="Century Gothic"/>
          <w:sz w:val="19"/>
          <w:szCs w:val="19"/>
        </w:rPr>
        <w:t xml:space="preserve"> </w:t>
      </w:r>
      <w:r w:rsidR="00D870B7" w:rsidRPr="009A501D">
        <w:rPr>
          <w:rFonts w:ascii="Century Gothic" w:hAnsi="Century Gothic"/>
          <w:sz w:val="19"/>
          <w:szCs w:val="19"/>
        </w:rPr>
        <w:t>la</w:t>
      </w:r>
      <w:r w:rsidR="003C3FDA" w:rsidRPr="009A501D">
        <w:rPr>
          <w:rFonts w:ascii="Century Gothic" w:hAnsi="Century Gothic"/>
          <w:sz w:val="19"/>
          <w:szCs w:val="19"/>
        </w:rPr>
        <w:t xml:space="preserve"> transparencia hacia </w:t>
      </w:r>
      <w:r w:rsidR="008C1318" w:rsidRPr="009A501D">
        <w:rPr>
          <w:rFonts w:ascii="Century Gothic" w:hAnsi="Century Gothic"/>
          <w:sz w:val="19"/>
          <w:szCs w:val="19"/>
        </w:rPr>
        <w:t xml:space="preserve">las </w:t>
      </w:r>
      <w:r w:rsidR="009D18B7" w:rsidRPr="009A501D">
        <w:rPr>
          <w:rFonts w:ascii="Century Gothic" w:hAnsi="Century Gothic"/>
          <w:sz w:val="19"/>
          <w:szCs w:val="19"/>
        </w:rPr>
        <w:t>personas</w:t>
      </w:r>
      <w:r w:rsidR="003C3FDA" w:rsidRPr="009A501D">
        <w:rPr>
          <w:rFonts w:ascii="Century Gothic" w:hAnsi="Century Gothic"/>
          <w:sz w:val="19"/>
          <w:szCs w:val="19"/>
        </w:rPr>
        <w:t xml:space="preserve"> usuari</w:t>
      </w:r>
      <w:r w:rsidR="009D18B7" w:rsidRPr="009A501D">
        <w:rPr>
          <w:rFonts w:ascii="Century Gothic" w:hAnsi="Century Gothic"/>
          <w:sz w:val="19"/>
          <w:szCs w:val="19"/>
        </w:rPr>
        <w:t>a</w:t>
      </w:r>
      <w:r w:rsidR="003C3FDA" w:rsidRPr="009A501D">
        <w:rPr>
          <w:rFonts w:ascii="Century Gothic" w:hAnsi="Century Gothic"/>
          <w:sz w:val="19"/>
          <w:szCs w:val="19"/>
        </w:rPr>
        <w:t xml:space="preserve">s, aún se publica </w:t>
      </w:r>
      <w:r w:rsidR="00CC5DC7" w:rsidRPr="009A501D">
        <w:rPr>
          <w:rFonts w:ascii="Century Gothic" w:hAnsi="Century Gothic"/>
          <w:sz w:val="19"/>
          <w:szCs w:val="19"/>
        </w:rPr>
        <w:t>información que no forma parte d</w:t>
      </w:r>
      <w:r w:rsidR="003C3FDA" w:rsidRPr="009A501D">
        <w:rPr>
          <w:rFonts w:ascii="Century Gothic" w:hAnsi="Century Gothic"/>
          <w:sz w:val="19"/>
          <w:szCs w:val="19"/>
        </w:rPr>
        <w:t xml:space="preserve">el </w:t>
      </w:r>
      <w:r w:rsidR="00CC5DC7" w:rsidRPr="009A501D">
        <w:rPr>
          <w:rFonts w:ascii="Century Gothic" w:hAnsi="Century Gothic"/>
          <w:sz w:val="19"/>
          <w:szCs w:val="19"/>
        </w:rPr>
        <w:t>C</w:t>
      </w:r>
      <w:r w:rsidR="003C3FDA" w:rsidRPr="009A501D">
        <w:rPr>
          <w:rFonts w:ascii="Century Gothic" w:hAnsi="Century Gothic"/>
          <w:sz w:val="19"/>
          <w:szCs w:val="19"/>
        </w:rPr>
        <w:t>alendario de difusión</w:t>
      </w:r>
      <w:r w:rsidR="00CC5DC7" w:rsidRPr="009A501D">
        <w:rPr>
          <w:rFonts w:ascii="Century Gothic" w:hAnsi="Century Gothic"/>
          <w:sz w:val="19"/>
          <w:szCs w:val="19"/>
        </w:rPr>
        <w:t xml:space="preserve">, </w:t>
      </w:r>
      <w:r w:rsidR="00D641B7" w:rsidRPr="009A501D">
        <w:rPr>
          <w:rFonts w:ascii="Century Gothic" w:hAnsi="Century Gothic"/>
          <w:sz w:val="19"/>
          <w:szCs w:val="19"/>
        </w:rPr>
        <w:t xml:space="preserve">incluso </w:t>
      </w:r>
      <w:r w:rsidR="00CC5DC7" w:rsidRPr="009A501D">
        <w:rPr>
          <w:rFonts w:ascii="Century Gothic" w:hAnsi="Century Gothic"/>
          <w:sz w:val="19"/>
          <w:szCs w:val="19"/>
        </w:rPr>
        <w:t>siendo Información de Interés Nacional</w:t>
      </w:r>
      <w:r w:rsidR="003C3FDA" w:rsidRPr="009A501D">
        <w:rPr>
          <w:rFonts w:ascii="Century Gothic" w:hAnsi="Century Gothic"/>
          <w:sz w:val="19"/>
          <w:szCs w:val="19"/>
        </w:rPr>
        <w:t>.</w:t>
      </w:r>
      <w:r w:rsidR="00FC20B0" w:rsidRPr="009A501D">
        <w:rPr>
          <w:rFonts w:ascii="Century Gothic" w:hAnsi="Century Gothic"/>
          <w:sz w:val="19"/>
          <w:szCs w:val="19"/>
        </w:rPr>
        <w:t xml:space="preserve"> </w:t>
      </w:r>
      <w:r w:rsidR="00AC3CF7" w:rsidRPr="009A501D">
        <w:rPr>
          <w:rFonts w:ascii="Century Gothic" w:hAnsi="Century Gothic"/>
          <w:sz w:val="19"/>
          <w:szCs w:val="19"/>
        </w:rPr>
        <w:t>E</w:t>
      </w:r>
      <w:r w:rsidR="00CC5DC7" w:rsidRPr="009A501D">
        <w:rPr>
          <w:rFonts w:ascii="Century Gothic" w:hAnsi="Century Gothic"/>
          <w:sz w:val="19"/>
          <w:szCs w:val="19"/>
        </w:rPr>
        <w:t xml:space="preserve">n el caso </w:t>
      </w:r>
      <w:r w:rsidR="00AC3CF7" w:rsidRPr="009A501D">
        <w:rPr>
          <w:rFonts w:ascii="Century Gothic" w:hAnsi="Century Gothic"/>
          <w:sz w:val="19"/>
          <w:szCs w:val="19"/>
        </w:rPr>
        <w:t xml:space="preserve">de cambios en la información difundida en años anteriores, deberá asegurarse que se acompañe de los </w:t>
      </w:r>
      <w:r w:rsidR="00EA2DA0" w:rsidRPr="009A501D">
        <w:rPr>
          <w:rFonts w:ascii="Century Gothic" w:hAnsi="Century Gothic"/>
          <w:sz w:val="19"/>
          <w:szCs w:val="19"/>
        </w:rPr>
        <w:t>correspondientes</w:t>
      </w:r>
      <w:r w:rsidR="00AC3CF7" w:rsidRPr="009A501D">
        <w:rPr>
          <w:rFonts w:ascii="Century Gothic" w:hAnsi="Century Gothic"/>
          <w:sz w:val="19"/>
          <w:szCs w:val="19"/>
        </w:rPr>
        <w:t xml:space="preserve"> indicadores de precisión, así como </w:t>
      </w:r>
      <w:r w:rsidR="00BE66EB" w:rsidRPr="009A501D">
        <w:rPr>
          <w:rFonts w:ascii="Century Gothic" w:hAnsi="Century Gothic"/>
          <w:sz w:val="19"/>
          <w:szCs w:val="19"/>
        </w:rPr>
        <w:t xml:space="preserve">de </w:t>
      </w:r>
      <w:r w:rsidR="00AC3CF7" w:rsidRPr="009A501D">
        <w:rPr>
          <w:rFonts w:ascii="Century Gothic" w:hAnsi="Century Gothic"/>
          <w:sz w:val="19"/>
          <w:szCs w:val="19"/>
        </w:rPr>
        <w:t>notas para los usuarios.</w:t>
      </w:r>
    </w:p>
    <w:p w14:paraId="50BA49C6" w14:textId="29ECCCD2" w:rsidR="00315C36" w:rsidRPr="009A501D" w:rsidRDefault="0023241C" w:rsidP="00664A1D">
      <w:pPr>
        <w:spacing w:before="240"/>
        <w:jc w:val="both"/>
        <w:rPr>
          <w:rFonts w:ascii="Century Gothic" w:hAnsi="Century Gothic"/>
          <w:sz w:val="19"/>
          <w:szCs w:val="19"/>
        </w:rPr>
      </w:pPr>
      <w:r w:rsidRPr="009A501D">
        <w:rPr>
          <w:rFonts w:ascii="Century Gothic" w:hAnsi="Century Gothic"/>
          <w:sz w:val="19"/>
          <w:szCs w:val="19"/>
        </w:rPr>
        <w:t>En otro sentido</w:t>
      </w:r>
      <w:r w:rsidR="00FC20B0" w:rsidRPr="009A501D">
        <w:rPr>
          <w:rFonts w:ascii="Century Gothic" w:hAnsi="Century Gothic"/>
          <w:sz w:val="19"/>
          <w:szCs w:val="19"/>
        </w:rPr>
        <w:t xml:space="preserve">, los indicadores de precisión reflejan una clara recuperación hacia los niveles anteriores al inicio de la pandemia. Los procesos </w:t>
      </w:r>
      <w:r w:rsidR="00CC5DC7" w:rsidRPr="009A501D">
        <w:rPr>
          <w:rFonts w:ascii="Century Gothic" w:hAnsi="Century Gothic"/>
          <w:sz w:val="19"/>
          <w:szCs w:val="19"/>
        </w:rPr>
        <w:t>de producción basados en el</w:t>
      </w:r>
      <w:r w:rsidR="00FC20B0" w:rsidRPr="009A501D">
        <w:rPr>
          <w:rFonts w:ascii="Century Gothic" w:hAnsi="Century Gothic"/>
          <w:sz w:val="19"/>
          <w:szCs w:val="19"/>
        </w:rPr>
        <w:t xml:space="preserve"> aprovechamiento de registros administrativos disminuyeron sustancialmente las </w:t>
      </w:r>
      <w:r w:rsidR="00FC20B0" w:rsidRPr="009A501D">
        <w:rPr>
          <w:rFonts w:ascii="Century Gothic" w:hAnsi="Century Gothic"/>
          <w:i/>
          <w:iCs/>
          <w:sz w:val="19"/>
          <w:szCs w:val="19"/>
        </w:rPr>
        <w:t>tasas de no respuesta por unidad de observación</w:t>
      </w:r>
      <w:r w:rsidR="00CC5DC7" w:rsidRPr="009A501D">
        <w:rPr>
          <w:rFonts w:ascii="Century Gothic" w:hAnsi="Century Gothic"/>
          <w:sz w:val="19"/>
          <w:szCs w:val="19"/>
        </w:rPr>
        <w:t>,</w:t>
      </w:r>
      <w:r w:rsidR="00FC20B0" w:rsidRPr="009A501D">
        <w:rPr>
          <w:rFonts w:ascii="Century Gothic" w:hAnsi="Century Gothic"/>
          <w:sz w:val="19"/>
          <w:szCs w:val="19"/>
        </w:rPr>
        <w:t xml:space="preserve"> aunque algunos mantienen al</w:t>
      </w:r>
      <w:r w:rsidR="00CC5DC7" w:rsidRPr="009A501D">
        <w:rPr>
          <w:rFonts w:ascii="Century Gothic" w:hAnsi="Century Gothic"/>
          <w:sz w:val="19"/>
          <w:szCs w:val="19"/>
        </w:rPr>
        <w:t>t</w:t>
      </w:r>
      <w:r w:rsidR="00FC20B0" w:rsidRPr="009A501D">
        <w:rPr>
          <w:rFonts w:ascii="Century Gothic" w:hAnsi="Century Gothic"/>
          <w:sz w:val="19"/>
          <w:szCs w:val="19"/>
        </w:rPr>
        <w:t xml:space="preserve">as </w:t>
      </w:r>
      <w:r w:rsidR="00FC20B0" w:rsidRPr="009A501D">
        <w:rPr>
          <w:rFonts w:ascii="Century Gothic" w:hAnsi="Century Gothic"/>
          <w:i/>
          <w:iCs/>
          <w:sz w:val="19"/>
          <w:szCs w:val="19"/>
        </w:rPr>
        <w:t>tasas de no respuesta a nivel variable</w:t>
      </w:r>
      <w:r w:rsidR="00FC20B0" w:rsidRPr="009A501D">
        <w:rPr>
          <w:rFonts w:ascii="Century Gothic" w:hAnsi="Century Gothic"/>
          <w:sz w:val="19"/>
          <w:szCs w:val="19"/>
        </w:rPr>
        <w:t xml:space="preserve">. </w:t>
      </w:r>
      <w:r w:rsidR="00612193" w:rsidRPr="009A501D">
        <w:rPr>
          <w:rFonts w:ascii="Century Gothic" w:hAnsi="Century Gothic"/>
          <w:sz w:val="19"/>
          <w:szCs w:val="19"/>
        </w:rPr>
        <w:t>Se</w:t>
      </w:r>
      <w:r w:rsidR="000D00A0" w:rsidRPr="009A501D">
        <w:rPr>
          <w:rFonts w:ascii="Century Gothic" w:hAnsi="Century Gothic"/>
          <w:sz w:val="19"/>
          <w:szCs w:val="19"/>
        </w:rPr>
        <w:t xml:space="preserve"> inició</w:t>
      </w:r>
      <w:r w:rsidR="00FC20B0" w:rsidRPr="009A501D">
        <w:rPr>
          <w:rFonts w:ascii="Century Gothic" w:hAnsi="Century Gothic"/>
          <w:sz w:val="19"/>
          <w:szCs w:val="19"/>
        </w:rPr>
        <w:t xml:space="preserve"> </w:t>
      </w:r>
      <w:r w:rsidR="000D00A0" w:rsidRPr="009A501D">
        <w:rPr>
          <w:rFonts w:ascii="Century Gothic" w:hAnsi="Century Gothic"/>
          <w:sz w:val="19"/>
          <w:szCs w:val="19"/>
        </w:rPr>
        <w:t>el</w:t>
      </w:r>
      <w:r w:rsidR="00FC20B0" w:rsidRPr="009A501D">
        <w:rPr>
          <w:rFonts w:ascii="Century Gothic" w:hAnsi="Century Gothic"/>
          <w:sz w:val="19"/>
          <w:szCs w:val="19"/>
        </w:rPr>
        <w:t xml:space="preserve"> report</w:t>
      </w:r>
      <w:r w:rsidR="000D00A0" w:rsidRPr="009A501D">
        <w:rPr>
          <w:rFonts w:ascii="Century Gothic" w:hAnsi="Century Gothic"/>
          <w:sz w:val="19"/>
          <w:szCs w:val="19"/>
        </w:rPr>
        <w:t>e de</w:t>
      </w:r>
      <w:r w:rsidR="00FC20B0" w:rsidRPr="009A501D">
        <w:rPr>
          <w:rFonts w:ascii="Century Gothic" w:hAnsi="Century Gothic"/>
          <w:sz w:val="19"/>
          <w:szCs w:val="19"/>
        </w:rPr>
        <w:t xml:space="preserve"> indicadores de </w:t>
      </w:r>
      <w:r w:rsidR="0088482F" w:rsidRPr="009A501D">
        <w:rPr>
          <w:rFonts w:ascii="Century Gothic" w:hAnsi="Century Gothic"/>
          <w:sz w:val="19"/>
          <w:szCs w:val="19"/>
        </w:rPr>
        <w:t>precisión</w:t>
      </w:r>
      <w:r w:rsidR="00612193" w:rsidRPr="009A501D">
        <w:rPr>
          <w:rFonts w:ascii="Century Gothic" w:hAnsi="Century Gothic"/>
          <w:sz w:val="19"/>
          <w:szCs w:val="19"/>
        </w:rPr>
        <w:t xml:space="preserve"> para censos </w:t>
      </w:r>
      <w:r w:rsidR="00873539" w:rsidRPr="009A501D">
        <w:rPr>
          <w:rFonts w:ascii="Century Gothic" w:hAnsi="Century Gothic"/>
          <w:sz w:val="19"/>
          <w:szCs w:val="19"/>
        </w:rPr>
        <w:t>e información geogr</w:t>
      </w:r>
      <w:r w:rsidR="000C51EE" w:rsidRPr="009A501D">
        <w:rPr>
          <w:rFonts w:ascii="Century Gothic" w:hAnsi="Century Gothic"/>
          <w:sz w:val="19"/>
          <w:szCs w:val="19"/>
        </w:rPr>
        <w:t>áfica, n</w:t>
      </w:r>
      <w:r w:rsidR="000D00A0" w:rsidRPr="009A501D">
        <w:rPr>
          <w:rFonts w:ascii="Century Gothic" w:hAnsi="Century Gothic"/>
          <w:sz w:val="19"/>
          <w:szCs w:val="19"/>
        </w:rPr>
        <w:t>o obstante,</w:t>
      </w:r>
      <w:r w:rsidR="00FC20B0" w:rsidRPr="009A501D">
        <w:rPr>
          <w:rFonts w:ascii="Century Gothic" w:hAnsi="Century Gothic"/>
          <w:sz w:val="19"/>
          <w:szCs w:val="19"/>
        </w:rPr>
        <w:t xml:space="preserve"> aún </w:t>
      </w:r>
      <w:r w:rsidR="000D00A0" w:rsidRPr="009A501D">
        <w:rPr>
          <w:rFonts w:ascii="Century Gothic" w:hAnsi="Century Gothic"/>
          <w:sz w:val="19"/>
          <w:szCs w:val="19"/>
        </w:rPr>
        <w:t>se requiere</w:t>
      </w:r>
      <w:r w:rsidR="00FC20B0" w:rsidRPr="009A501D">
        <w:rPr>
          <w:rFonts w:ascii="Century Gothic" w:hAnsi="Century Gothic"/>
          <w:sz w:val="19"/>
          <w:szCs w:val="19"/>
        </w:rPr>
        <w:t xml:space="preserve"> </w:t>
      </w:r>
      <w:r w:rsidR="00FD6C2B" w:rsidRPr="009A501D">
        <w:rPr>
          <w:rFonts w:ascii="Century Gothic" w:hAnsi="Century Gothic"/>
          <w:sz w:val="19"/>
          <w:szCs w:val="19"/>
        </w:rPr>
        <w:t xml:space="preserve">que se reporten todos los indicadores aprobados por el Comité </w:t>
      </w:r>
      <w:r w:rsidR="007C1D0D" w:rsidRPr="009A501D">
        <w:rPr>
          <w:rFonts w:ascii="Century Gothic" w:hAnsi="Century Gothic"/>
          <w:sz w:val="19"/>
          <w:szCs w:val="19"/>
        </w:rPr>
        <w:t xml:space="preserve">siempre que se publica información.  </w:t>
      </w:r>
      <w:r w:rsidR="00FC20B0" w:rsidRPr="009A501D">
        <w:rPr>
          <w:rFonts w:ascii="Century Gothic" w:hAnsi="Century Gothic"/>
          <w:sz w:val="19"/>
          <w:szCs w:val="19"/>
        </w:rPr>
        <w:t>En</w:t>
      </w:r>
      <w:r w:rsidR="002B36AC" w:rsidRPr="009A501D">
        <w:rPr>
          <w:rFonts w:ascii="Century Gothic" w:hAnsi="Century Gothic"/>
          <w:sz w:val="19"/>
          <w:szCs w:val="19"/>
        </w:rPr>
        <w:t xml:space="preserve"> cuanto a las </w:t>
      </w:r>
      <w:r w:rsidR="00FC20B0" w:rsidRPr="009A501D">
        <w:rPr>
          <w:rFonts w:ascii="Century Gothic" w:hAnsi="Century Gothic"/>
          <w:sz w:val="19"/>
          <w:szCs w:val="19"/>
        </w:rPr>
        <w:t>encuestas</w:t>
      </w:r>
      <w:r w:rsidR="002B36AC" w:rsidRPr="009A501D">
        <w:rPr>
          <w:rFonts w:ascii="Century Gothic" w:hAnsi="Century Gothic"/>
          <w:sz w:val="19"/>
          <w:szCs w:val="19"/>
        </w:rPr>
        <w:t>,</w:t>
      </w:r>
      <w:r w:rsidR="00FC20B0" w:rsidRPr="009A501D">
        <w:rPr>
          <w:rFonts w:ascii="Century Gothic" w:hAnsi="Century Gothic"/>
          <w:sz w:val="19"/>
          <w:szCs w:val="19"/>
        </w:rPr>
        <w:t xml:space="preserve"> se observa una recuperación en las </w:t>
      </w:r>
      <w:r w:rsidR="00FC20B0" w:rsidRPr="009A501D">
        <w:rPr>
          <w:rFonts w:ascii="Century Gothic" w:hAnsi="Century Gothic"/>
          <w:i/>
          <w:iCs/>
          <w:sz w:val="19"/>
          <w:szCs w:val="19"/>
        </w:rPr>
        <w:t xml:space="preserve">tasas de no </w:t>
      </w:r>
      <w:r w:rsidR="008B64F4" w:rsidRPr="009A501D">
        <w:rPr>
          <w:rFonts w:ascii="Century Gothic" w:hAnsi="Century Gothic"/>
          <w:i/>
          <w:iCs/>
          <w:sz w:val="19"/>
          <w:szCs w:val="19"/>
        </w:rPr>
        <w:t>respuesta</w:t>
      </w:r>
      <w:r w:rsidR="008B64F4" w:rsidRPr="009A501D">
        <w:rPr>
          <w:rFonts w:ascii="Century Gothic" w:hAnsi="Century Gothic"/>
          <w:sz w:val="19"/>
          <w:szCs w:val="19"/>
        </w:rPr>
        <w:t>,</w:t>
      </w:r>
      <w:r w:rsidR="00FC20B0" w:rsidRPr="009A501D">
        <w:rPr>
          <w:rFonts w:ascii="Century Gothic" w:hAnsi="Century Gothic"/>
          <w:sz w:val="19"/>
          <w:szCs w:val="19"/>
        </w:rPr>
        <w:t xml:space="preserve"> aunque </w:t>
      </w:r>
      <w:r w:rsidR="000D00A0" w:rsidRPr="009A501D">
        <w:rPr>
          <w:rFonts w:ascii="Century Gothic" w:hAnsi="Century Gothic"/>
          <w:sz w:val="19"/>
          <w:szCs w:val="19"/>
        </w:rPr>
        <w:t xml:space="preserve">todavía </w:t>
      </w:r>
      <w:r w:rsidR="00FC20B0" w:rsidRPr="009A501D">
        <w:rPr>
          <w:rFonts w:ascii="Century Gothic" w:hAnsi="Century Gothic"/>
          <w:sz w:val="19"/>
          <w:szCs w:val="19"/>
        </w:rPr>
        <w:lastRenderedPageBreak/>
        <w:t xml:space="preserve">no </w:t>
      </w:r>
      <w:r w:rsidR="002B36AC" w:rsidRPr="009A501D">
        <w:rPr>
          <w:rFonts w:ascii="Century Gothic" w:hAnsi="Century Gothic"/>
          <w:sz w:val="19"/>
          <w:szCs w:val="19"/>
        </w:rPr>
        <w:t>alcanza</w:t>
      </w:r>
      <w:r w:rsidR="00D0674F" w:rsidRPr="009A501D">
        <w:rPr>
          <w:rFonts w:ascii="Century Gothic" w:hAnsi="Century Gothic"/>
          <w:sz w:val="19"/>
          <w:szCs w:val="19"/>
        </w:rPr>
        <w:t>n</w:t>
      </w:r>
      <w:r w:rsidR="00FC20B0" w:rsidRPr="009A501D">
        <w:rPr>
          <w:rFonts w:ascii="Century Gothic" w:hAnsi="Century Gothic"/>
          <w:sz w:val="19"/>
          <w:szCs w:val="19"/>
        </w:rPr>
        <w:t xml:space="preserve"> los niveles anteriores al inicio de la pandemia</w:t>
      </w:r>
      <w:r w:rsidR="000F6852" w:rsidRPr="009A501D">
        <w:rPr>
          <w:rFonts w:ascii="Century Gothic" w:hAnsi="Century Gothic"/>
          <w:sz w:val="19"/>
          <w:szCs w:val="19"/>
        </w:rPr>
        <w:t xml:space="preserve"> y</w:t>
      </w:r>
      <w:r w:rsidR="0088482F" w:rsidRPr="009A501D">
        <w:rPr>
          <w:rFonts w:ascii="Century Gothic" w:hAnsi="Century Gothic"/>
          <w:sz w:val="19"/>
          <w:szCs w:val="19"/>
        </w:rPr>
        <w:t xml:space="preserve"> aún se observan altas </w:t>
      </w:r>
      <w:r w:rsidR="0088482F" w:rsidRPr="009A501D">
        <w:rPr>
          <w:rFonts w:ascii="Century Gothic" w:hAnsi="Century Gothic"/>
          <w:i/>
          <w:iCs/>
          <w:sz w:val="19"/>
          <w:szCs w:val="19"/>
        </w:rPr>
        <w:t>tasas de imputación</w:t>
      </w:r>
      <w:r w:rsidR="0088482F" w:rsidRPr="009A501D">
        <w:rPr>
          <w:rFonts w:ascii="Century Gothic" w:hAnsi="Century Gothic"/>
          <w:sz w:val="19"/>
          <w:szCs w:val="19"/>
        </w:rPr>
        <w:t xml:space="preserve"> en algunos </w:t>
      </w:r>
      <w:r w:rsidR="000D00A0" w:rsidRPr="009A501D">
        <w:rPr>
          <w:rFonts w:ascii="Century Gothic" w:hAnsi="Century Gothic"/>
          <w:sz w:val="19"/>
          <w:szCs w:val="19"/>
        </w:rPr>
        <w:t>procesos de producción</w:t>
      </w:r>
      <w:r w:rsidR="0088482F" w:rsidRPr="009A501D">
        <w:rPr>
          <w:rFonts w:ascii="Century Gothic" w:hAnsi="Century Gothic"/>
          <w:sz w:val="19"/>
          <w:szCs w:val="19"/>
        </w:rPr>
        <w:t>.</w:t>
      </w:r>
    </w:p>
    <w:p w14:paraId="1E9089AA" w14:textId="0DCA9E3F" w:rsidR="00863CC5" w:rsidRPr="009A501D" w:rsidRDefault="00B54C52" w:rsidP="00664A1D">
      <w:pPr>
        <w:spacing w:before="240"/>
        <w:jc w:val="both"/>
        <w:rPr>
          <w:rFonts w:ascii="Century Gothic" w:hAnsi="Century Gothic"/>
        </w:rPr>
      </w:pPr>
      <w:r w:rsidRPr="009A501D">
        <w:rPr>
          <w:rFonts w:ascii="Century Gothic" w:hAnsi="Century Gothic"/>
          <w:sz w:val="19"/>
          <w:szCs w:val="19"/>
        </w:rPr>
        <w:t xml:space="preserve">Por último, la </w:t>
      </w:r>
      <w:r w:rsidR="00643C64" w:rsidRPr="009A501D">
        <w:rPr>
          <w:rFonts w:ascii="Century Gothic" w:hAnsi="Century Gothic"/>
          <w:sz w:val="19"/>
          <w:szCs w:val="19"/>
        </w:rPr>
        <w:t>gestión</w:t>
      </w:r>
      <w:r w:rsidRPr="009A501D">
        <w:rPr>
          <w:rFonts w:ascii="Century Gothic" w:hAnsi="Century Gothic"/>
          <w:sz w:val="19"/>
          <w:szCs w:val="19"/>
        </w:rPr>
        <w:t xml:space="preserve"> de </w:t>
      </w:r>
      <w:r w:rsidR="00643C64" w:rsidRPr="009A501D">
        <w:rPr>
          <w:rFonts w:ascii="Century Gothic" w:hAnsi="Century Gothic"/>
          <w:sz w:val="19"/>
          <w:szCs w:val="19"/>
        </w:rPr>
        <w:t xml:space="preserve">la </w:t>
      </w:r>
      <w:r w:rsidRPr="009A501D">
        <w:rPr>
          <w:rFonts w:ascii="Century Gothic" w:hAnsi="Century Gothic"/>
          <w:sz w:val="19"/>
          <w:szCs w:val="19"/>
        </w:rPr>
        <w:t xml:space="preserve">calidad ha sido </w:t>
      </w:r>
      <w:r w:rsidR="00D0674F" w:rsidRPr="009A501D">
        <w:rPr>
          <w:rFonts w:ascii="Century Gothic" w:hAnsi="Century Gothic"/>
          <w:sz w:val="19"/>
          <w:szCs w:val="19"/>
        </w:rPr>
        <w:t>acompañada por</w:t>
      </w:r>
      <w:r w:rsidRPr="009A501D">
        <w:rPr>
          <w:rFonts w:ascii="Century Gothic" w:hAnsi="Century Gothic"/>
          <w:sz w:val="19"/>
          <w:szCs w:val="19"/>
        </w:rPr>
        <w:t xml:space="preserve"> cursos de capacitación para </w:t>
      </w:r>
      <w:r w:rsidR="000D00A0" w:rsidRPr="009A501D">
        <w:rPr>
          <w:rFonts w:ascii="Century Gothic" w:hAnsi="Century Gothic"/>
          <w:sz w:val="19"/>
          <w:szCs w:val="19"/>
        </w:rPr>
        <w:t xml:space="preserve">facilitar </w:t>
      </w:r>
      <w:r w:rsidRPr="009A501D">
        <w:rPr>
          <w:rFonts w:ascii="Century Gothic" w:hAnsi="Century Gothic"/>
          <w:sz w:val="19"/>
          <w:szCs w:val="19"/>
        </w:rPr>
        <w:t xml:space="preserve">la instrumentación de las iniciativas del Comité. </w:t>
      </w:r>
      <w:r w:rsidR="00391FD0" w:rsidRPr="009A501D">
        <w:rPr>
          <w:rFonts w:ascii="Century Gothic" w:hAnsi="Century Gothic"/>
          <w:sz w:val="19"/>
          <w:szCs w:val="19"/>
        </w:rPr>
        <w:t>Se considera</w:t>
      </w:r>
      <w:r w:rsidRPr="009A501D">
        <w:rPr>
          <w:rFonts w:ascii="Century Gothic" w:hAnsi="Century Gothic"/>
          <w:sz w:val="19"/>
          <w:szCs w:val="19"/>
        </w:rPr>
        <w:t xml:space="preserve"> necesario continuar </w:t>
      </w:r>
      <w:r w:rsidR="000D00A0" w:rsidRPr="009A501D">
        <w:rPr>
          <w:rFonts w:ascii="Century Gothic" w:hAnsi="Century Gothic"/>
          <w:sz w:val="19"/>
          <w:szCs w:val="19"/>
        </w:rPr>
        <w:t xml:space="preserve">el </w:t>
      </w:r>
      <w:r w:rsidRPr="009A501D">
        <w:rPr>
          <w:rFonts w:ascii="Century Gothic" w:hAnsi="Century Gothic"/>
          <w:sz w:val="19"/>
          <w:szCs w:val="19"/>
        </w:rPr>
        <w:t>desarroll</w:t>
      </w:r>
      <w:r w:rsidR="000D00A0" w:rsidRPr="009A501D">
        <w:rPr>
          <w:rFonts w:ascii="Century Gothic" w:hAnsi="Century Gothic"/>
          <w:sz w:val="19"/>
          <w:szCs w:val="19"/>
        </w:rPr>
        <w:t>o de</w:t>
      </w:r>
      <w:r w:rsidRPr="009A501D">
        <w:rPr>
          <w:rFonts w:ascii="Century Gothic" w:hAnsi="Century Gothic"/>
          <w:sz w:val="19"/>
          <w:szCs w:val="19"/>
        </w:rPr>
        <w:t xml:space="preserve"> </w:t>
      </w:r>
      <w:r w:rsidR="008B64F4" w:rsidRPr="009A501D">
        <w:rPr>
          <w:rFonts w:ascii="Century Gothic" w:hAnsi="Century Gothic"/>
          <w:sz w:val="19"/>
          <w:szCs w:val="19"/>
        </w:rPr>
        <w:t>cursos,</w:t>
      </w:r>
      <w:r w:rsidR="000D00A0" w:rsidRPr="009A501D">
        <w:rPr>
          <w:rFonts w:ascii="Century Gothic" w:hAnsi="Century Gothic"/>
          <w:sz w:val="19"/>
          <w:szCs w:val="19"/>
        </w:rPr>
        <w:t xml:space="preserve"> implementar</w:t>
      </w:r>
      <w:r w:rsidRPr="009A501D">
        <w:rPr>
          <w:rFonts w:ascii="Century Gothic" w:hAnsi="Century Gothic"/>
          <w:sz w:val="19"/>
          <w:szCs w:val="19"/>
        </w:rPr>
        <w:t xml:space="preserve"> una estrategia activa de comunicación interna </w:t>
      </w:r>
      <w:r w:rsidR="000D00A0" w:rsidRPr="009A501D">
        <w:rPr>
          <w:rFonts w:ascii="Century Gothic" w:hAnsi="Century Gothic"/>
          <w:sz w:val="19"/>
          <w:szCs w:val="19"/>
        </w:rPr>
        <w:t>e implementar</w:t>
      </w:r>
      <w:r w:rsidRPr="009A501D">
        <w:rPr>
          <w:rFonts w:ascii="Century Gothic" w:hAnsi="Century Gothic"/>
          <w:sz w:val="19"/>
          <w:szCs w:val="19"/>
        </w:rPr>
        <w:t xml:space="preserve"> un mecanismo institucional para compartir buenas prácticas entre las Unidades Administrativas.</w:t>
      </w:r>
    </w:p>
    <w:p w14:paraId="29FE1142" w14:textId="0C193126" w:rsidR="009D203B" w:rsidRDefault="009D203B">
      <w:pPr>
        <w:rPr>
          <w:rFonts w:ascii="Century Gothic" w:hAnsi="Century Gothic"/>
        </w:rPr>
      </w:pPr>
      <w:r>
        <w:rPr>
          <w:rFonts w:ascii="Century Gothic" w:hAnsi="Century Gothic"/>
        </w:rPr>
        <w:br w:type="page"/>
      </w:r>
    </w:p>
    <w:p w14:paraId="3D7F36C7" w14:textId="77777777" w:rsidR="00863CC5" w:rsidRPr="009A501D" w:rsidRDefault="00863CC5" w:rsidP="00664A1D">
      <w:pPr>
        <w:spacing w:before="240"/>
        <w:rPr>
          <w:rFonts w:ascii="Century Gothic" w:hAnsi="Century Gothic"/>
        </w:rPr>
      </w:pPr>
    </w:p>
    <w:p w14:paraId="12E8D191" w14:textId="77777777" w:rsidR="00C85F67" w:rsidRPr="009A501D" w:rsidRDefault="00C85F67" w:rsidP="00664A1D">
      <w:pPr>
        <w:spacing w:before="240"/>
        <w:rPr>
          <w:rFonts w:ascii="Century Gothic" w:hAnsi="Century Gothic"/>
        </w:rPr>
      </w:pPr>
    </w:p>
    <w:p w14:paraId="08BC712F" w14:textId="77777777" w:rsidR="00AF6AFE" w:rsidRPr="009A501D" w:rsidRDefault="00AF6AFE" w:rsidP="00664A1D">
      <w:pPr>
        <w:spacing w:before="240"/>
        <w:rPr>
          <w:rFonts w:ascii="Century Gothic" w:hAnsi="Century Gothic"/>
        </w:rPr>
      </w:pPr>
    </w:p>
    <w:p w14:paraId="404ED2D1" w14:textId="77777777" w:rsidR="00AF6AFE" w:rsidRPr="009A501D" w:rsidRDefault="00AF6AFE" w:rsidP="00664A1D">
      <w:pPr>
        <w:spacing w:before="240"/>
        <w:rPr>
          <w:rFonts w:ascii="Century Gothic" w:hAnsi="Century Gothic"/>
        </w:rPr>
      </w:pPr>
    </w:p>
    <w:p w14:paraId="2AFA855A" w14:textId="77777777" w:rsidR="00AF6AFE" w:rsidRPr="009A501D" w:rsidRDefault="00AF6AFE" w:rsidP="00664A1D">
      <w:pPr>
        <w:spacing w:before="240"/>
        <w:rPr>
          <w:rFonts w:ascii="Century Gothic" w:hAnsi="Century Gothic"/>
        </w:rPr>
      </w:pPr>
    </w:p>
    <w:p w14:paraId="47DEC106" w14:textId="77777777" w:rsidR="00AF6AFE" w:rsidRPr="009A501D" w:rsidRDefault="00AF6AFE" w:rsidP="00664A1D">
      <w:pPr>
        <w:spacing w:before="240"/>
        <w:rPr>
          <w:rFonts w:ascii="Century Gothic" w:hAnsi="Century Gothic"/>
        </w:rPr>
      </w:pPr>
    </w:p>
    <w:p w14:paraId="479FD29B" w14:textId="77777777" w:rsidR="00AF6AFE" w:rsidRPr="009A501D" w:rsidRDefault="00AF6AFE" w:rsidP="00664A1D">
      <w:pPr>
        <w:spacing w:before="240"/>
        <w:rPr>
          <w:rFonts w:ascii="Century Gothic" w:hAnsi="Century Gothic"/>
        </w:rPr>
      </w:pPr>
    </w:p>
    <w:p w14:paraId="38054800" w14:textId="77777777" w:rsidR="00C85F67" w:rsidRPr="009A501D" w:rsidRDefault="00C85F67" w:rsidP="00664A1D">
      <w:pPr>
        <w:pStyle w:val="Default"/>
        <w:spacing w:before="240" w:after="160"/>
        <w:jc w:val="center"/>
        <w:rPr>
          <w:rFonts w:ascii="Century Gothic" w:hAnsi="Century Gothic"/>
          <w:b/>
          <w:bCs/>
          <w:smallCaps/>
          <w:color w:val="2E74B5" w:themeColor="accent1" w:themeShade="BF"/>
          <w:sz w:val="64"/>
          <w:szCs w:val="64"/>
          <w:lang w:val="es-MX"/>
        </w:rPr>
      </w:pPr>
    </w:p>
    <w:p w14:paraId="6D8FD27D" w14:textId="77777777" w:rsidR="00AF6AFE" w:rsidRPr="009A501D" w:rsidRDefault="00AF6AFE" w:rsidP="00664A1D">
      <w:pPr>
        <w:pStyle w:val="Default"/>
        <w:spacing w:before="240" w:after="160"/>
        <w:jc w:val="center"/>
        <w:rPr>
          <w:rFonts w:ascii="Century Gothic" w:hAnsi="Century Gothic"/>
          <w:b/>
          <w:bCs/>
          <w:smallCaps/>
          <w:color w:val="2E74B5" w:themeColor="accent1" w:themeShade="BF"/>
          <w:sz w:val="64"/>
          <w:szCs w:val="64"/>
          <w:lang w:val="es-MX"/>
        </w:rPr>
      </w:pPr>
    </w:p>
    <w:p w14:paraId="418AEAA3" w14:textId="71A04185" w:rsidR="001A37C4" w:rsidRPr="009A501D" w:rsidRDefault="00C85F67" w:rsidP="00664A1D">
      <w:pPr>
        <w:pStyle w:val="Default"/>
        <w:spacing w:before="240" w:after="160"/>
        <w:jc w:val="center"/>
        <w:outlineLvl w:val="0"/>
        <w:rPr>
          <w:rFonts w:ascii="Century Gothic" w:hAnsi="Century Gothic"/>
          <w:b/>
          <w:bCs/>
          <w:smallCaps/>
          <w:color w:val="002060"/>
          <w:sz w:val="64"/>
          <w:szCs w:val="64"/>
          <w:lang w:val="es-MX"/>
        </w:rPr>
      </w:pPr>
      <w:bookmarkStart w:id="27" w:name="_Toc131161811"/>
      <w:r w:rsidRPr="009A501D">
        <w:rPr>
          <w:rFonts w:ascii="Century Gothic" w:hAnsi="Century Gothic"/>
          <w:b/>
          <w:bCs/>
          <w:smallCaps/>
          <w:color w:val="002060"/>
          <w:sz w:val="64"/>
          <w:szCs w:val="64"/>
          <w:lang w:val="es-MX"/>
        </w:rPr>
        <w:t>ANEXOS</w:t>
      </w:r>
      <w:bookmarkEnd w:id="27"/>
    </w:p>
    <w:p w14:paraId="09585858" w14:textId="77777777" w:rsidR="00014A00" w:rsidRPr="009A501D" w:rsidRDefault="00014A00" w:rsidP="00664A1D">
      <w:pPr>
        <w:pStyle w:val="Default"/>
        <w:spacing w:before="240" w:after="160"/>
        <w:jc w:val="center"/>
        <w:rPr>
          <w:rFonts w:ascii="Century Gothic" w:hAnsi="Century Gothic"/>
          <w:b/>
          <w:bCs/>
          <w:smallCaps/>
          <w:color w:val="2E74B5" w:themeColor="accent1" w:themeShade="BF"/>
          <w:sz w:val="64"/>
          <w:szCs w:val="64"/>
          <w:lang w:val="es-MX"/>
        </w:rPr>
      </w:pPr>
    </w:p>
    <w:p w14:paraId="01A3A091" w14:textId="77777777" w:rsidR="00AF6AFE" w:rsidRPr="009A501D" w:rsidRDefault="00AF6AFE" w:rsidP="00664A1D">
      <w:pPr>
        <w:pStyle w:val="Default"/>
        <w:spacing w:before="240" w:after="160"/>
        <w:jc w:val="center"/>
        <w:rPr>
          <w:rFonts w:ascii="Century Gothic" w:hAnsi="Century Gothic"/>
          <w:b/>
          <w:bCs/>
          <w:smallCaps/>
          <w:color w:val="2E74B5" w:themeColor="accent1" w:themeShade="BF"/>
          <w:sz w:val="64"/>
          <w:szCs w:val="64"/>
          <w:lang w:val="es-MX"/>
        </w:rPr>
      </w:pPr>
    </w:p>
    <w:p w14:paraId="7D53823C" w14:textId="7D3A5E8F" w:rsidR="00014A00" w:rsidRPr="009A501D" w:rsidRDefault="00014A00" w:rsidP="00D0674F">
      <w:pPr>
        <w:pStyle w:val="Default"/>
        <w:spacing w:before="240" w:after="160"/>
        <w:jc w:val="center"/>
        <w:rPr>
          <w:lang w:val="es-MX"/>
        </w:rPr>
      </w:pPr>
    </w:p>
    <w:p w14:paraId="07B83468" w14:textId="77777777" w:rsidR="00C85F67" w:rsidRPr="009A501D" w:rsidRDefault="00C85F67" w:rsidP="00664A1D">
      <w:pPr>
        <w:spacing w:before="240"/>
        <w:rPr>
          <w:rFonts w:ascii="Century Gothic" w:hAnsi="Century Gothic"/>
        </w:rPr>
      </w:pPr>
    </w:p>
    <w:p w14:paraId="40BF3B7E" w14:textId="77777777" w:rsidR="00F01F0E" w:rsidRPr="009A501D" w:rsidRDefault="00F01F0E" w:rsidP="00664A1D">
      <w:pPr>
        <w:spacing w:before="240"/>
        <w:rPr>
          <w:rFonts w:ascii="Century Gothic" w:hAnsi="Century Gothic"/>
        </w:rPr>
      </w:pPr>
    </w:p>
    <w:p w14:paraId="035A3615" w14:textId="77777777" w:rsidR="00F01F0E" w:rsidRPr="009A501D" w:rsidRDefault="00F01F0E" w:rsidP="00664A1D">
      <w:pPr>
        <w:spacing w:before="240"/>
        <w:rPr>
          <w:rFonts w:ascii="Century Gothic" w:hAnsi="Century Gothic"/>
        </w:rPr>
      </w:pPr>
    </w:p>
    <w:p w14:paraId="36D966EC" w14:textId="77777777" w:rsidR="00F01F0E" w:rsidRPr="009A501D" w:rsidRDefault="00F01F0E" w:rsidP="00664A1D">
      <w:pPr>
        <w:spacing w:before="240"/>
        <w:rPr>
          <w:rFonts w:ascii="Century Gothic" w:hAnsi="Century Gothic"/>
        </w:rPr>
      </w:pPr>
    </w:p>
    <w:p w14:paraId="4D4E346A" w14:textId="77777777" w:rsidR="00C85F67" w:rsidRPr="009A501D" w:rsidRDefault="00C85F67" w:rsidP="00664A1D">
      <w:pPr>
        <w:spacing w:before="240"/>
        <w:rPr>
          <w:rFonts w:ascii="Century Gothic" w:hAnsi="Century Gothic"/>
        </w:rPr>
      </w:pPr>
    </w:p>
    <w:p w14:paraId="4C3DA7B0" w14:textId="77777777" w:rsidR="00E455D0" w:rsidRPr="009A501D" w:rsidRDefault="00E455D0" w:rsidP="00664A1D">
      <w:pPr>
        <w:spacing w:before="240"/>
        <w:rPr>
          <w:rFonts w:ascii="Century Gothic" w:hAnsi="Century Gothic"/>
        </w:rPr>
        <w:sectPr w:rsidR="00E455D0" w:rsidRPr="009A501D" w:rsidSect="00555CB3">
          <w:headerReference w:type="even" r:id="rId24"/>
          <w:headerReference w:type="default" r:id="rId25"/>
          <w:footerReference w:type="even" r:id="rId26"/>
          <w:footerReference w:type="default" r:id="rId27"/>
          <w:pgSz w:w="12240" w:h="15840"/>
          <w:pgMar w:top="720" w:right="720" w:bottom="720" w:left="720" w:header="709" w:footer="709" w:gutter="0"/>
          <w:pgNumType w:start="0"/>
          <w:cols w:space="708"/>
          <w:titlePg/>
          <w:docGrid w:linePitch="360"/>
        </w:sectPr>
      </w:pPr>
    </w:p>
    <w:p w14:paraId="29A23D27" w14:textId="77777777" w:rsidR="00580CBB" w:rsidRPr="009A501D" w:rsidRDefault="00580CBB" w:rsidP="00664A1D">
      <w:pPr>
        <w:pStyle w:val="Ttulo2"/>
        <w:rPr>
          <w:rFonts w:ascii="Century Gothic" w:eastAsiaTheme="minorHAnsi" w:hAnsi="Century Gothic" w:cstheme="minorBidi"/>
          <w:bCs/>
          <w:color w:val="0079BF"/>
          <w:sz w:val="24"/>
          <w:szCs w:val="24"/>
        </w:rPr>
      </w:pPr>
      <w:bookmarkStart w:id="28" w:name="_Toc96438922"/>
      <w:bookmarkStart w:id="29" w:name="_Toc131161812"/>
      <w:bookmarkStart w:id="30" w:name="_Hlk62026836"/>
      <w:r w:rsidRPr="009A501D">
        <w:rPr>
          <w:rFonts w:ascii="Century Gothic" w:eastAsiaTheme="minorHAnsi" w:hAnsi="Century Gothic" w:cstheme="minorBidi"/>
          <w:bCs/>
          <w:color w:val="0079BF"/>
          <w:sz w:val="24"/>
          <w:szCs w:val="24"/>
        </w:rPr>
        <w:lastRenderedPageBreak/>
        <w:t>Anexo 1: Marco conceptual e insumos para el cálculo de los indicadores de pertinencia</w:t>
      </w:r>
      <w:bookmarkEnd w:id="28"/>
      <w:bookmarkEnd w:id="29"/>
    </w:p>
    <w:p w14:paraId="2FD7429C" w14:textId="7DE9B87D"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 xml:space="preserve">Conforme a la Política de Calidad Institucional, la pertinencia se refiere a que la información estadística y geográfica satisfaga las necesidades actuales y requerimientos emergentes de los usuarios. Desde un punto de vista conceptual, el principio de pertinencia tiene dos componentes: las necesidades de información de los usuarios y la información producida a través de programas estadísticos y geográficos. A partir de estos componentes, la pertinencia de la información tiene dos dimensiones (ver </w:t>
      </w:r>
      <w:r w:rsidR="00D35CE1" w:rsidRPr="009A501D">
        <w:rPr>
          <w:rFonts w:ascii="Century Gothic" w:hAnsi="Century Gothic"/>
          <w:sz w:val="19"/>
          <w:szCs w:val="19"/>
        </w:rPr>
        <w:t>figura</w:t>
      </w:r>
      <w:r w:rsidRPr="009A501D">
        <w:rPr>
          <w:rFonts w:ascii="Century Gothic" w:hAnsi="Century Gothic"/>
          <w:sz w:val="19"/>
          <w:szCs w:val="19"/>
        </w:rPr>
        <w:t xml:space="preserve"> A.1.1.):</w:t>
      </w:r>
    </w:p>
    <w:p w14:paraId="3D4FFD93" w14:textId="77777777" w:rsidR="00B82529" w:rsidRPr="009A501D" w:rsidRDefault="00580CBB" w:rsidP="00B82529">
      <w:pPr>
        <w:pStyle w:val="Prrafodelista"/>
        <w:numPr>
          <w:ilvl w:val="0"/>
          <w:numId w:val="4"/>
        </w:numPr>
        <w:spacing w:before="240"/>
        <w:ind w:left="284" w:hanging="284"/>
        <w:jc w:val="both"/>
        <w:rPr>
          <w:rFonts w:ascii="Century Gothic" w:hAnsi="Century Gothic"/>
          <w:sz w:val="19"/>
          <w:szCs w:val="19"/>
        </w:rPr>
      </w:pPr>
      <w:r w:rsidRPr="009A501D">
        <w:rPr>
          <w:rFonts w:ascii="Century Gothic" w:hAnsi="Century Gothic"/>
          <w:sz w:val="19"/>
          <w:szCs w:val="19"/>
        </w:rPr>
        <w:t>Cobertura de las necesidades.  Esta dimensión parte de la totalidad de las necesidades de información y verifica para cuáles existe información disponible.  Es decir, este es un enfoque desde la demanda, que permite conocer el nivel de respuesta a las necesidades de los usuarios.</w:t>
      </w:r>
      <w:bookmarkEnd w:id="30"/>
    </w:p>
    <w:p w14:paraId="59A55133" w14:textId="17E813E5" w:rsidR="00580CBB" w:rsidRPr="009A501D" w:rsidRDefault="00580CBB" w:rsidP="00B82529">
      <w:pPr>
        <w:pStyle w:val="Prrafodelista"/>
        <w:numPr>
          <w:ilvl w:val="0"/>
          <w:numId w:val="4"/>
        </w:numPr>
        <w:spacing w:before="240"/>
        <w:ind w:left="284" w:hanging="284"/>
        <w:jc w:val="both"/>
        <w:rPr>
          <w:rFonts w:ascii="Century Gothic" w:hAnsi="Century Gothic"/>
          <w:sz w:val="19"/>
          <w:szCs w:val="19"/>
        </w:rPr>
      </w:pPr>
      <w:r w:rsidRPr="009A501D">
        <w:rPr>
          <w:rFonts w:ascii="Century Gothic" w:hAnsi="Century Gothic"/>
          <w:sz w:val="19"/>
          <w:szCs w:val="19"/>
        </w:rPr>
        <w:t>Efectividad de la producción de información.  En este caso, a partir de la totalidad de información producida se verifica cuál se utiliza para satisfacer las necesidades de los usuarios. Es decir, este es un enfoque desde la oferta que permite conocer el grado en que los programas de información responden a las necesidades.</w:t>
      </w:r>
    </w:p>
    <w:p w14:paraId="5BDCFB2E" w14:textId="71233884"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 xml:space="preserve">En el caso ideal, donde la totalidad de la información producida se utiliza para satisfacer todas las necesidades de los usuarios, sólo existiría un desfase temporal derivado de las nuevas necesidades y de la innovación en la producción de información antes de ser utilizada de forma regular (ver </w:t>
      </w:r>
      <w:r w:rsidR="00791B96" w:rsidRPr="009A501D">
        <w:rPr>
          <w:rFonts w:ascii="Century Gothic" w:hAnsi="Century Gothic"/>
          <w:sz w:val="19"/>
          <w:szCs w:val="19"/>
        </w:rPr>
        <w:t>figura</w:t>
      </w:r>
      <w:r w:rsidRPr="009A501D">
        <w:rPr>
          <w:rFonts w:ascii="Century Gothic" w:hAnsi="Century Gothic"/>
          <w:sz w:val="19"/>
          <w:szCs w:val="19"/>
        </w:rPr>
        <w:t xml:space="preserve"> A.1.2.).  Es decir, en ningún caso se podría alcanzar una cobertura completa (efectividad del 100%). </w:t>
      </w:r>
    </w:p>
    <w:tbl>
      <w:tblPr>
        <w:tblW w:w="0" w:type="auto"/>
        <w:jc w:val="center"/>
        <w:tblLook w:val="04A0" w:firstRow="1" w:lastRow="0" w:firstColumn="1" w:lastColumn="0" w:noHBand="0" w:noVBand="1"/>
      </w:tblPr>
      <w:tblGrid>
        <w:gridCol w:w="7088"/>
        <w:gridCol w:w="5074"/>
      </w:tblGrid>
      <w:tr w:rsidR="00580CBB" w:rsidRPr="009A501D" w14:paraId="59EE68AE" w14:textId="77777777" w:rsidTr="007A357E">
        <w:trPr>
          <w:jc w:val="center"/>
        </w:trPr>
        <w:tc>
          <w:tcPr>
            <w:tcW w:w="7088" w:type="dxa"/>
            <w:vAlign w:val="center"/>
          </w:tcPr>
          <w:p w14:paraId="6C2976AF" w14:textId="77777777" w:rsidR="00580CBB" w:rsidRPr="009A501D" w:rsidRDefault="00580CBB" w:rsidP="007A357E">
            <w:pPr>
              <w:pStyle w:val="Prrafodelista"/>
              <w:spacing w:after="0"/>
              <w:ind w:left="0"/>
              <w:jc w:val="center"/>
              <w:rPr>
                <w:rFonts w:ascii="Century Gothic" w:hAnsi="Century Gothic"/>
                <w:b/>
                <w:sz w:val="19"/>
                <w:szCs w:val="19"/>
              </w:rPr>
            </w:pPr>
            <w:r w:rsidRPr="009A501D">
              <w:rPr>
                <w:rFonts w:ascii="Century Gothic" w:hAnsi="Century Gothic"/>
                <w:b/>
                <w:sz w:val="19"/>
                <w:szCs w:val="19"/>
              </w:rPr>
              <w:t>A.1.1.  Esquema Conceptual para la medición de pertinencia</w:t>
            </w:r>
          </w:p>
        </w:tc>
        <w:tc>
          <w:tcPr>
            <w:tcW w:w="5074" w:type="dxa"/>
            <w:vAlign w:val="center"/>
          </w:tcPr>
          <w:p w14:paraId="0DBAFFA7" w14:textId="77777777" w:rsidR="00580CBB" w:rsidRPr="009A501D" w:rsidRDefault="00580CBB" w:rsidP="007A357E">
            <w:pPr>
              <w:pStyle w:val="Prrafodelista"/>
              <w:spacing w:after="0"/>
              <w:ind w:left="0"/>
              <w:jc w:val="center"/>
              <w:rPr>
                <w:rFonts w:ascii="Century Gothic" w:hAnsi="Century Gothic"/>
                <w:b/>
                <w:sz w:val="19"/>
                <w:szCs w:val="19"/>
              </w:rPr>
            </w:pPr>
            <w:r w:rsidRPr="009A501D">
              <w:rPr>
                <w:rFonts w:ascii="Century Gothic" w:hAnsi="Century Gothic"/>
                <w:b/>
                <w:sz w:val="19"/>
                <w:szCs w:val="19"/>
              </w:rPr>
              <w:t>A.1.2.  Caso ideal de pertinencia</w:t>
            </w:r>
          </w:p>
        </w:tc>
      </w:tr>
      <w:tr w:rsidR="00580CBB" w:rsidRPr="009A501D" w14:paraId="4E01348C" w14:textId="77777777" w:rsidTr="00BC774F">
        <w:trPr>
          <w:jc w:val="center"/>
        </w:trPr>
        <w:tc>
          <w:tcPr>
            <w:tcW w:w="7088" w:type="dxa"/>
            <w:vAlign w:val="center"/>
          </w:tcPr>
          <w:p w14:paraId="2A32D233" w14:textId="44B934AC" w:rsidR="00580CBB" w:rsidRPr="009A501D" w:rsidRDefault="00580CBB" w:rsidP="007A357E">
            <w:pPr>
              <w:pStyle w:val="Prrafodelista"/>
              <w:spacing w:after="0"/>
              <w:ind w:left="0"/>
              <w:jc w:val="center"/>
              <w:rPr>
                <w:rFonts w:ascii="Century Gothic" w:hAnsi="Century Gothic"/>
                <w:b/>
                <w:sz w:val="19"/>
                <w:szCs w:val="19"/>
              </w:rPr>
            </w:pPr>
            <w:r w:rsidRPr="009A501D">
              <w:rPr>
                <w:rFonts w:ascii="Century Gothic" w:hAnsi="Century Gothic"/>
                <w:b/>
                <w:noProof/>
                <w:sz w:val="19"/>
                <w:szCs w:val="19"/>
                <w:lang w:eastAsia="es-MX"/>
              </w:rPr>
              <w:drawing>
                <wp:inline distT="0" distB="0" distL="0" distR="0" wp14:anchorId="19E67005" wp14:editId="38643CC5">
                  <wp:extent cx="3503981" cy="2498094"/>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4548" cy="2505628"/>
                          </a:xfrm>
                          <a:prstGeom prst="rect">
                            <a:avLst/>
                          </a:prstGeom>
                          <a:noFill/>
                          <a:ln>
                            <a:noFill/>
                          </a:ln>
                        </pic:spPr>
                      </pic:pic>
                    </a:graphicData>
                  </a:graphic>
                </wp:inline>
              </w:drawing>
            </w:r>
          </w:p>
        </w:tc>
        <w:tc>
          <w:tcPr>
            <w:tcW w:w="5074" w:type="dxa"/>
            <w:vAlign w:val="center"/>
          </w:tcPr>
          <w:p w14:paraId="7AB6B315" w14:textId="7C76DBB6" w:rsidR="00580CBB" w:rsidRPr="009A501D" w:rsidRDefault="00580CBB" w:rsidP="007A357E">
            <w:pPr>
              <w:pStyle w:val="Prrafodelista"/>
              <w:spacing w:after="0"/>
              <w:ind w:left="0"/>
              <w:jc w:val="center"/>
              <w:rPr>
                <w:rFonts w:ascii="Century Gothic" w:hAnsi="Century Gothic"/>
                <w:b/>
                <w:sz w:val="19"/>
                <w:szCs w:val="19"/>
              </w:rPr>
            </w:pPr>
            <w:r w:rsidRPr="009A501D">
              <w:rPr>
                <w:rFonts w:ascii="Century Gothic" w:hAnsi="Century Gothic"/>
                <w:b/>
                <w:noProof/>
                <w:sz w:val="19"/>
                <w:szCs w:val="19"/>
                <w:lang w:eastAsia="es-MX"/>
              </w:rPr>
              <w:drawing>
                <wp:inline distT="0" distB="0" distL="0" distR="0" wp14:anchorId="787C19F2" wp14:editId="4BFC4496">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6D1F5B97" w14:textId="30E0F839"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El primer paso para avanzar en la medición de la pertinencia fue determinar las principales fuentes de las necesidades de información, para lo cual se realizó un análisis del marco legal. El artículo 26 de la Constitución Política de los Estados Unidos Mexicanos establece el Sistema de Planeación Democrática del Desarrollo Nacional</w:t>
      </w:r>
      <w:r w:rsidR="00391FD0" w:rsidRPr="009A501D">
        <w:rPr>
          <w:rFonts w:ascii="Century Gothic" w:hAnsi="Century Gothic"/>
          <w:sz w:val="19"/>
          <w:szCs w:val="19"/>
        </w:rPr>
        <w:t xml:space="preserve"> en su apartado A</w:t>
      </w:r>
      <w:r w:rsidRPr="009A501D">
        <w:rPr>
          <w:rFonts w:ascii="Century Gothic" w:hAnsi="Century Gothic"/>
          <w:sz w:val="19"/>
          <w:szCs w:val="19"/>
        </w:rPr>
        <w:t>, el Sistema Nacional de Información Estadística y Geográfica (SNIEG)</w:t>
      </w:r>
      <w:r w:rsidR="00391FD0" w:rsidRPr="009A501D">
        <w:rPr>
          <w:rFonts w:ascii="Century Gothic" w:hAnsi="Century Gothic"/>
          <w:sz w:val="19"/>
          <w:szCs w:val="19"/>
        </w:rPr>
        <w:t xml:space="preserve"> en su apartado B</w:t>
      </w:r>
      <w:r w:rsidRPr="009A501D">
        <w:rPr>
          <w:rFonts w:ascii="Century Gothic" w:hAnsi="Century Gothic"/>
          <w:sz w:val="19"/>
          <w:szCs w:val="19"/>
        </w:rPr>
        <w:t xml:space="preserve"> y al organismo encargado de la evaluación de la política de desarrollo social</w:t>
      </w:r>
      <w:r w:rsidR="00391FD0" w:rsidRPr="009A501D">
        <w:rPr>
          <w:rFonts w:ascii="Century Gothic" w:hAnsi="Century Gothic"/>
          <w:sz w:val="19"/>
          <w:szCs w:val="19"/>
        </w:rPr>
        <w:t>, en su apartado C</w:t>
      </w:r>
      <w:r w:rsidRPr="009A501D">
        <w:rPr>
          <w:rFonts w:ascii="Century Gothic" w:hAnsi="Century Gothic"/>
          <w:sz w:val="19"/>
          <w:szCs w:val="19"/>
        </w:rPr>
        <w:t xml:space="preserve">. Así, en el contexto constitucional, la información está ligada a la planeación del Estado </w:t>
      </w:r>
      <w:r w:rsidRPr="009A501D">
        <w:rPr>
          <w:rFonts w:ascii="Century Gothic" w:hAnsi="Century Gothic"/>
          <w:sz w:val="19"/>
          <w:szCs w:val="19"/>
        </w:rPr>
        <w:lastRenderedPageBreak/>
        <w:t xml:space="preserve">y a la rendición de cuentas a la sociedad. Este aspecto está reforzado en el artículo 3 de la Ley del SNIEG, donde se establece que la finalidad de la información suministrada por el SNIEG es la de coadyuvar al desarrollo nacional.  </w:t>
      </w:r>
    </w:p>
    <w:p w14:paraId="76C2E314" w14:textId="3B44C89B" w:rsidR="00580CBB" w:rsidRPr="009A501D" w:rsidRDefault="00D56DDF" w:rsidP="00664A1D">
      <w:pPr>
        <w:spacing w:before="240"/>
        <w:jc w:val="both"/>
        <w:rPr>
          <w:rFonts w:ascii="Century Gothic" w:hAnsi="Century Gothic"/>
          <w:sz w:val="19"/>
          <w:szCs w:val="19"/>
        </w:rPr>
      </w:pPr>
      <w:r w:rsidRPr="009A501D">
        <w:rPr>
          <w:rFonts w:ascii="Century Gothic" w:hAnsi="Century Gothic"/>
          <w:sz w:val="19"/>
          <w:szCs w:val="19"/>
        </w:rPr>
        <w:t>De esta manera</w:t>
      </w:r>
      <w:r w:rsidR="00BE0B71" w:rsidRPr="009A501D">
        <w:rPr>
          <w:rFonts w:ascii="Century Gothic" w:hAnsi="Century Gothic"/>
          <w:sz w:val="19"/>
          <w:szCs w:val="19"/>
        </w:rPr>
        <w:t xml:space="preserve">, </w:t>
      </w:r>
      <w:r w:rsidR="00580CBB" w:rsidRPr="009A501D">
        <w:rPr>
          <w:rFonts w:ascii="Century Gothic" w:hAnsi="Century Gothic"/>
          <w:sz w:val="19"/>
          <w:szCs w:val="19"/>
        </w:rPr>
        <w:t xml:space="preserve">se determinó que las necesidades de información deben estar vinculadas a la necesidad de información para la planeación y evaluación de los temas del desarrollo nacional. Posteriormente, se identificaron los instrumentos nacionales e internacionales que rigen los objetivos del desarrollo nacional, los cuales se dividen en las siguientes categorías: </w:t>
      </w:r>
    </w:p>
    <w:p w14:paraId="2D8E5C2B" w14:textId="77777777" w:rsidR="00580CBB" w:rsidRPr="009A501D" w:rsidRDefault="00580CBB" w:rsidP="00664A1D">
      <w:pPr>
        <w:pStyle w:val="Prrafodelista"/>
        <w:numPr>
          <w:ilvl w:val="0"/>
          <w:numId w:val="16"/>
        </w:numPr>
        <w:spacing w:before="240"/>
        <w:jc w:val="both"/>
        <w:rPr>
          <w:rFonts w:ascii="Century Gothic" w:hAnsi="Century Gothic"/>
          <w:sz w:val="19"/>
          <w:szCs w:val="19"/>
        </w:rPr>
      </w:pPr>
      <w:r w:rsidRPr="009A501D">
        <w:rPr>
          <w:rFonts w:ascii="Century Gothic" w:hAnsi="Century Gothic"/>
          <w:sz w:val="19"/>
          <w:szCs w:val="19"/>
        </w:rPr>
        <w:t>Marco legal, que incluye las disposiciones de la Constitución Política de los Estados Unidos Mexicanos, Leyes Federales y Tratados Internacionales.</w:t>
      </w:r>
    </w:p>
    <w:p w14:paraId="4972B8A9" w14:textId="77777777" w:rsidR="00580CBB" w:rsidRPr="009A501D" w:rsidRDefault="00580CBB" w:rsidP="00664A1D">
      <w:pPr>
        <w:pStyle w:val="Prrafodelista"/>
        <w:numPr>
          <w:ilvl w:val="0"/>
          <w:numId w:val="16"/>
        </w:numPr>
        <w:spacing w:before="240"/>
        <w:jc w:val="both"/>
        <w:rPr>
          <w:rFonts w:ascii="Century Gothic" w:hAnsi="Century Gothic"/>
          <w:sz w:val="19"/>
          <w:szCs w:val="19"/>
        </w:rPr>
      </w:pPr>
      <w:r w:rsidRPr="009A501D">
        <w:rPr>
          <w:rFonts w:ascii="Century Gothic" w:hAnsi="Century Gothic"/>
          <w:sz w:val="19"/>
          <w:szCs w:val="19"/>
        </w:rPr>
        <w:t>Objetivos de desarrollo expuestos en el Plan Nacional de Desarrollo (PND) vigente, y los programas que de él se derivan, así como en los Objetivos de Desarrollo Sostenible (ODS).</w:t>
      </w:r>
    </w:p>
    <w:p w14:paraId="5122F978" w14:textId="77777777" w:rsidR="00580CBB" w:rsidRPr="009A501D" w:rsidRDefault="00580CBB" w:rsidP="00664A1D">
      <w:pPr>
        <w:pStyle w:val="Prrafodelista"/>
        <w:numPr>
          <w:ilvl w:val="0"/>
          <w:numId w:val="16"/>
        </w:numPr>
        <w:spacing w:before="240"/>
        <w:jc w:val="both"/>
        <w:rPr>
          <w:rFonts w:ascii="Century Gothic" w:hAnsi="Century Gothic"/>
          <w:sz w:val="19"/>
          <w:szCs w:val="19"/>
        </w:rPr>
      </w:pPr>
      <w:r w:rsidRPr="009A501D">
        <w:rPr>
          <w:rFonts w:ascii="Century Gothic" w:hAnsi="Century Gothic"/>
          <w:sz w:val="19"/>
          <w:szCs w:val="19"/>
        </w:rPr>
        <w:t>Temas de coyuntura que se convierten en necesidades de información.</w:t>
      </w:r>
    </w:p>
    <w:p w14:paraId="57C60426" w14:textId="2D692BBD"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En 2019 se avanzó en la definición de indicadores de pertinencia desde el punto de vista de la medición de la efectividad de la producción de información. Se aprobaron indicadores que permiten conocer el porcentaje de programas cuya información se utiliza para atender las disposiciones del marco legal, así como los objetivos de desarrollo. Sin embargo, para producir la información final se requiere llevar a cabo programas de información intermedios de uso interno, por lo que se incluyeron dos indicadore</w:t>
      </w:r>
      <w:r w:rsidR="00BA4948" w:rsidRPr="009A501D">
        <w:rPr>
          <w:rFonts w:ascii="Century Gothic" w:hAnsi="Century Gothic"/>
          <w:sz w:val="19"/>
          <w:szCs w:val="19"/>
        </w:rPr>
        <w:t xml:space="preserve">s que permitan </w:t>
      </w:r>
      <w:r w:rsidRPr="009A501D">
        <w:rPr>
          <w:rFonts w:ascii="Century Gothic" w:hAnsi="Century Gothic"/>
          <w:sz w:val="19"/>
          <w:szCs w:val="19"/>
        </w:rPr>
        <w:t xml:space="preserve">realizar análisis completos de pertinencia. Por completitud también se incluyeron indicadores de consultas de información por parte de los usuarios. Los indicadores aprobados se presentan en </w:t>
      </w:r>
      <w:r w:rsidR="00B978EF" w:rsidRPr="009A501D">
        <w:rPr>
          <w:rFonts w:ascii="Century Gothic" w:hAnsi="Century Gothic"/>
          <w:sz w:val="19"/>
          <w:szCs w:val="19"/>
        </w:rPr>
        <w:t>la</w:t>
      </w:r>
      <w:r w:rsidRPr="009A501D">
        <w:rPr>
          <w:rFonts w:ascii="Century Gothic" w:hAnsi="Century Gothic"/>
          <w:sz w:val="19"/>
          <w:szCs w:val="19"/>
        </w:rPr>
        <w:t xml:space="preserve"> </w:t>
      </w:r>
      <w:r w:rsidR="00B978EF" w:rsidRPr="009A501D">
        <w:rPr>
          <w:rFonts w:ascii="Century Gothic" w:hAnsi="Century Gothic"/>
          <w:sz w:val="19"/>
          <w:szCs w:val="19"/>
        </w:rPr>
        <w:t>figura</w:t>
      </w:r>
      <w:r w:rsidRPr="009A501D">
        <w:rPr>
          <w:rFonts w:ascii="Century Gothic" w:hAnsi="Century Gothic"/>
          <w:sz w:val="19"/>
          <w:szCs w:val="19"/>
        </w:rPr>
        <w:t xml:space="preserve"> A.1.3.</w:t>
      </w:r>
    </w:p>
    <w:p w14:paraId="49E2A3C0" w14:textId="133ED457"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 xml:space="preserve">En 2021 se aprobaron dos indicadores de pertinencia para la medición de la cobertura de las necesidades, considerando las necesidades a partir de los objetivos de desarrollo que se plasman tanto en los Objetivos de Desarrollo Sostenible propuestos por Naciones Unidas como los indicadores del desarrollo nacional que se incluyen en los programas sectoriales y especiales del gobierno federal. </w:t>
      </w:r>
    </w:p>
    <w:p w14:paraId="18F172DC" w14:textId="77777777"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Durante la discusión de las propuestas de indicadores en el Comité en 2019, se analizó la conveniencia de ponderar los distintos elementos de la pertinencia y se llegó a la conclusión de presentar los indicadores por separado, así como los datos de origen para que quien utilice esta información pueda realizar los análisis que requiera. Cabe señalar que los indicadores aprobados miden el uso de los programas de información de forma completa, sin embargo, un análisis más detallado requiere revisar el uso de las variables contenidas dentro de los programas de información.  Es posible que conforme se avance en la institucionalización del Inventario de Programas de Información, y en la identificación de procesos y productos de información relacionados, pueda hacerse un ejercicio para identificar el uso a nivel variable, tomando en cuenta que referentes de uso como los indicadores ODS, los indicadores clave del Catálogo Nacional de Indicadores, o los indicadores de programas derivados del Plan Nacional de Desarrollo tienen mucho por avanzar en cuanto a la forma en que se identifica la información sobre las fuentes utilizadas en sus cálculos.</w:t>
      </w:r>
    </w:p>
    <w:p w14:paraId="265EC0E7" w14:textId="77777777" w:rsidR="00580CBB" w:rsidRPr="009A501D" w:rsidRDefault="00580CBB" w:rsidP="00664A1D">
      <w:pPr>
        <w:spacing w:before="240"/>
        <w:rPr>
          <w:rFonts w:ascii="Century Gothic" w:hAnsi="Century Gothic"/>
          <w:sz w:val="19"/>
          <w:szCs w:val="19"/>
        </w:rPr>
      </w:pPr>
      <w:r w:rsidRPr="009A501D">
        <w:rPr>
          <w:rFonts w:ascii="Century Gothic" w:hAnsi="Century Gothic"/>
          <w:sz w:val="19"/>
          <w:szCs w:val="19"/>
        </w:rPr>
        <w:br w:type="page"/>
      </w:r>
    </w:p>
    <w:p w14:paraId="1C1B1C57" w14:textId="77777777" w:rsidR="00580CBB" w:rsidRPr="009A501D" w:rsidRDefault="00580CBB" w:rsidP="00664A1D">
      <w:pPr>
        <w:spacing w:before="240"/>
        <w:jc w:val="center"/>
        <w:rPr>
          <w:rFonts w:ascii="Century Gothic" w:hAnsi="Century Gothic"/>
          <w:b/>
          <w:sz w:val="19"/>
          <w:szCs w:val="19"/>
        </w:rPr>
      </w:pPr>
      <w:r w:rsidRPr="009A501D">
        <w:lastRenderedPageBreak/>
        <w:t xml:space="preserve"> </w:t>
      </w:r>
      <w:r w:rsidRPr="009A501D">
        <w:rPr>
          <w:rFonts w:ascii="Century Gothic" w:hAnsi="Century Gothic"/>
          <w:b/>
          <w:sz w:val="19"/>
          <w:szCs w:val="19"/>
        </w:rPr>
        <w:t>A.1.3.  Indicadores Aprobados por el Comité de Aseguramiento de la Calidad</w:t>
      </w:r>
    </w:p>
    <w:p w14:paraId="571AE57C" w14:textId="0035EF3F" w:rsidR="00580CBB" w:rsidRPr="009A501D" w:rsidRDefault="00580CBB" w:rsidP="00664A1D">
      <w:pPr>
        <w:spacing w:before="240"/>
        <w:jc w:val="center"/>
        <w:rPr>
          <w:rFonts w:ascii="Century Gothic" w:hAnsi="Century Gothic"/>
          <w:b/>
          <w:sz w:val="19"/>
          <w:szCs w:val="19"/>
        </w:rPr>
      </w:pPr>
      <w:r w:rsidRPr="009A501D">
        <w:rPr>
          <w:noProof/>
          <w:lang w:eastAsia="es-MX"/>
        </w:rPr>
        <w:drawing>
          <wp:inline distT="0" distB="0" distL="0" distR="0" wp14:anchorId="27E00915" wp14:editId="58C93542">
            <wp:extent cx="8070424" cy="4662910"/>
            <wp:effectExtent l="0" t="0" r="698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0457" cy="4668707"/>
                    </a:xfrm>
                    <a:prstGeom prst="rect">
                      <a:avLst/>
                    </a:prstGeom>
                    <a:noFill/>
                    <a:ln>
                      <a:noFill/>
                    </a:ln>
                  </pic:spPr>
                </pic:pic>
              </a:graphicData>
            </a:graphic>
          </wp:inline>
        </w:drawing>
      </w:r>
    </w:p>
    <w:p w14:paraId="780BAA21" w14:textId="409703C7" w:rsidR="00580CBB" w:rsidRPr="009A501D" w:rsidRDefault="00580CBB" w:rsidP="006621CE">
      <w:pPr>
        <w:spacing w:before="240"/>
        <w:jc w:val="both"/>
        <w:rPr>
          <w:rFonts w:ascii="Century Gothic" w:hAnsi="Century Gothic"/>
          <w:sz w:val="19"/>
          <w:szCs w:val="19"/>
        </w:rPr>
      </w:pPr>
      <w:r w:rsidRPr="009A501D">
        <w:rPr>
          <w:rFonts w:ascii="Century Gothic" w:hAnsi="Century Gothic"/>
          <w:sz w:val="19"/>
          <w:szCs w:val="19"/>
        </w:rPr>
        <w:t xml:space="preserve">Al analizar la pertinencia desde el punto de vista de la cobertura de necesidades, se observa que </w:t>
      </w:r>
      <w:r w:rsidR="000F55EC" w:rsidRPr="009A501D">
        <w:rPr>
          <w:rFonts w:ascii="Century Gothic" w:hAnsi="Century Gothic"/>
          <w:sz w:val="19"/>
          <w:szCs w:val="19"/>
        </w:rPr>
        <w:t xml:space="preserve">un alto porcentaje </w:t>
      </w:r>
      <w:r w:rsidRPr="009A501D">
        <w:rPr>
          <w:rFonts w:ascii="Century Gothic" w:hAnsi="Century Gothic"/>
          <w:sz w:val="19"/>
          <w:szCs w:val="19"/>
        </w:rPr>
        <w:t>de indicadores de los Objetivos de Desarrollo Sostenible</w:t>
      </w:r>
      <w:r w:rsidR="00F2702B" w:rsidRPr="009A501D">
        <w:rPr>
          <w:rFonts w:ascii="Century Gothic" w:hAnsi="Century Gothic"/>
          <w:sz w:val="19"/>
          <w:szCs w:val="19"/>
        </w:rPr>
        <w:t xml:space="preserve"> en 2022</w:t>
      </w:r>
      <w:r w:rsidRPr="009A501D">
        <w:rPr>
          <w:rFonts w:ascii="Century Gothic" w:hAnsi="Century Gothic"/>
          <w:sz w:val="19"/>
          <w:szCs w:val="19"/>
        </w:rPr>
        <w:t xml:space="preserve"> se </w:t>
      </w:r>
      <w:r w:rsidR="00FA76D1" w:rsidRPr="009A501D">
        <w:rPr>
          <w:rFonts w:ascii="Century Gothic" w:hAnsi="Century Gothic"/>
          <w:sz w:val="19"/>
          <w:szCs w:val="19"/>
        </w:rPr>
        <w:t>calcula</w:t>
      </w:r>
      <w:r w:rsidR="00F2702B" w:rsidRPr="009A501D">
        <w:rPr>
          <w:rFonts w:ascii="Century Gothic" w:hAnsi="Century Gothic"/>
          <w:sz w:val="19"/>
          <w:szCs w:val="19"/>
        </w:rPr>
        <w:t>ron</w:t>
      </w:r>
      <w:r w:rsidR="00FA76D1" w:rsidRPr="009A501D">
        <w:rPr>
          <w:rFonts w:ascii="Century Gothic" w:hAnsi="Century Gothic"/>
          <w:sz w:val="19"/>
          <w:szCs w:val="19"/>
        </w:rPr>
        <w:t xml:space="preserve"> </w:t>
      </w:r>
      <w:r w:rsidR="00B24236" w:rsidRPr="009A501D">
        <w:rPr>
          <w:rFonts w:ascii="Century Gothic" w:hAnsi="Century Gothic"/>
          <w:sz w:val="19"/>
          <w:szCs w:val="19"/>
        </w:rPr>
        <w:t>con</w:t>
      </w:r>
      <w:r w:rsidR="00D85B7F" w:rsidRPr="009A501D">
        <w:rPr>
          <w:rFonts w:ascii="Century Gothic" w:hAnsi="Century Gothic"/>
          <w:sz w:val="19"/>
          <w:szCs w:val="19"/>
        </w:rPr>
        <w:t xml:space="preserve"> </w:t>
      </w:r>
      <w:r w:rsidR="00484BAC" w:rsidRPr="009A501D">
        <w:rPr>
          <w:rFonts w:ascii="Century Gothic" w:hAnsi="Century Gothic"/>
          <w:sz w:val="19"/>
          <w:szCs w:val="19"/>
        </w:rPr>
        <w:t>programas</w:t>
      </w:r>
      <w:r w:rsidRPr="009A501D">
        <w:rPr>
          <w:rFonts w:ascii="Century Gothic" w:hAnsi="Century Gothic"/>
          <w:sz w:val="19"/>
          <w:szCs w:val="19"/>
        </w:rPr>
        <w:t xml:space="preserve"> de </w:t>
      </w:r>
      <w:r w:rsidR="00484BAC" w:rsidRPr="009A501D">
        <w:rPr>
          <w:rFonts w:ascii="Century Gothic" w:hAnsi="Century Gothic"/>
          <w:sz w:val="19"/>
          <w:szCs w:val="19"/>
        </w:rPr>
        <w:t>información</w:t>
      </w:r>
      <w:r w:rsidRPr="009A501D">
        <w:rPr>
          <w:rFonts w:ascii="Century Gothic" w:hAnsi="Century Gothic"/>
          <w:sz w:val="19"/>
          <w:szCs w:val="19"/>
        </w:rPr>
        <w:t xml:space="preserve"> </w:t>
      </w:r>
      <w:r w:rsidR="00B24236" w:rsidRPr="009A501D">
        <w:rPr>
          <w:rFonts w:ascii="Century Gothic" w:hAnsi="Century Gothic"/>
          <w:sz w:val="19"/>
          <w:szCs w:val="19"/>
        </w:rPr>
        <w:t xml:space="preserve">o procesos de producción </w:t>
      </w:r>
      <w:r w:rsidRPr="009A501D">
        <w:rPr>
          <w:rFonts w:ascii="Century Gothic" w:hAnsi="Century Gothic"/>
          <w:sz w:val="19"/>
          <w:szCs w:val="19"/>
        </w:rPr>
        <w:t>del INEGI (7</w:t>
      </w:r>
      <w:r w:rsidR="000F55EC" w:rsidRPr="009A501D">
        <w:rPr>
          <w:rFonts w:ascii="Century Gothic" w:hAnsi="Century Gothic"/>
          <w:sz w:val="19"/>
          <w:szCs w:val="19"/>
        </w:rPr>
        <w:t>0</w:t>
      </w:r>
      <w:r w:rsidRPr="009A501D">
        <w:rPr>
          <w:rFonts w:ascii="Century Gothic" w:hAnsi="Century Gothic"/>
          <w:sz w:val="19"/>
          <w:szCs w:val="19"/>
        </w:rPr>
        <w:t>.</w:t>
      </w:r>
      <w:r w:rsidR="000F55EC" w:rsidRPr="009A501D">
        <w:rPr>
          <w:rFonts w:ascii="Century Gothic" w:hAnsi="Century Gothic"/>
          <w:sz w:val="19"/>
          <w:szCs w:val="19"/>
        </w:rPr>
        <w:t>6</w:t>
      </w:r>
      <w:r w:rsidRPr="009A501D">
        <w:rPr>
          <w:rFonts w:ascii="Century Gothic" w:hAnsi="Century Gothic"/>
          <w:sz w:val="19"/>
          <w:szCs w:val="19"/>
        </w:rPr>
        <w:t xml:space="preserve">%), a diferencia de lo que sucede con los indicadores de los programas derivados del Plan Nacional de Desarrollo en los que sólo </w:t>
      </w:r>
      <w:r w:rsidR="00F2702B" w:rsidRPr="009A501D">
        <w:rPr>
          <w:rFonts w:ascii="Century Gothic" w:hAnsi="Century Gothic"/>
          <w:sz w:val="19"/>
          <w:szCs w:val="19"/>
        </w:rPr>
        <w:t>se utiliza</w:t>
      </w:r>
      <w:r w:rsidRPr="009A501D">
        <w:rPr>
          <w:rFonts w:ascii="Century Gothic" w:hAnsi="Century Gothic"/>
          <w:sz w:val="19"/>
          <w:szCs w:val="19"/>
        </w:rPr>
        <w:t xml:space="preserve"> información del INEGI en un 2</w:t>
      </w:r>
      <w:r w:rsidR="000F55EC" w:rsidRPr="009A501D">
        <w:rPr>
          <w:rFonts w:ascii="Century Gothic" w:hAnsi="Century Gothic"/>
          <w:sz w:val="19"/>
          <w:szCs w:val="19"/>
        </w:rPr>
        <w:t>4</w:t>
      </w:r>
      <w:r w:rsidRPr="009A501D">
        <w:rPr>
          <w:rFonts w:ascii="Century Gothic" w:hAnsi="Century Gothic"/>
          <w:sz w:val="19"/>
          <w:szCs w:val="19"/>
        </w:rPr>
        <w:t>.</w:t>
      </w:r>
      <w:r w:rsidR="000F55EC" w:rsidRPr="009A501D">
        <w:rPr>
          <w:rFonts w:ascii="Century Gothic" w:hAnsi="Century Gothic"/>
          <w:sz w:val="19"/>
          <w:szCs w:val="19"/>
        </w:rPr>
        <w:t>9</w:t>
      </w:r>
      <w:r w:rsidRPr="009A501D">
        <w:rPr>
          <w:rFonts w:ascii="Century Gothic" w:hAnsi="Century Gothic"/>
          <w:sz w:val="19"/>
          <w:szCs w:val="19"/>
        </w:rPr>
        <w:t>% (ver cuadro A.1.4).</w:t>
      </w:r>
      <w:r w:rsidRPr="009A501D">
        <w:rPr>
          <w:rFonts w:ascii="Century Gothic" w:hAnsi="Century Gothic"/>
          <w:sz w:val="19"/>
          <w:szCs w:val="19"/>
        </w:rPr>
        <w:br w:type="page"/>
      </w:r>
    </w:p>
    <w:p w14:paraId="728A9DEF" w14:textId="77777777" w:rsidR="00580CBB" w:rsidRPr="009A501D" w:rsidRDefault="00580CBB"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 xml:space="preserve">A.1.4.  Estimación de los indicadores de pertinencia (cobertura de necesidades) </w:t>
      </w:r>
    </w:p>
    <w:tbl>
      <w:tblPr>
        <w:tblStyle w:val="Tablaconcuadrcula"/>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18"/>
        <w:gridCol w:w="6662"/>
        <w:gridCol w:w="1559"/>
        <w:gridCol w:w="1559"/>
      </w:tblGrid>
      <w:tr w:rsidR="00FB1B7E" w:rsidRPr="009A501D" w14:paraId="40512219" w14:textId="3D950B59" w:rsidTr="00FB1B7E">
        <w:trPr>
          <w:jc w:val="center"/>
        </w:trPr>
        <w:tc>
          <w:tcPr>
            <w:tcW w:w="1218" w:type="dxa"/>
            <w:shd w:val="clear" w:color="auto" w:fill="FFD966" w:themeFill="accent4" w:themeFillTint="99"/>
            <w:vAlign w:val="center"/>
          </w:tcPr>
          <w:p w14:paraId="4AD9D408" w14:textId="77777777" w:rsidR="00FB1B7E" w:rsidRPr="009A501D" w:rsidRDefault="00FB1B7E" w:rsidP="00664A1D">
            <w:pPr>
              <w:jc w:val="center"/>
              <w:rPr>
                <w:rFonts w:ascii="Century Gothic" w:hAnsi="Century Gothic"/>
                <w:b/>
                <w:sz w:val="16"/>
                <w:szCs w:val="16"/>
              </w:rPr>
            </w:pPr>
            <w:r w:rsidRPr="009A501D">
              <w:rPr>
                <w:rFonts w:ascii="Century Gothic" w:hAnsi="Century Gothic"/>
                <w:b/>
                <w:sz w:val="16"/>
                <w:szCs w:val="16"/>
              </w:rPr>
              <w:t>Tipo de necesidades</w:t>
            </w:r>
          </w:p>
        </w:tc>
        <w:tc>
          <w:tcPr>
            <w:tcW w:w="6662" w:type="dxa"/>
            <w:shd w:val="clear" w:color="auto" w:fill="FFD966" w:themeFill="accent4" w:themeFillTint="99"/>
            <w:vAlign w:val="center"/>
          </w:tcPr>
          <w:p w14:paraId="21A81AA3" w14:textId="77777777" w:rsidR="00FB1B7E" w:rsidRPr="009A501D" w:rsidRDefault="00FB1B7E" w:rsidP="00664A1D">
            <w:pPr>
              <w:jc w:val="center"/>
              <w:rPr>
                <w:rFonts w:ascii="Century Gothic" w:hAnsi="Century Gothic"/>
                <w:b/>
                <w:sz w:val="16"/>
                <w:szCs w:val="16"/>
              </w:rPr>
            </w:pPr>
            <w:r w:rsidRPr="009A501D">
              <w:rPr>
                <w:rFonts w:ascii="Century Gothic" w:hAnsi="Century Gothic"/>
                <w:b/>
                <w:sz w:val="16"/>
                <w:szCs w:val="16"/>
              </w:rPr>
              <w:t>Indicadores de pertinencia</w:t>
            </w:r>
          </w:p>
        </w:tc>
        <w:tc>
          <w:tcPr>
            <w:tcW w:w="1559" w:type="dxa"/>
            <w:shd w:val="clear" w:color="auto" w:fill="FFD966" w:themeFill="accent4" w:themeFillTint="99"/>
            <w:vAlign w:val="center"/>
          </w:tcPr>
          <w:p w14:paraId="6CF64F67" w14:textId="77777777" w:rsidR="00FB1B7E" w:rsidRPr="009A501D" w:rsidRDefault="00FB1B7E" w:rsidP="00664A1D">
            <w:pPr>
              <w:jc w:val="center"/>
              <w:rPr>
                <w:rFonts w:ascii="Century Gothic" w:hAnsi="Century Gothic"/>
                <w:b/>
                <w:sz w:val="16"/>
                <w:szCs w:val="16"/>
              </w:rPr>
            </w:pPr>
            <w:r w:rsidRPr="009A501D">
              <w:rPr>
                <w:rFonts w:ascii="Century Gothic" w:hAnsi="Century Gothic"/>
                <w:b/>
                <w:sz w:val="16"/>
                <w:szCs w:val="16"/>
              </w:rPr>
              <w:t>Estimación a diciembre 2021</w:t>
            </w:r>
          </w:p>
        </w:tc>
        <w:tc>
          <w:tcPr>
            <w:tcW w:w="1559" w:type="dxa"/>
            <w:shd w:val="clear" w:color="auto" w:fill="FFD966" w:themeFill="accent4" w:themeFillTint="99"/>
          </w:tcPr>
          <w:p w14:paraId="19E13624" w14:textId="0F68AD06" w:rsidR="00FB1B7E" w:rsidRPr="009A501D" w:rsidRDefault="00FB1B7E" w:rsidP="00664A1D">
            <w:pPr>
              <w:jc w:val="center"/>
              <w:rPr>
                <w:rFonts w:ascii="Century Gothic" w:hAnsi="Century Gothic"/>
                <w:b/>
                <w:sz w:val="16"/>
                <w:szCs w:val="16"/>
              </w:rPr>
            </w:pPr>
            <w:r w:rsidRPr="009A501D">
              <w:rPr>
                <w:rFonts w:ascii="Century Gothic" w:hAnsi="Century Gothic"/>
                <w:b/>
                <w:sz w:val="16"/>
                <w:szCs w:val="16"/>
              </w:rPr>
              <w:t>Estimación a diciembre 2022</w:t>
            </w:r>
          </w:p>
        </w:tc>
      </w:tr>
      <w:tr w:rsidR="00FB1B7E" w:rsidRPr="009A501D" w14:paraId="6A2BF1DB" w14:textId="6FE6D0A0" w:rsidTr="00FB1B7E">
        <w:trPr>
          <w:jc w:val="center"/>
        </w:trPr>
        <w:tc>
          <w:tcPr>
            <w:tcW w:w="1218" w:type="dxa"/>
            <w:vMerge w:val="restart"/>
            <w:shd w:val="clear" w:color="auto" w:fill="FFF2CC" w:themeFill="accent4" w:themeFillTint="33"/>
            <w:vAlign w:val="center"/>
          </w:tcPr>
          <w:p w14:paraId="0395E058" w14:textId="77777777" w:rsidR="00FB1B7E" w:rsidRPr="009A501D" w:rsidRDefault="00FB1B7E" w:rsidP="00664A1D">
            <w:pPr>
              <w:jc w:val="both"/>
              <w:rPr>
                <w:rFonts w:ascii="Century Gothic" w:hAnsi="Century Gothic"/>
                <w:sz w:val="16"/>
                <w:szCs w:val="16"/>
              </w:rPr>
            </w:pPr>
            <w:r w:rsidRPr="009A501D">
              <w:rPr>
                <w:rFonts w:ascii="Century Gothic" w:hAnsi="Century Gothic"/>
                <w:sz w:val="16"/>
                <w:szCs w:val="16"/>
              </w:rPr>
              <w:t>Objetivos de Desarrollo</w:t>
            </w:r>
          </w:p>
        </w:tc>
        <w:tc>
          <w:tcPr>
            <w:tcW w:w="6662" w:type="dxa"/>
            <w:shd w:val="clear" w:color="auto" w:fill="FFF2CC" w:themeFill="accent4" w:themeFillTint="33"/>
            <w:vAlign w:val="center"/>
          </w:tcPr>
          <w:p w14:paraId="27CC397B" w14:textId="60D84DF1" w:rsidR="00FB1B7E" w:rsidRPr="009A501D" w:rsidRDefault="00FB1B7E" w:rsidP="00664A1D">
            <w:pPr>
              <w:jc w:val="both"/>
              <w:rPr>
                <w:rFonts w:ascii="Century Gothic" w:hAnsi="Century Gothic"/>
                <w:sz w:val="16"/>
                <w:szCs w:val="16"/>
              </w:rPr>
            </w:pPr>
            <w:r w:rsidRPr="009A501D">
              <w:rPr>
                <w:rFonts w:ascii="Century Gothic" w:hAnsi="Century Gothic"/>
                <w:sz w:val="16"/>
                <w:szCs w:val="16"/>
              </w:rPr>
              <w:t>Porcentaje de indicadores que permiten medir la evolución del desarrollo nacional que se calculan con programas de información estadística y geográfica del INEGI.</w:t>
            </w:r>
          </w:p>
        </w:tc>
        <w:tc>
          <w:tcPr>
            <w:tcW w:w="1559" w:type="dxa"/>
            <w:shd w:val="clear" w:color="auto" w:fill="FFF2CC" w:themeFill="accent4" w:themeFillTint="33"/>
            <w:vAlign w:val="center"/>
          </w:tcPr>
          <w:p w14:paraId="2479A7ED" w14:textId="77777777" w:rsidR="00FB1B7E" w:rsidRPr="009A501D" w:rsidRDefault="00FB1B7E" w:rsidP="00664A1D">
            <w:pPr>
              <w:jc w:val="center"/>
              <w:rPr>
                <w:rFonts w:ascii="Century Gothic" w:hAnsi="Century Gothic"/>
                <w:sz w:val="16"/>
                <w:szCs w:val="16"/>
              </w:rPr>
            </w:pPr>
            <w:r w:rsidRPr="009A501D">
              <w:rPr>
                <w:rFonts w:ascii="Century Gothic" w:hAnsi="Century Gothic"/>
                <w:sz w:val="16"/>
                <w:szCs w:val="16"/>
              </w:rPr>
              <w:t>22%</w:t>
            </w:r>
          </w:p>
        </w:tc>
        <w:tc>
          <w:tcPr>
            <w:tcW w:w="1559" w:type="dxa"/>
            <w:shd w:val="clear" w:color="auto" w:fill="FFF2CC" w:themeFill="accent4" w:themeFillTint="33"/>
            <w:vAlign w:val="center"/>
          </w:tcPr>
          <w:p w14:paraId="04DE8A42" w14:textId="13F678E8" w:rsidR="00FB1B7E" w:rsidRPr="009A501D" w:rsidRDefault="00FB1B7E" w:rsidP="00664A1D">
            <w:pPr>
              <w:jc w:val="center"/>
              <w:rPr>
                <w:rFonts w:ascii="Century Gothic" w:hAnsi="Century Gothic"/>
                <w:sz w:val="16"/>
                <w:szCs w:val="16"/>
              </w:rPr>
            </w:pPr>
            <w:r w:rsidRPr="009A501D">
              <w:rPr>
                <w:rFonts w:ascii="Century Gothic" w:hAnsi="Century Gothic"/>
                <w:sz w:val="16"/>
                <w:szCs w:val="16"/>
              </w:rPr>
              <w:t>24.9%</w:t>
            </w:r>
          </w:p>
        </w:tc>
      </w:tr>
      <w:tr w:rsidR="00FB1B7E" w:rsidRPr="009A501D" w14:paraId="66C7FC15" w14:textId="686AAA77" w:rsidTr="00FB1B7E">
        <w:trPr>
          <w:jc w:val="center"/>
        </w:trPr>
        <w:tc>
          <w:tcPr>
            <w:tcW w:w="1218" w:type="dxa"/>
            <w:vMerge/>
            <w:shd w:val="clear" w:color="auto" w:fill="FFF2CC" w:themeFill="accent4" w:themeFillTint="33"/>
            <w:vAlign w:val="center"/>
          </w:tcPr>
          <w:p w14:paraId="32EA58B1" w14:textId="77777777" w:rsidR="00FB1B7E" w:rsidRPr="009A501D" w:rsidRDefault="00FB1B7E" w:rsidP="00664A1D">
            <w:pPr>
              <w:jc w:val="both"/>
              <w:rPr>
                <w:rFonts w:ascii="Century Gothic" w:hAnsi="Century Gothic"/>
                <w:sz w:val="16"/>
                <w:szCs w:val="16"/>
              </w:rPr>
            </w:pPr>
          </w:p>
        </w:tc>
        <w:tc>
          <w:tcPr>
            <w:tcW w:w="6662" w:type="dxa"/>
            <w:shd w:val="clear" w:color="auto" w:fill="FFF2CC" w:themeFill="accent4" w:themeFillTint="33"/>
            <w:vAlign w:val="center"/>
          </w:tcPr>
          <w:p w14:paraId="63595AFC" w14:textId="664500FB" w:rsidR="00FB1B7E" w:rsidRPr="009A501D" w:rsidRDefault="00FB1B7E" w:rsidP="00664A1D">
            <w:pPr>
              <w:jc w:val="both"/>
              <w:rPr>
                <w:rFonts w:ascii="Century Gothic" w:hAnsi="Century Gothic"/>
                <w:sz w:val="16"/>
                <w:szCs w:val="16"/>
              </w:rPr>
            </w:pPr>
            <w:r w:rsidRPr="009A501D">
              <w:rPr>
                <w:rFonts w:ascii="Century Gothic" w:hAnsi="Century Gothic"/>
                <w:sz w:val="16"/>
                <w:szCs w:val="16"/>
              </w:rPr>
              <w:t>Porcentaje de indicadores de los Objetivos de Desarrollo Sostenible que se calculan con programas de información estadística y geográfica del INEGI.</w:t>
            </w:r>
          </w:p>
        </w:tc>
        <w:tc>
          <w:tcPr>
            <w:tcW w:w="1559" w:type="dxa"/>
            <w:shd w:val="clear" w:color="auto" w:fill="FFF2CC" w:themeFill="accent4" w:themeFillTint="33"/>
            <w:vAlign w:val="center"/>
          </w:tcPr>
          <w:p w14:paraId="225D0CFD" w14:textId="3DADDEF0" w:rsidR="00FB1B7E" w:rsidRPr="009A501D" w:rsidRDefault="00FB1B7E" w:rsidP="00664A1D">
            <w:pPr>
              <w:jc w:val="center"/>
              <w:rPr>
                <w:rFonts w:ascii="Century Gothic" w:hAnsi="Century Gothic"/>
                <w:sz w:val="16"/>
                <w:szCs w:val="16"/>
              </w:rPr>
            </w:pPr>
            <w:r w:rsidRPr="009A501D">
              <w:rPr>
                <w:rFonts w:ascii="Century Gothic" w:hAnsi="Century Gothic"/>
                <w:sz w:val="16"/>
                <w:szCs w:val="16"/>
              </w:rPr>
              <w:t>70.5%*</w:t>
            </w:r>
          </w:p>
        </w:tc>
        <w:tc>
          <w:tcPr>
            <w:tcW w:w="1559" w:type="dxa"/>
            <w:shd w:val="clear" w:color="auto" w:fill="FFF2CC" w:themeFill="accent4" w:themeFillTint="33"/>
            <w:vAlign w:val="center"/>
          </w:tcPr>
          <w:p w14:paraId="5F1A82AD" w14:textId="5F41C5A8" w:rsidR="00FB1B7E" w:rsidRPr="009A501D" w:rsidRDefault="00FB1B7E" w:rsidP="00664A1D">
            <w:pPr>
              <w:jc w:val="center"/>
              <w:rPr>
                <w:rFonts w:ascii="Century Gothic" w:hAnsi="Century Gothic"/>
                <w:sz w:val="16"/>
                <w:szCs w:val="16"/>
              </w:rPr>
            </w:pPr>
            <w:r w:rsidRPr="009A501D">
              <w:rPr>
                <w:rFonts w:ascii="Century Gothic" w:hAnsi="Century Gothic"/>
                <w:sz w:val="16"/>
                <w:szCs w:val="16"/>
              </w:rPr>
              <w:t>70.6%</w:t>
            </w:r>
          </w:p>
        </w:tc>
      </w:tr>
    </w:tbl>
    <w:p w14:paraId="6118566F" w14:textId="04EB0920" w:rsidR="00496D96" w:rsidRPr="009A501D" w:rsidRDefault="00AC3CF7" w:rsidP="001914BB">
      <w:pPr>
        <w:spacing w:before="40" w:after="40"/>
        <w:ind w:left="1134" w:right="1075"/>
        <w:rPr>
          <w:rFonts w:ascii="Century Gothic" w:hAnsi="Century Gothic"/>
          <w:sz w:val="14"/>
          <w:szCs w:val="14"/>
        </w:rPr>
      </w:pPr>
      <w:r w:rsidRPr="009A501D">
        <w:rPr>
          <w:rFonts w:ascii="Century Gothic" w:hAnsi="Century Gothic"/>
          <w:sz w:val="14"/>
          <w:szCs w:val="14"/>
        </w:rPr>
        <w:t>*No corresponde al dato del informe de</w:t>
      </w:r>
      <w:r w:rsidR="00B24236" w:rsidRPr="009A501D">
        <w:rPr>
          <w:rFonts w:ascii="Century Gothic" w:hAnsi="Century Gothic"/>
          <w:sz w:val="14"/>
          <w:szCs w:val="14"/>
        </w:rPr>
        <w:t xml:space="preserve"> </w:t>
      </w:r>
      <w:r w:rsidRPr="009A501D">
        <w:rPr>
          <w:rFonts w:ascii="Century Gothic" w:hAnsi="Century Gothic"/>
          <w:sz w:val="14"/>
          <w:szCs w:val="14"/>
        </w:rPr>
        <w:t>2021</w:t>
      </w:r>
      <w:r w:rsidR="00496D96" w:rsidRPr="009A501D">
        <w:rPr>
          <w:rFonts w:ascii="Century Gothic" w:hAnsi="Century Gothic"/>
          <w:sz w:val="14"/>
          <w:szCs w:val="14"/>
        </w:rPr>
        <w:t>,</w:t>
      </w:r>
      <w:r w:rsidR="00B24236" w:rsidRPr="009A501D">
        <w:rPr>
          <w:rFonts w:ascii="Century Gothic" w:hAnsi="Century Gothic"/>
          <w:sz w:val="14"/>
          <w:szCs w:val="14"/>
        </w:rPr>
        <w:t xml:space="preserve"> </w:t>
      </w:r>
      <w:r w:rsidRPr="009A501D">
        <w:rPr>
          <w:rFonts w:ascii="Century Gothic" w:hAnsi="Century Gothic"/>
          <w:sz w:val="14"/>
          <w:szCs w:val="14"/>
        </w:rPr>
        <w:t xml:space="preserve">debido a que se detectó </w:t>
      </w:r>
      <w:r w:rsidR="00496D96" w:rsidRPr="009A501D">
        <w:rPr>
          <w:rFonts w:ascii="Century Gothic" w:hAnsi="Century Gothic"/>
          <w:sz w:val="14"/>
          <w:szCs w:val="14"/>
        </w:rPr>
        <w:t>un doble conteo de las fuentes utilizadas para el cálculo de los indicadores ODS.</w:t>
      </w:r>
      <w:r w:rsidR="00E33B01">
        <w:rPr>
          <w:rFonts w:ascii="Century Gothic" w:hAnsi="Century Gothic"/>
          <w:sz w:val="14"/>
          <w:szCs w:val="14"/>
        </w:rPr>
        <w:t xml:space="preserve"> En este sentido se reporta el dato ajustado, que es comparable con el reporte a diciembre de 2022.</w:t>
      </w:r>
    </w:p>
    <w:p w14:paraId="3B62986D" w14:textId="0FDB09EC" w:rsidR="00AC3CF7" w:rsidRPr="009A501D" w:rsidRDefault="00AC3CF7" w:rsidP="00B24236">
      <w:pPr>
        <w:ind w:firstLine="1843"/>
        <w:jc w:val="both"/>
        <w:rPr>
          <w:rFonts w:ascii="Century Gothic" w:hAnsi="Century Gothic"/>
          <w:sz w:val="15"/>
          <w:szCs w:val="15"/>
        </w:rPr>
      </w:pPr>
    </w:p>
    <w:p w14:paraId="2DB956AB" w14:textId="4DD361B3"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En el cuadro A.1.5, se presentan los indicadores de pertinencia desde el punto de vista de la efectividad de la producción, los cuales miden cada uso de forma separada, por lo que no se pueden sumar entre sí.</w:t>
      </w:r>
    </w:p>
    <w:p w14:paraId="136C06CF" w14:textId="610D622C" w:rsidR="00580CBB" w:rsidRPr="009A501D" w:rsidRDefault="00580CBB" w:rsidP="00664A1D">
      <w:pPr>
        <w:spacing w:before="240"/>
        <w:jc w:val="center"/>
        <w:rPr>
          <w:rFonts w:ascii="Century Gothic" w:hAnsi="Century Gothic"/>
          <w:sz w:val="19"/>
          <w:szCs w:val="19"/>
        </w:rPr>
      </w:pPr>
      <w:r w:rsidRPr="009A501D">
        <w:rPr>
          <w:rFonts w:ascii="Century Gothic" w:hAnsi="Century Gothic"/>
          <w:b/>
          <w:sz w:val="19"/>
          <w:szCs w:val="19"/>
        </w:rPr>
        <w:t>A.1.5.  Estimación de los indicadores de pertinencia (efectividad de la producción)</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1"/>
        <w:gridCol w:w="1134"/>
        <w:gridCol w:w="9639"/>
        <w:gridCol w:w="708"/>
        <w:gridCol w:w="709"/>
        <w:gridCol w:w="709"/>
        <w:gridCol w:w="709"/>
      </w:tblGrid>
      <w:tr w:rsidR="004C0178" w:rsidRPr="009A501D" w14:paraId="316211AA" w14:textId="749DDD74" w:rsidTr="00643EBD">
        <w:tc>
          <w:tcPr>
            <w:tcW w:w="1555" w:type="dxa"/>
            <w:gridSpan w:val="2"/>
            <w:shd w:val="clear" w:color="auto" w:fill="006FC0"/>
            <w:vAlign w:val="center"/>
          </w:tcPr>
          <w:p w14:paraId="324DF24A" w14:textId="77777777" w:rsidR="004C0178" w:rsidRPr="009A501D" w:rsidRDefault="004C0178" w:rsidP="00664A1D">
            <w:pPr>
              <w:jc w:val="center"/>
              <w:rPr>
                <w:rFonts w:ascii="Century Gothic" w:hAnsi="Century Gothic"/>
                <w:b/>
                <w:sz w:val="19"/>
                <w:szCs w:val="19"/>
              </w:rPr>
            </w:pPr>
            <w:r w:rsidRPr="009A501D">
              <w:rPr>
                <w:rFonts w:ascii="Century Gothic" w:hAnsi="Century Gothic"/>
                <w:b/>
                <w:color w:val="FFFFFF" w:themeColor="background1"/>
                <w:sz w:val="16"/>
                <w:szCs w:val="16"/>
              </w:rPr>
              <w:t>Tipo de uso</w:t>
            </w:r>
          </w:p>
        </w:tc>
        <w:tc>
          <w:tcPr>
            <w:tcW w:w="9639" w:type="dxa"/>
            <w:shd w:val="clear" w:color="auto" w:fill="006FC0"/>
            <w:vAlign w:val="center"/>
          </w:tcPr>
          <w:p w14:paraId="7354D879" w14:textId="77777777" w:rsidR="004C0178" w:rsidRPr="009A501D" w:rsidRDefault="004C0178" w:rsidP="00664A1D">
            <w:pPr>
              <w:jc w:val="center"/>
              <w:rPr>
                <w:rFonts w:ascii="Century Gothic" w:hAnsi="Century Gothic"/>
                <w:b/>
                <w:sz w:val="19"/>
                <w:szCs w:val="19"/>
              </w:rPr>
            </w:pPr>
            <w:r w:rsidRPr="009A501D">
              <w:rPr>
                <w:rFonts w:ascii="Century Gothic" w:hAnsi="Century Gothic"/>
                <w:b/>
                <w:color w:val="FFFFFF" w:themeColor="background1"/>
                <w:sz w:val="16"/>
                <w:szCs w:val="16"/>
              </w:rPr>
              <w:t>Indicadores de pertinencia</w:t>
            </w:r>
          </w:p>
        </w:tc>
        <w:tc>
          <w:tcPr>
            <w:tcW w:w="708" w:type="dxa"/>
            <w:shd w:val="clear" w:color="auto" w:fill="006FC0"/>
            <w:vAlign w:val="center"/>
          </w:tcPr>
          <w:p w14:paraId="190180C3" w14:textId="77777777" w:rsidR="004C0178" w:rsidRPr="009A501D" w:rsidRDefault="004C0178" w:rsidP="00664A1D">
            <w:pPr>
              <w:jc w:val="center"/>
              <w:rPr>
                <w:rFonts w:ascii="Century Gothic" w:hAnsi="Century Gothic"/>
                <w:b/>
                <w:sz w:val="19"/>
                <w:szCs w:val="19"/>
              </w:rPr>
            </w:pPr>
            <w:r w:rsidRPr="009A501D">
              <w:rPr>
                <w:rFonts w:ascii="Century Gothic" w:hAnsi="Century Gothic"/>
                <w:b/>
                <w:color w:val="FFFFFF" w:themeColor="background1"/>
                <w:sz w:val="16"/>
                <w:szCs w:val="16"/>
              </w:rPr>
              <w:t>2019</w:t>
            </w:r>
          </w:p>
        </w:tc>
        <w:tc>
          <w:tcPr>
            <w:tcW w:w="709" w:type="dxa"/>
            <w:shd w:val="clear" w:color="auto" w:fill="006FC0"/>
            <w:vAlign w:val="center"/>
          </w:tcPr>
          <w:p w14:paraId="69B57468" w14:textId="77777777" w:rsidR="004C0178" w:rsidRPr="009A501D" w:rsidRDefault="004C0178" w:rsidP="00664A1D">
            <w:pPr>
              <w:jc w:val="center"/>
              <w:rPr>
                <w:rFonts w:ascii="Century Gothic" w:hAnsi="Century Gothic"/>
                <w:b/>
                <w:sz w:val="19"/>
                <w:szCs w:val="19"/>
              </w:rPr>
            </w:pPr>
            <w:r w:rsidRPr="009A501D">
              <w:rPr>
                <w:rFonts w:ascii="Century Gothic" w:hAnsi="Century Gothic"/>
                <w:b/>
                <w:color w:val="FFFFFF" w:themeColor="background1"/>
                <w:sz w:val="16"/>
                <w:szCs w:val="16"/>
              </w:rPr>
              <w:t>2020</w:t>
            </w:r>
          </w:p>
        </w:tc>
        <w:tc>
          <w:tcPr>
            <w:tcW w:w="709" w:type="dxa"/>
            <w:shd w:val="clear" w:color="auto" w:fill="006FC0"/>
            <w:vAlign w:val="center"/>
          </w:tcPr>
          <w:p w14:paraId="713FA321" w14:textId="77777777" w:rsidR="004C0178" w:rsidRPr="009A501D" w:rsidRDefault="004C0178" w:rsidP="00664A1D">
            <w:pPr>
              <w:jc w:val="center"/>
              <w:rPr>
                <w:rFonts w:ascii="Century Gothic" w:hAnsi="Century Gothic"/>
                <w:b/>
                <w:sz w:val="19"/>
                <w:szCs w:val="19"/>
              </w:rPr>
            </w:pPr>
            <w:r w:rsidRPr="009A501D">
              <w:rPr>
                <w:rFonts w:ascii="Century Gothic" w:hAnsi="Century Gothic"/>
                <w:b/>
                <w:color w:val="FFFFFF" w:themeColor="background1"/>
                <w:sz w:val="16"/>
                <w:szCs w:val="16"/>
              </w:rPr>
              <w:t>2021*</w:t>
            </w:r>
          </w:p>
        </w:tc>
        <w:tc>
          <w:tcPr>
            <w:tcW w:w="709" w:type="dxa"/>
            <w:shd w:val="clear" w:color="auto" w:fill="006FC0"/>
          </w:tcPr>
          <w:p w14:paraId="6745A918" w14:textId="118A5945" w:rsidR="004C0178" w:rsidRPr="009A501D" w:rsidRDefault="004C0178" w:rsidP="00664A1D">
            <w:pPr>
              <w:jc w:val="center"/>
              <w:rPr>
                <w:rFonts w:ascii="Century Gothic" w:hAnsi="Century Gothic"/>
                <w:b/>
                <w:color w:val="FFFFFF" w:themeColor="background1"/>
                <w:sz w:val="16"/>
                <w:szCs w:val="16"/>
              </w:rPr>
            </w:pPr>
            <w:r w:rsidRPr="009A501D">
              <w:rPr>
                <w:rFonts w:ascii="Century Gothic" w:hAnsi="Century Gothic"/>
                <w:b/>
                <w:color w:val="FFFFFF" w:themeColor="background1"/>
                <w:sz w:val="16"/>
                <w:szCs w:val="16"/>
              </w:rPr>
              <w:t>2022</w:t>
            </w:r>
          </w:p>
        </w:tc>
      </w:tr>
      <w:tr w:rsidR="004C0178" w:rsidRPr="009A501D" w14:paraId="4B7F5029" w14:textId="7674E498" w:rsidTr="00643EBD">
        <w:tc>
          <w:tcPr>
            <w:tcW w:w="421" w:type="dxa"/>
            <w:vMerge w:val="restart"/>
            <w:shd w:val="clear" w:color="auto" w:fill="D9D9D9"/>
            <w:textDirection w:val="btLr"/>
          </w:tcPr>
          <w:p w14:paraId="1A4C7729" w14:textId="77777777" w:rsidR="004C0178" w:rsidRPr="009A501D" w:rsidRDefault="004C0178" w:rsidP="00664A1D">
            <w:pPr>
              <w:ind w:left="113" w:right="113"/>
              <w:jc w:val="both"/>
              <w:rPr>
                <w:rFonts w:ascii="Century Gothic" w:hAnsi="Century Gothic"/>
                <w:sz w:val="16"/>
                <w:szCs w:val="16"/>
              </w:rPr>
            </w:pPr>
            <w:r w:rsidRPr="009A501D">
              <w:rPr>
                <w:rFonts w:ascii="Century Gothic" w:hAnsi="Century Gothic"/>
                <w:sz w:val="16"/>
                <w:szCs w:val="16"/>
              </w:rPr>
              <w:t>Interno</w:t>
            </w:r>
          </w:p>
        </w:tc>
        <w:tc>
          <w:tcPr>
            <w:tcW w:w="1134" w:type="dxa"/>
            <w:vMerge w:val="restart"/>
            <w:shd w:val="clear" w:color="auto" w:fill="D9D9D9"/>
            <w:vAlign w:val="center"/>
          </w:tcPr>
          <w:p w14:paraId="02840F8E" w14:textId="77777777" w:rsidR="004C0178" w:rsidRPr="009A501D" w:rsidRDefault="004C0178" w:rsidP="00664A1D">
            <w:pPr>
              <w:jc w:val="center"/>
              <w:rPr>
                <w:rFonts w:ascii="Century Gothic" w:hAnsi="Century Gothic"/>
                <w:sz w:val="19"/>
                <w:szCs w:val="19"/>
              </w:rPr>
            </w:pPr>
            <w:r w:rsidRPr="009A501D">
              <w:rPr>
                <w:rFonts w:ascii="Century Gothic" w:hAnsi="Century Gothic"/>
                <w:bCs/>
                <w:sz w:val="16"/>
                <w:szCs w:val="16"/>
              </w:rPr>
              <w:t>Insumo de otros programas del INEGI</w:t>
            </w:r>
          </w:p>
        </w:tc>
        <w:tc>
          <w:tcPr>
            <w:tcW w:w="9639" w:type="dxa"/>
            <w:shd w:val="clear" w:color="auto" w:fill="D9D9D9"/>
            <w:vAlign w:val="center"/>
          </w:tcPr>
          <w:p w14:paraId="1F555BC8" w14:textId="590C8ABE" w:rsidR="004C0178" w:rsidRPr="009A501D" w:rsidRDefault="004C0178" w:rsidP="00664A1D">
            <w:pPr>
              <w:jc w:val="both"/>
              <w:rPr>
                <w:rFonts w:ascii="Century Gothic" w:hAnsi="Century Gothic"/>
                <w:sz w:val="19"/>
                <w:szCs w:val="19"/>
              </w:rPr>
            </w:pPr>
            <w:r w:rsidRPr="009A501D">
              <w:rPr>
                <w:rFonts w:ascii="Century Gothic" w:hAnsi="Century Gothic"/>
                <w:bCs/>
                <w:sz w:val="16"/>
                <w:szCs w:val="16"/>
              </w:rPr>
              <w:t xml:space="preserve">Porcentaje de </w:t>
            </w:r>
            <w:r w:rsidR="00484BAC" w:rsidRPr="009A501D">
              <w:rPr>
                <w:rFonts w:ascii="Century Gothic" w:hAnsi="Century Gothic"/>
                <w:bCs/>
                <w:sz w:val="16"/>
                <w:szCs w:val="16"/>
              </w:rPr>
              <w:t>programas</w:t>
            </w:r>
            <w:r w:rsidRPr="009A501D">
              <w:rPr>
                <w:rFonts w:ascii="Century Gothic" w:hAnsi="Century Gothic"/>
                <w:bCs/>
                <w:sz w:val="16"/>
                <w:szCs w:val="16"/>
              </w:rPr>
              <w:t xml:space="preserve"> de información estadística y geográfica del INEGI que se utilizan </w:t>
            </w:r>
            <w:r w:rsidRPr="009A501D">
              <w:rPr>
                <w:rFonts w:ascii="Century Gothic" w:hAnsi="Century Gothic"/>
                <w:bCs/>
                <w:sz w:val="16"/>
                <w:szCs w:val="16"/>
                <w:u w:val="single"/>
              </w:rPr>
              <w:t>solamente como insumos para otros programas del INEGI</w:t>
            </w:r>
            <w:r w:rsidRPr="009A501D">
              <w:rPr>
                <w:rFonts w:ascii="Century Gothic" w:hAnsi="Century Gothic"/>
                <w:bCs/>
                <w:sz w:val="16"/>
                <w:szCs w:val="16"/>
              </w:rPr>
              <w:t>.</w:t>
            </w:r>
          </w:p>
        </w:tc>
        <w:tc>
          <w:tcPr>
            <w:tcW w:w="708" w:type="dxa"/>
            <w:shd w:val="clear" w:color="auto" w:fill="D9D9D9"/>
            <w:vAlign w:val="center"/>
          </w:tcPr>
          <w:p w14:paraId="28AECD0B" w14:textId="77777777" w:rsidR="004C0178" w:rsidRPr="009A501D" w:rsidRDefault="004C0178" w:rsidP="0022226D">
            <w:pPr>
              <w:jc w:val="center"/>
              <w:rPr>
                <w:rFonts w:ascii="Century Gothic" w:hAnsi="Century Gothic"/>
                <w:sz w:val="19"/>
                <w:szCs w:val="19"/>
              </w:rPr>
            </w:pPr>
            <w:r w:rsidRPr="009A501D">
              <w:rPr>
                <w:rFonts w:ascii="Century Gothic" w:hAnsi="Century Gothic"/>
                <w:bCs/>
                <w:sz w:val="16"/>
                <w:szCs w:val="16"/>
              </w:rPr>
              <w:t>0%</w:t>
            </w:r>
          </w:p>
        </w:tc>
        <w:tc>
          <w:tcPr>
            <w:tcW w:w="709" w:type="dxa"/>
            <w:shd w:val="clear" w:color="auto" w:fill="D9D9D9"/>
            <w:vAlign w:val="center"/>
          </w:tcPr>
          <w:p w14:paraId="54FCF11E" w14:textId="77777777" w:rsidR="004C0178" w:rsidRPr="009A501D" w:rsidRDefault="004C0178" w:rsidP="0022226D">
            <w:pPr>
              <w:jc w:val="center"/>
              <w:rPr>
                <w:rFonts w:ascii="Century Gothic" w:hAnsi="Century Gothic"/>
                <w:sz w:val="19"/>
                <w:szCs w:val="19"/>
              </w:rPr>
            </w:pPr>
            <w:r w:rsidRPr="009A501D">
              <w:rPr>
                <w:rFonts w:ascii="Century Gothic" w:hAnsi="Century Gothic"/>
                <w:bCs/>
                <w:sz w:val="16"/>
                <w:szCs w:val="16"/>
              </w:rPr>
              <w:t>1%*</w:t>
            </w:r>
          </w:p>
        </w:tc>
        <w:tc>
          <w:tcPr>
            <w:tcW w:w="709" w:type="dxa"/>
            <w:shd w:val="clear" w:color="auto" w:fill="D9D9D9"/>
            <w:vAlign w:val="center"/>
          </w:tcPr>
          <w:p w14:paraId="06BAE8BD" w14:textId="77777777" w:rsidR="004C0178" w:rsidRPr="009A501D" w:rsidRDefault="004C0178" w:rsidP="0022226D">
            <w:pPr>
              <w:jc w:val="center"/>
              <w:rPr>
                <w:rFonts w:ascii="Century Gothic" w:hAnsi="Century Gothic"/>
                <w:sz w:val="19"/>
                <w:szCs w:val="19"/>
              </w:rPr>
            </w:pPr>
            <w:r w:rsidRPr="009A501D">
              <w:rPr>
                <w:rFonts w:ascii="Century Gothic" w:eastAsia="Calibri" w:hAnsi="Century Gothic"/>
                <w:color w:val="000000"/>
                <w:kern w:val="24"/>
                <w:sz w:val="16"/>
                <w:szCs w:val="16"/>
              </w:rPr>
              <w:t>2%**</w:t>
            </w:r>
          </w:p>
        </w:tc>
        <w:tc>
          <w:tcPr>
            <w:tcW w:w="709" w:type="dxa"/>
            <w:shd w:val="clear" w:color="auto" w:fill="D9D9D9"/>
            <w:vAlign w:val="center"/>
          </w:tcPr>
          <w:p w14:paraId="7D72841D" w14:textId="5D7B7698"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1%</w:t>
            </w:r>
            <w:r w:rsidR="00F2702B" w:rsidRPr="009A501D">
              <w:rPr>
                <w:rFonts w:ascii="Century Gothic" w:hAnsi="Century Gothic"/>
                <w:bCs/>
                <w:color w:val="000000" w:themeColor="text1"/>
                <w:sz w:val="16"/>
                <w:szCs w:val="16"/>
              </w:rPr>
              <w:t>***</w:t>
            </w:r>
          </w:p>
        </w:tc>
      </w:tr>
      <w:tr w:rsidR="004C0178" w:rsidRPr="009A501D" w14:paraId="6BA5A033" w14:textId="2D435821" w:rsidTr="00643EBD">
        <w:tc>
          <w:tcPr>
            <w:tcW w:w="421" w:type="dxa"/>
            <w:vMerge/>
            <w:shd w:val="clear" w:color="auto" w:fill="D9D9D9"/>
          </w:tcPr>
          <w:p w14:paraId="6E3302E4" w14:textId="77777777" w:rsidR="004C0178" w:rsidRPr="009A501D" w:rsidRDefault="004C0178" w:rsidP="00664A1D">
            <w:pPr>
              <w:jc w:val="both"/>
              <w:rPr>
                <w:rFonts w:ascii="Century Gothic" w:hAnsi="Century Gothic"/>
                <w:sz w:val="19"/>
                <w:szCs w:val="19"/>
              </w:rPr>
            </w:pPr>
          </w:p>
        </w:tc>
        <w:tc>
          <w:tcPr>
            <w:tcW w:w="1134" w:type="dxa"/>
            <w:vMerge/>
            <w:shd w:val="clear" w:color="auto" w:fill="D9D9D9"/>
            <w:vAlign w:val="center"/>
          </w:tcPr>
          <w:p w14:paraId="3602E867" w14:textId="77777777" w:rsidR="004C0178" w:rsidRPr="009A501D" w:rsidRDefault="004C0178" w:rsidP="00664A1D">
            <w:pPr>
              <w:jc w:val="both"/>
              <w:rPr>
                <w:rFonts w:ascii="Century Gothic" w:hAnsi="Century Gothic"/>
                <w:sz w:val="19"/>
                <w:szCs w:val="19"/>
              </w:rPr>
            </w:pPr>
          </w:p>
        </w:tc>
        <w:tc>
          <w:tcPr>
            <w:tcW w:w="9639" w:type="dxa"/>
            <w:shd w:val="clear" w:color="auto" w:fill="D9D9D9"/>
            <w:vAlign w:val="center"/>
          </w:tcPr>
          <w:p w14:paraId="289A8FC3" w14:textId="4572AA5E" w:rsidR="004C0178" w:rsidRPr="009A501D" w:rsidRDefault="004C0178" w:rsidP="00664A1D">
            <w:pPr>
              <w:jc w:val="both"/>
              <w:rPr>
                <w:rFonts w:ascii="Century Gothic" w:hAnsi="Century Gothic"/>
                <w:sz w:val="19"/>
                <w:szCs w:val="19"/>
              </w:rPr>
            </w:pPr>
            <w:r w:rsidRPr="009A501D">
              <w:rPr>
                <w:rFonts w:ascii="Century Gothic" w:hAnsi="Century Gothic"/>
                <w:bCs/>
                <w:sz w:val="16"/>
                <w:szCs w:val="16"/>
              </w:rPr>
              <w:t xml:space="preserve">Porcentaje de </w:t>
            </w:r>
            <w:r w:rsidR="00484BAC" w:rsidRPr="009A501D">
              <w:rPr>
                <w:rFonts w:ascii="Century Gothic" w:hAnsi="Century Gothic"/>
                <w:bCs/>
                <w:sz w:val="16"/>
                <w:szCs w:val="16"/>
              </w:rPr>
              <w:t>programas</w:t>
            </w:r>
            <w:r w:rsidRPr="009A501D">
              <w:rPr>
                <w:rFonts w:ascii="Century Gothic" w:hAnsi="Century Gothic"/>
                <w:bCs/>
                <w:sz w:val="16"/>
                <w:szCs w:val="16"/>
              </w:rPr>
              <w:t xml:space="preserve"> de información estadística y geográfica del INEGI que se utilizan como insumo de otros programas y en algún otro referente.</w:t>
            </w:r>
          </w:p>
        </w:tc>
        <w:tc>
          <w:tcPr>
            <w:tcW w:w="708" w:type="dxa"/>
            <w:shd w:val="clear" w:color="auto" w:fill="D9D9D9"/>
            <w:vAlign w:val="center"/>
          </w:tcPr>
          <w:p w14:paraId="4C89E53C" w14:textId="77777777" w:rsidR="004C0178" w:rsidRPr="009A501D" w:rsidRDefault="004C0178" w:rsidP="0022226D">
            <w:pPr>
              <w:jc w:val="center"/>
              <w:rPr>
                <w:rFonts w:ascii="Century Gothic" w:hAnsi="Century Gothic"/>
                <w:sz w:val="19"/>
                <w:szCs w:val="19"/>
              </w:rPr>
            </w:pPr>
            <w:r w:rsidRPr="009A501D">
              <w:rPr>
                <w:rFonts w:ascii="Century Gothic" w:hAnsi="Century Gothic"/>
                <w:bCs/>
                <w:sz w:val="16"/>
                <w:szCs w:val="16"/>
              </w:rPr>
              <w:t>50%</w:t>
            </w:r>
          </w:p>
        </w:tc>
        <w:tc>
          <w:tcPr>
            <w:tcW w:w="709" w:type="dxa"/>
            <w:shd w:val="clear" w:color="auto" w:fill="D9D9D9"/>
            <w:vAlign w:val="center"/>
          </w:tcPr>
          <w:p w14:paraId="612C0DE1" w14:textId="77777777" w:rsidR="004C0178" w:rsidRPr="009A501D" w:rsidRDefault="004C0178" w:rsidP="0022226D">
            <w:pPr>
              <w:jc w:val="center"/>
              <w:rPr>
                <w:rFonts w:ascii="Century Gothic" w:hAnsi="Century Gothic"/>
                <w:sz w:val="19"/>
                <w:szCs w:val="19"/>
              </w:rPr>
            </w:pPr>
            <w:r w:rsidRPr="009A501D">
              <w:rPr>
                <w:rFonts w:ascii="Century Gothic" w:hAnsi="Century Gothic"/>
                <w:bCs/>
                <w:sz w:val="16"/>
                <w:szCs w:val="16"/>
              </w:rPr>
              <w:t>53%</w:t>
            </w:r>
          </w:p>
        </w:tc>
        <w:tc>
          <w:tcPr>
            <w:tcW w:w="709" w:type="dxa"/>
            <w:shd w:val="clear" w:color="auto" w:fill="D9D9D9"/>
            <w:vAlign w:val="center"/>
          </w:tcPr>
          <w:p w14:paraId="721D5DD5" w14:textId="77777777" w:rsidR="004C0178" w:rsidRPr="009A501D" w:rsidRDefault="004C0178" w:rsidP="0022226D">
            <w:pPr>
              <w:jc w:val="center"/>
              <w:rPr>
                <w:rFonts w:ascii="Century Gothic" w:hAnsi="Century Gothic"/>
                <w:sz w:val="19"/>
                <w:szCs w:val="19"/>
              </w:rPr>
            </w:pPr>
            <w:r w:rsidRPr="009A501D">
              <w:rPr>
                <w:rFonts w:ascii="Century Gothic" w:eastAsia="Calibri" w:hAnsi="Century Gothic"/>
                <w:color w:val="000000"/>
                <w:kern w:val="24"/>
                <w:sz w:val="16"/>
                <w:szCs w:val="16"/>
              </w:rPr>
              <w:t>43%</w:t>
            </w:r>
          </w:p>
        </w:tc>
        <w:tc>
          <w:tcPr>
            <w:tcW w:w="709" w:type="dxa"/>
            <w:shd w:val="clear" w:color="auto" w:fill="D9D9D9"/>
            <w:vAlign w:val="center"/>
          </w:tcPr>
          <w:p w14:paraId="0B98ACC1" w14:textId="5DAAB96F"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48%</w:t>
            </w:r>
          </w:p>
        </w:tc>
      </w:tr>
      <w:tr w:rsidR="004C0178" w:rsidRPr="009A501D" w14:paraId="7B95409A" w14:textId="7B281584" w:rsidTr="00643EBD">
        <w:tc>
          <w:tcPr>
            <w:tcW w:w="421" w:type="dxa"/>
            <w:vMerge w:val="restart"/>
            <w:shd w:val="clear" w:color="auto" w:fill="9FD5FF"/>
            <w:textDirection w:val="btLr"/>
          </w:tcPr>
          <w:p w14:paraId="4BFFAD0D" w14:textId="77777777" w:rsidR="004C0178" w:rsidRPr="009A501D" w:rsidRDefault="004C0178" w:rsidP="00664A1D">
            <w:pPr>
              <w:ind w:left="113" w:right="113"/>
              <w:jc w:val="both"/>
              <w:rPr>
                <w:rFonts w:ascii="Century Gothic" w:hAnsi="Century Gothic"/>
                <w:sz w:val="16"/>
                <w:szCs w:val="16"/>
              </w:rPr>
            </w:pPr>
            <w:r w:rsidRPr="009A501D">
              <w:rPr>
                <w:rFonts w:ascii="Century Gothic" w:hAnsi="Century Gothic"/>
                <w:sz w:val="16"/>
                <w:szCs w:val="16"/>
              </w:rPr>
              <w:t>Externo</w:t>
            </w:r>
          </w:p>
        </w:tc>
        <w:tc>
          <w:tcPr>
            <w:tcW w:w="1134" w:type="dxa"/>
            <w:vMerge w:val="restart"/>
            <w:shd w:val="clear" w:color="auto" w:fill="9FD5FF"/>
            <w:vAlign w:val="center"/>
          </w:tcPr>
          <w:p w14:paraId="2A9EB48D" w14:textId="77777777" w:rsidR="004C0178" w:rsidRPr="009A501D" w:rsidRDefault="004C0178" w:rsidP="00664A1D">
            <w:pPr>
              <w:jc w:val="center"/>
              <w:rPr>
                <w:rFonts w:ascii="Century Gothic" w:hAnsi="Century Gothic"/>
                <w:sz w:val="16"/>
                <w:szCs w:val="16"/>
              </w:rPr>
            </w:pPr>
            <w:r w:rsidRPr="009A501D">
              <w:rPr>
                <w:rFonts w:ascii="Century Gothic" w:hAnsi="Century Gothic"/>
                <w:sz w:val="16"/>
                <w:szCs w:val="16"/>
              </w:rPr>
              <w:t>Atención a disposiciones legales</w:t>
            </w:r>
          </w:p>
        </w:tc>
        <w:tc>
          <w:tcPr>
            <w:tcW w:w="9639" w:type="dxa"/>
            <w:shd w:val="clear" w:color="auto" w:fill="9FD5FF"/>
            <w:vAlign w:val="center"/>
          </w:tcPr>
          <w:p w14:paraId="25813D1F" w14:textId="069502EE"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que atienden las disposiciones en la Constitución y Leyes Nacionales.</w:t>
            </w:r>
          </w:p>
        </w:tc>
        <w:tc>
          <w:tcPr>
            <w:tcW w:w="708" w:type="dxa"/>
            <w:shd w:val="clear" w:color="auto" w:fill="9FD5FF"/>
            <w:vAlign w:val="center"/>
          </w:tcPr>
          <w:p w14:paraId="6A129511"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32%</w:t>
            </w:r>
          </w:p>
        </w:tc>
        <w:tc>
          <w:tcPr>
            <w:tcW w:w="709" w:type="dxa"/>
            <w:shd w:val="clear" w:color="auto" w:fill="9FD5FF"/>
            <w:vAlign w:val="center"/>
          </w:tcPr>
          <w:p w14:paraId="65ED9FF7"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38%</w:t>
            </w:r>
          </w:p>
        </w:tc>
        <w:tc>
          <w:tcPr>
            <w:tcW w:w="709" w:type="dxa"/>
            <w:shd w:val="clear" w:color="auto" w:fill="9FD5FF"/>
            <w:vAlign w:val="center"/>
          </w:tcPr>
          <w:p w14:paraId="681EAB0F"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33%</w:t>
            </w:r>
          </w:p>
        </w:tc>
        <w:tc>
          <w:tcPr>
            <w:tcW w:w="709" w:type="dxa"/>
            <w:shd w:val="clear" w:color="auto" w:fill="9FD5FF"/>
            <w:vAlign w:val="center"/>
          </w:tcPr>
          <w:p w14:paraId="4BCE6C01" w14:textId="068486F8"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40%</w:t>
            </w:r>
          </w:p>
        </w:tc>
      </w:tr>
      <w:tr w:rsidR="004C0178" w:rsidRPr="009A501D" w14:paraId="5CC49E96" w14:textId="4912305D" w:rsidTr="00643EBD">
        <w:tc>
          <w:tcPr>
            <w:tcW w:w="421" w:type="dxa"/>
            <w:vMerge/>
            <w:shd w:val="clear" w:color="auto" w:fill="9FD5FF"/>
          </w:tcPr>
          <w:p w14:paraId="27DC5234" w14:textId="77777777" w:rsidR="004C0178" w:rsidRPr="009A501D" w:rsidRDefault="004C0178" w:rsidP="00664A1D">
            <w:pPr>
              <w:jc w:val="both"/>
              <w:rPr>
                <w:rFonts w:ascii="Century Gothic" w:hAnsi="Century Gothic"/>
                <w:sz w:val="19"/>
                <w:szCs w:val="19"/>
              </w:rPr>
            </w:pPr>
          </w:p>
        </w:tc>
        <w:tc>
          <w:tcPr>
            <w:tcW w:w="1134" w:type="dxa"/>
            <w:vMerge/>
            <w:shd w:val="clear" w:color="auto" w:fill="9FD5FF"/>
            <w:vAlign w:val="center"/>
          </w:tcPr>
          <w:p w14:paraId="4A4A4AEA" w14:textId="77777777" w:rsidR="004C0178" w:rsidRPr="009A501D" w:rsidRDefault="004C0178" w:rsidP="00664A1D">
            <w:pPr>
              <w:jc w:val="both"/>
              <w:rPr>
                <w:rFonts w:ascii="Century Gothic" w:hAnsi="Century Gothic"/>
                <w:sz w:val="16"/>
                <w:szCs w:val="16"/>
              </w:rPr>
            </w:pPr>
          </w:p>
        </w:tc>
        <w:tc>
          <w:tcPr>
            <w:tcW w:w="9639" w:type="dxa"/>
            <w:shd w:val="clear" w:color="auto" w:fill="9FD5FF"/>
            <w:vAlign w:val="center"/>
          </w:tcPr>
          <w:p w14:paraId="1F28CB6D" w14:textId="6726FB61"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que atienden las disposiciones en Tratados Internacionales.</w:t>
            </w:r>
          </w:p>
        </w:tc>
        <w:tc>
          <w:tcPr>
            <w:tcW w:w="708" w:type="dxa"/>
            <w:shd w:val="clear" w:color="auto" w:fill="9FD5FF"/>
            <w:vAlign w:val="center"/>
          </w:tcPr>
          <w:p w14:paraId="7B10D4F5"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24%</w:t>
            </w:r>
          </w:p>
        </w:tc>
        <w:tc>
          <w:tcPr>
            <w:tcW w:w="709" w:type="dxa"/>
            <w:shd w:val="clear" w:color="auto" w:fill="9FD5FF"/>
            <w:vAlign w:val="center"/>
          </w:tcPr>
          <w:p w14:paraId="4FC6BC54"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40%</w:t>
            </w:r>
          </w:p>
        </w:tc>
        <w:tc>
          <w:tcPr>
            <w:tcW w:w="709" w:type="dxa"/>
            <w:shd w:val="clear" w:color="auto" w:fill="9FD5FF"/>
            <w:vAlign w:val="center"/>
          </w:tcPr>
          <w:p w14:paraId="1633D023"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34%</w:t>
            </w:r>
          </w:p>
        </w:tc>
        <w:tc>
          <w:tcPr>
            <w:tcW w:w="709" w:type="dxa"/>
            <w:shd w:val="clear" w:color="auto" w:fill="9FD5FF"/>
            <w:vAlign w:val="center"/>
          </w:tcPr>
          <w:p w14:paraId="59D63CFF" w14:textId="5CF4F498"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41%</w:t>
            </w:r>
          </w:p>
        </w:tc>
      </w:tr>
      <w:tr w:rsidR="004C0178" w:rsidRPr="009A501D" w14:paraId="2BF0FC48" w14:textId="0AEEDAFB" w:rsidTr="00643EBD">
        <w:tc>
          <w:tcPr>
            <w:tcW w:w="421" w:type="dxa"/>
            <w:vMerge/>
            <w:shd w:val="clear" w:color="auto" w:fill="9FD5FF"/>
          </w:tcPr>
          <w:p w14:paraId="7E04D274" w14:textId="77777777" w:rsidR="004C0178" w:rsidRPr="009A501D" w:rsidRDefault="004C0178" w:rsidP="00664A1D">
            <w:pPr>
              <w:jc w:val="both"/>
              <w:rPr>
                <w:rFonts w:ascii="Century Gothic" w:hAnsi="Century Gothic"/>
                <w:sz w:val="19"/>
                <w:szCs w:val="19"/>
              </w:rPr>
            </w:pPr>
          </w:p>
        </w:tc>
        <w:tc>
          <w:tcPr>
            <w:tcW w:w="1134" w:type="dxa"/>
            <w:vMerge w:val="restart"/>
            <w:shd w:val="clear" w:color="auto" w:fill="C8E8FF"/>
            <w:vAlign w:val="center"/>
          </w:tcPr>
          <w:p w14:paraId="1A0AB6E9" w14:textId="77777777" w:rsidR="004C0178" w:rsidRPr="009A501D" w:rsidRDefault="004C0178" w:rsidP="00664A1D">
            <w:pPr>
              <w:jc w:val="center"/>
              <w:rPr>
                <w:rFonts w:ascii="Century Gothic" w:hAnsi="Century Gothic"/>
                <w:sz w:val="16"/>
                <w:szCs w:val="16"/>
              </w:rPr>
            </w:pPr>
            <w:r w:rsidRPr="009A501D">
              <w:rPr>
                <w:rFonts w:ascii="Century Gothic" w:hAnsi="Century Gothic"/>
                <w:sz w:val="16"/>
                <w:szCs w:val="16"/>
              </w:rPr>
              <w:t>Uso en la medición del desarrollo nacional</w:t>
            </w:r>
          </w:p>
        </w:tc>
        <w:tc>
          <w:tcPr>
            <w:tcW w:w="9639" w:type="dxa"/>
            <w:shd w:val="clear" w:color="auto" w:fill="C8E8FF"/>
            <w:vAlign w:val="center"/>
          </w:tcPr>
          <w:p w14:paraId="2817CB68" w14:textId="09E7DC19"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utilizados en el cálculo de Indicadores de los Objetivos de Desarrollo Sostenible.</w:t>
            </w:r>
          </w:p>
        </w:tc>
        <w:tc>
          <w:tcPr>
            <w:tcW w:w="708" w:type="dxa"/>
            <w:shd w:val="clear" w:color="auto" w:fill="C8E8FF"/>
            <w:vAlign w:val="center"/>
          </w:tcPr>
          <w:p w14:paraId="33E3288D"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19%</w:t>
            </w:r>
          </w:p>
        </w:tc>
        <w:tc>
          <w:tcPr>
            <w:tcW w:w="709" w:type="dxa"/>
            <w:shd w:val="clear" w:color="auto" w:fill="C8E8FF"/>
            <w:vAlign w:val="center"/>
          </w:tcPr>
          <w:p w14:paraId="2C9785E9"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32%</w:t>
            </w:r>
          </w:p>
        </w:tc>
        <w:tc>
          <w:tcPr>
            <w:tcW w:w="709" w:type="dxa"/>
            <w:shd w:val="clear" w:color="auto" w:fill="C8E8FF"/>
            <w:vAlign w:val="center"/>
          </w:tcPr>
          <w:p w14:paraId="4BF90992"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39%</w:t>
            </w:r>
          </w:p>
        </w:tc>
        <w:tc>
          <w:tcPr>
            <w:tcW w:w="709" w:type="dxa"/>
            <w:shd w:val="clear" w:color="auto" w:fill="C8E8FF"/>
            <w:vAlign w:val="center"/>
          </w:tcPr>
          <w:p w14:paraId="08538895" w14:textId="48F653FF"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42%</w:t>
            </w:r>
          </w:p>
        </w:tc>
      </w:tr>
      <w:tr w:rsidR="004C0178" w:rsidRPr="009A501D" w14:paraId="3A3B2D8E" w14:textId="07AB74DA" w:rsidTr="00643EBD">
        <w:tc>
          <w:tcPr>
            <w:tcW w:w="421" w:type="dxa"/>
            <w:vMerge/>
            <w:shd w:val="clear" w:color="auto" w:fill="9FD5FF"/>
          </w:tcPr>
          <w:p w14:paraId="570B329E" w14:textId="77777777" w:rsidR="004C0178" w:rsidRPr="009A501D" w:rsidRDefault="004C0178" w:rsidP="00664A1D">
            <w:pPr>
              <w:jc w:val="both"/>
              <w:rPr>
                <w:rFonts w:ascii="Century Gothic" w:hAnsi="Century Gothic"/>
                <w:sz w:val="19"/>
                <w:szCs w:val="19"/>
              </w:rPr>
            </w:pPr>
          </w:p>
        </w:tc>
        <w:tc>
          <w:tcPr>
            <w:tcW w:w="1134" w:type="dxa"/>
            <w:vMerge/>
            <w:shd w:val="clear" w:color="auto" w:fill="C8E8FF"/>
            <w:vAlign w:val="center"/>
          </w:tcPr>
          <w:p w14:paraId="63A1B6C8" w14:textId="77777777" w:rsidR="004C0178" w:rsidRPr="009A501D" w:rsidRDefault="004C0178" w:rsidP="00664A1D">
            <w:pPr>
              <w:jc w:val="both"/>
              <w:rPr>
                <w:rFonts w:ascii="Century Gothic" w:hAnsi="Century Gothic"/>
                <w:sz w:val="16"/>
                <w:szCs w:val="16"/>
              </w:rPr>
            </w:pPr>
          </w:p>
        </w:tc>
        <w:tc>
          <w:tcPr>
            <w:tcW w:w="9639" w:type="dxa"/>
            <w:shd w:val="clear" w:color="auto" w:fill="C8E8FF"/>
            <w:vAlign w:val="center"/>
          </w:tcPr>
          <w:p w14:paraId="4DEDF943" w14:textId="440745F1"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utilizados en el cálculo de Indicadores Clave.</w:t>
            </w:r>
          </w:p>
        </w:tc>
        <w:tc>
          <w:tcPr>
            <w:tcW w:w="708" w:type="dxa"/>
            <w:shd w:val="clear" w:color="auto" w:fill="C8E8FF"/>
            <w:vAlign w:val="center"/>
          </w:tcPr>
          <w:p w14:paraId="3D805AAE"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31%</w:t>
            </w:r>
          </w:p>
        </w:tc>
        <w:tc>
          <w:tcPr>
            <w:tcW w:w="709" w:type="dxa"/>
            <w:shd w:val="clear" w:color="auto" w:fill="C8E8FF"/>
            <w:vAlign w:val="center"/>
          </w:tcPr>
          <w:p w14:paraId="002388CD"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35%</w:t>
            </w:r>
          </w:p>
        </w:tc>
        <w:tc>
          <w:tcPr>
            <w:tcW w:w="709" w:type="dxa"/>
            <w:shd w:val="clear" w:color="auto" w:fill="C8E8FF"/>
            <w:vAlign w:val="center"/>
          </w:tcPr>
          <w:p w14:paraId="6E43CDCD"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33%</w:t>
            </w:r>
          </w:p>
        </w:tc>
        <w:tc>
          <w:tcPr>
            <w:tcW w:w="709" w:type="dxa"/>
            <w:shd w:val="clear" w:color="auto" w:fill="C8E8FF"/>
            <w:vAlign w:val="center"/>
          </w:tcPr>
          <w:p w14:paraId="57AE95ED" w14:textId="7F627954"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35%</w:t>
            </w:r>
          </w:p>
        </w:tc>
      </w:tr>
      <w:tr w:rsidR="004C0178" w:rsidRPr="009A501D" w14:paraId="1FD19A7C" w14:textId="5FBA90EB" w:rsidTr="00643EBD">
        <w:tc>
          <w:tcPr>
            <w:tcW w:w="421" w:type="dxa"/>
            <w:vMerge/>
            <w:shd w:val="clear" w:color="auto" w:fill="9FD5FF"/>
          </w:tcPr>
          <w:p w14:paraId="0B4F8106" w14:textId="77777777" w:rsidR="004C0178" w:rsidRPr="009A501D" w:rsidRDefault="004C0178" w:rsidP="00664A1D">
            <w:pPr>
              <w:jc w:val="both"/>
              <w:rPr>
                <w:rFonts w:ascii="Century Gothic" w:hAnsi="Century Gothic"/>
                <w:sz w:val="19"/>
                <w:szCs w:val="19"/>
              </w:rPr>
            </w:pPr>
          </w:p>
        </w:tc>
        <w:tc>
          <w:tcPr>
            <w:tcW w:w="1134" w:type="dxa"/>
            <w:vMerge/>
            <w:shd w:val="clear" w:color="auto" w:fill="C8E8FF"/>
            <w:vAlign w:val="center"/>
          </w:tcPr>
          <w:p w14:paraId="04156DE5" w14:textId="77777777" w:rsidR="004C0178" w:rsidRPr="009A501D" w:rsidRDefault="004C0178" w:rsidP="00664A1D">
            <w:pPr>
              <w:jc w:val="both"/>
              <w:rPr>
                <w:rFonts w:ascii="Century Gothic" w:hAnsi="Century Gothic"/>
                <w:sz w:val="16"/>
                <w:szCs w:val="16"/>
              </w:rPr>
            </w:pPr>
          </w:p>
        </w:tc>
        <w:tc>
          <w:tcPr>
            <w:tcW w:w="9639" w:type="dxa"/>
            <w:shd w:val="clear" w:color="auto" w:fill="C8E8FF"/>
            <w:vAlign w:val="center"/>
          </w:tcPr>
          <w:p w14:paraId="45258BD6" w14:textId="7D93901D"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utilizados en el cálculo de los indicadores de los Programas que se derivan del Plan Nacional de Desarrollo.</w:t>
            </w:r>
          </w:p>
        </w:tc>
        <w:tc>
          <w:tcPr>
            <w:tcW w:w="708" w:type="dxa"/>
            <w:shd w:val="clear" w:color="auto" w:fill="C8E8FF"/>
            <w:vAlign w:val="center"/>
          </w:tcPr>
          <w:p w14:paraId="4C725992"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1%</w:t>
            </w:r>
          </w:p>
        </w:tc>
        <w:tc>
          <w:tcPr>
            <w:tcW w:w="709" w:type="dxa"/>
            <w:shd w:val="clear" w:color="auto" w:fill="C8E8FF"/>
            <w:vAlign w:val="center"/>
          </w:tcPr>
          <w:p w14:paraId="59E32528"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35%</w:t>
            </w:r>
          </w:p>
        </w:tc>
        <w:tc>
          <w:tcPr>
            <w:tcW w:w="709" w:type="dxa"/>
            <w:shd w:val="clear" w:color="auto" w:fill="C8E8FF"/>
            <w:vAlign w:val="center"/>
          </w:tcPr>
          <w:p w14:paraId="7A1557AE"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47%</w:t>
            </w:r>
          </w:p>
        </w:tc>
        <w:tc>
          <w:tcPr>
            <w:tcW w:w="709" w:type="dxa"/>
            <w:shd w:val="clear" w:color="auto" w:fill="C8E8FF"/>
            <w:vAlign w:val="center"/>
          </w:tcPr>
          <w:p w14:paraId="13566FD3" w14:textId="4D220BFA"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43%</w:t>
            </w:r>
          </w:p>
        </w:tc>
      </w:tr>
      <w:tr w:rsidR="004C0178" w:rsidRPr="009A501D" w14:paraId="334E187E" w14:textId="760CAD11" w:rsidTr="00643EBD">
        <w:tc>
          <w:tcPr>
            <w:tcW w:w="421" w:type="dxa"/>
            <w:vMerge/>
            <w:shd w:val="clear" w:color="auto" w:fill="9FD5FF"/>
          </w:tcPr>
          <w:p w14:paraId="47204CA8" w14:textId="77777777" w:rsidR="004C0178" w:rsidRPr="009A501D" w:rsidRDefault="004C0178" w:rsidP="00664A1D">
            <w:pPr>
              <w:jc w:val="both"/>
              <w:rPr>
                <w:rFonts w:ascii="Century Gothic" w:hAnsi="Century Gothic"/>
                <w:sz w:val="19"/>
                <w:szCs w:val="19"/>
              </w:rPr>
            </w:pPr>
          </w:p>
        </w:tc>
        <w:tc>
          <w:tcPr>
            <w:tcW w:w="1134" w:type="dxa"/>
            <w:vMerge/>
            <w:shd w:val="clear" w:color="auto" w:fill="C8E8FF"/>
            <w:vAlign w:val="center"/>
          </w:tcPr>
          <w:p w14:paraId="3D29990E" w14:textId="77777777" w:rsidR="004C0178" w:rsidRPr="009A501D" w:rsidRDefault="004C0178" w:rsidP="00664A1D">
            <w:pPr>
              <w:jc w:val="both"/>
              <w:rPr>
                <w:rFonts w:ascii="Century Gothic" w:hAnsi="Century Gothic"/>
                <w:sz w:val="16"/>
                <w:szCs w:val="16"/>
              </w:rPr>
            </w:pPr>
          </w:p>
        </w:tc>
        <w:tc>
          <w:tcPr>
            <w:tcW w:w="9639" w:type="dxa"/>
            <w:shd w:val="clear" w:color="auto" w:fill="C8E8FF"/>
            <w:vAlign w:val="center"/>
          </w:tcPr>
          <w:p w14:paraId="7FE1879F" w14:textId="14A90A78"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relacionados con las Metas del Plan Nacional de Desarrollo.</w:t>
            </w:r>
          </w:p>
        </w:tc>
        <w:tc>
          <w:tcPr>
            <w:tcW w:w="708" w:type="dxa"/>
            <w:shd w:val="clear" w:color="auto" w:fill="C8E8FF"/>
            <w:vAlign w:val="center"/>
          </w:tcPr>
          <w:p w14:paraId="0A1CE14A"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69%</w:t>
            </w:r>
          </w:p>
        </w:tc>
        <w:tc>
          <w:tcPr>
            <w:tcW w:w="709" w:type="dxa"/>
            <w:shd w:val="clear" w:color="auto" w:fill="C8E8FF"/>
            <w:vAlign w:val="center"/>
          </w:tcPr>
          <w:p w14:paraId="10FB978C"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72%</w:t>
            </w:r>
          </w:p>
        </w:tc>
        <w:tc>
          <w:tcPr>
            <w:tcW w:w="709" w:type="dxa"/>
            <w:shd w:val="clear" w:color="auto" w:fill="C8E8FF"/>
            <w:vAlign w:val="center"/>
          </w:tcPr>
          <w:p w14:paraId="1EF18A29"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63%</w:t>
            </w:r>
          </w:p>
        </w:tc>
        <w:tc>
          <w:tcPr>
            <w:tcW w:w="709" w:type="dxa"/>
            <w:shd w:val="clear" w:color="auto" w:fill="C8E8FF"/>
            <w:vAlign w:val="center"/>
          </w:tcPr>
          <w:p w14:paraId="5F5866F3" w14:textId="12AC585F"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66%</w:t>
            </w:r>
          </w:p>
        </w:tc>
      </w:tr>
      <w:tr w:rsidR="004C0178" w:rsidRPr="009A501D" w14:paraId="23278FB9" w14:textId="5D726931" w:rsidTr="00643EBD">
        <w:tc>
          <w:tcPr>
            <w:tcW w:w="421" w:type="dxa"/>
            <w:vMerge/>
            <w:shd w:val="clear" w:color="auto" w:fill="9FD5FF"/>
          </w:tcPr>
          <w:p w14:paraId="560E6C32" w14:textId="77777777" w:rsidR="004C0178" w:rsidRPr="009A501D" w:rsidRDefault="004C0178" w:rsidP="00664A1D">
            <w:pPr>
              <w:jc w:val="both"/>
              <w:rPr>
                <w:rFonts w:ascii="Century Gothic" w:hAnsi="Century Gothic"/>
                <w:sz w:val="19"/>
                <w:szCs w:val="19"/>
              </w:rPr>
            </w:pPr>
          </w:p>
        </w:tc>
        <w:tc>
          <w:tcPr>
            <w:tcW w:w="1134" w:type="dxa"/>
            <w:vMerge w:val="restart"/>
            <w:shd w:val="clear" w:color="auto" w:fill="9FD5FF"/>
            <w:vAlign w:val="center"/>
          </w:tcPr>
          <w:p w14:paraId="02598C84" w14:textId="77777777" w:rsidR="004C0178" w:rsidRPr="009A501D" w:rsidRDefault="004C0178" w:rsidP="00664A1D">
            <w:pPr>
              <w:jc w:val="center"/>
              <w:rPr>
                <w:rFonts w:ascii="Century Gothic" w:hAnsi="Century Gothic"/>
                <w:sz w:val="16"/>
                <w:szCs w:val="16"/>
              </w:rPr>
            </w:pPr>
            <w:r w:rsidRPr="009A501D">
              <w:rPr>
                <w:rFonts w:ascii="Century Gothic" w:hAnsi="Century Gothic"/>
                <w:sz w:val="16"/>
                <w:szCs w:val="16"/>
              </w:rPr>
              <w:t>Consultas de usuarios</w:t>
            </w:r>
          </w:p>
        </w:tc>
        <w:tc>
          <w:tcPr>
            <w:tcW w:w="9639" w:type="dxa"/>
            <w:shd w:val="clear" w:color="auto" w:fill="9FD5FF"/>
            <w:vAlign w:val="center"/>
          </w:tcPr>
          <w:p w14:paraId="407048F8" w14:textId="2FA8C16A"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consultados a través del laboratorio de microdatos.</w:t>
            </w:r>
          </w:p>
        </w:tc>
        <w:tc>
          <w:tcPr>
            <w:tcW w:w="708" w:type="dxa"/>
            <w:shd w:val="clear" w:color="auto" w:fill="9FD5FF"/>
            <w:vAlign w:val="center"/>
          </w:tcPr>
          <w:p w14:paraId="2EAC2199"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70%</w:t>
            </w:r>
          </w:p>
        </w:tc>
        <w:tc>
          <w:tcPr>
            <w:tcW w:w="709" w:type="dxa"/>
            <w:shd w:val="clear" w:color="auto" w:fill="9FD5FF"/>
            <w:vAlign w:val="center"/>
          </w:tcPr>
          <w:p w14:paraId="1C91AA59"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45%</w:t>
            </w:r>
          </w:p>
        </w:tc>
        <w:tc>
          <w:tcPr>
            <w:tcW w:w="709" w:type="dxa"/>
            <w:shd w:val="clear" w:color="auto" w:fill="9FD5FF"/>
            <w:vAlign w:val="center"/>
          </w:tcPr>
          <w:p w14:paraId="1B40E1EA"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50%</w:t>
            </w:r>
          </w:p>
        </w:tc>
        <w:tc>
          <w:tcPr>
            <w:tcW w:w="709" w:type="dxa"/>
            <w:shd w:val="clear" w:color="auto" w:fill="9FD5FF"/>
            <w:vAlign w:val="center"/>
          </w:tcPr>
          <w:p w14:paraId="093A72BE" w14:textId="76988B11"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52%</w:t>
            </w:r>
          </w:p>
        </w:tc>
      </w:tr>
      <w:tr w:rsidR="004C0178" w:rsidRPr="009A501D" w14:paraId="435E085F" w14:textId="225092C1" w:rsidTr="00643EBD">
        <w:tc>
          <w:tcPr>
            <w:tcW w:w="421" w:type="dxa"/>
            <w:vMerge/>
            <w:shd w:val="clear" w:color="auto" w:fill="9FD5FF"/>
          </w:tcPr>
          <w:p w14:paraId="3FC16B26" w14:textId="77777777" w:rsidR="004C0178" w:rsidRPr="009A501D" w:rsidRDefault="004C0178" w:rsidP="00664A1D">
            <w:pPr>
              <w:jc w:val="both"/>
              <w:rPr>
                <w:rFonts w:ascii="Century Gothic" w:hAnsi="Century Gothic"/>
                <w:sz w:val="19"/>
                <w:szCs w:val="19"/>
              </w:rPr>
            </w:pPr>
          </w:p>
        </w:tc>
        <w:tc>
          <w:tcPr>
            <w:tcW w:w="1134" w:type="dxa"/>
            <w:vMerge/>
            <w:shd w:val="clear" w:color="auto" w:fill="9FD5FF"/>
            <w:vAlign w:val="center"/>
          </w:tcPr>
          <w:p w14:paraId="7A385A75" w14:textId="77777777" w:rsidR="004C0178" w:rsidRPr="009A501D" w:rsidRDefault="004C0178" w:rsidP="00664A1D">
            <w:pPr>
              <w:jc w:val="both"/>
              <w:rPr>
                <w:rFonts w:ascii="Century Gothic" w:hAnsi="Century Gothic"/>
                <w:sz w:val="16"/>
                <w:szCs w:val="16"/>
              </w:rPr>
            </w:pPr>
          </w:p>
        </w:tc>
        <w:tc>
          <w:tcPr>
            <w:tcW w:w="9639" w:type="dxa"/>
            <w:shd w:val="clear" w:color="auto" w:fill="9FD5FF"/>
            <w:vAlign w:val="center"/>
          </w:tcPr>
          <w:p w14:paraId="5EF3298C" w14:textId="1B7E8145" w:rsidR="004C0178" w:rsidRPr="009A501D" w:rsidRDefault="004C0178" w:rsidP="00664A1D">
            <w:pPr>
              <w:jc w:val="both"/>
              <w:rPr>
                <w:rFonts w:ascii="Century Gothic" w:hAnsi="Century Gothic"/>
                <w:sz w:val="16"/>
                <w:szCs w:val="16"/>
              </w:rPr>
            </w:pPr>
            <w:r w:rsidRPr="009A501D">
              <w:rPr>
                <w:rFonts w:ascii="Century Gothic" w:hAnsi="Century Gothic"/>
                <w:sz w:val="16"/>
                <w:szCs w:val="16"/>
              </w:rPr>
              <w:t xml:space="preserve">Porcentaje de </w:t>
            </w:r>
            <w:r w:rsidR="00484BAC" w:rsidRPr="009A501D">
              <w:rPr>
                <w:rFonts w:ascii="Century Gothic" w:hAnsi="Century Gothic"/>
                <w:sz w:val="16"/>
                <w:szCs w:val="16"/>
              </w:rPr>
              <w:t>programas</w:t>
            </w:r>
            <w:r w:rsidRPr="009A501D">
              <w:rPr>
                <w:rFonts w:ascii="Century Gothic" w:hAnsi="Century Gothic"/>
                <w:sz w:val="16"/>
                <w:szCs w:val="16"/>
              </w:rPr>
              <w:t xml:space="preserve"> de información estadística y geográfica del INEGI consultados en su página.</w:t>
            </w:r>
          </w:p>
        </w:tc>
        <w:tc>
          <w:tcPr>
            <w:tcW w:w="708" w:type="dxa"/>
            <w:shd w:val="clear" w:color="auto" w:fill="9FD5FF"/>
            <w:vAlign w:val="center"/>
          </w:tcPr>
          <w:p w14:paraId="318DC131"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100%</w:t>
            </w:r>
          </w:p>
        </w:tc>
        <w:tc>
          <w:tcPr>
            <w:tcW w:w="709" w:type="dxa"/>
            <w:shd w:val="clear" w:color="auto" w:fill="9FD5FF"/>
            <w:vAlign w:val="center"/>
          </w:tcPr>
          <w:p w14:paraId="26394CC5"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93%</w:t>
            </w:r>
          </w:p>
        </w:tc>
        <w:tc>
          <w:tcPr>
            <w:tcW w:w="709" w:type="dxa"/>
            <w:shd w:val="clear" w:color="auto" w:fill="9FD5FF"/>
            <w:vAlign w:val="center"/>
          </w:tcPr>
          <w:p w14:paraId="7F42DE7B" w14:textId="77777777" w:rsidR="004C0178" w:rsidRPr="009A501D" w:rsidRDefault="004C0178" w:rsidP="0022226D">
            <w:pPr>
              <w:jc w:val="center"/>
              <w:rPr>
                <w:rFonts w:ascii="Century Gothic" w:hAnsi="Century Gothic"/>
                <w:sz w:val="16"/>
                <w:szCs w:val="16"/>
              </w:rPr>
            </w:pPr>
            <w:r w:rsidRPr="009A501D">
              <w:rPr>
                <w:rFonts w:ascii="Century Gothic" w:hAnsi="Century Gothic"/>
                <w:sz w:val="16"/>
                <w:szCs w:val="16"/>
              </w:rPr>
              <w:t>94%</w:t>
            </w:r>
          </w:p>
        </w:tc>
        <w:tc>
          <w:tcPr>
            <w:tcW w:w="709" w:type="dxa"/>
            <w:shd w:val="clear" w:color="auto" w:fill="9FD5FF"/>
            <w:vAlign w:val="center"/>
          </w:tcPr>
          <w:p w14:paraId="081AC4A4" w14:textId="413A1D97" w:rsidR="004C0178" w:rsidRPr="009A501D" w:rsidRDefault="004C0178" w:rsidP="00664A1D">
            <w:pPr>
              <w:jc w:val="center"/>
              <w:rPr>
                <w:rFonts w:ascii="Century Gothic" w:hAnsi="Century Gothic"/>
                <w:bCs/>
                <w:color w:val="000000" w:themeColor="text1"/>
                <w:sz w:val="16"/>
                <w:szCs w:val="16"/>
              </w:rPr>
            </w:pPr>
            <w:r w:rsidRPr="009A501D">
              <w:rPr>
                <w:rFonts w:ascii="Century Gothic" w:hAnsi="Century Gothic"/>
                <w:bCs/>
                <w:color w:val="000000" w:themeColor="text1"/>
                <w:sz w:val="16"/>
                <w:szCs w:val="16"/>
              </w:rPr>
              <w:t>96%</w:t>
            </w:r>
          </w:p>
        </w:tc>
      </w:tr>
    </w:tbl>
    <w:p w14:paraId="09740FBD" w14:textId="28A72D2C" w:rsidR="00580CBB" w:rsidRPr="009A501D" w:rsidRDefault="00580CBB" w:rsidP="002B551A">
      <w:pPr>
        <w:spacing w:after="0"/>
        <w:ind w:right="366"/>
        <w:jc w:val="both"/>
        <w:rPr>
          <w:rFonts w:ascii="Century Gothic" w:hAnsi="Century Gothic"/>
          <w:sz w:val="14"/>
          <w:szCs w:val="14"/>
        </w:rPr>
      </w:pPr>
      <w:r w:rsidRPr="009A501D">
        <w:rPr>
          <w:rFonts w:ascii="Century Gothic" w:hAnsi="Century Gothic"/>
          <w:sz w:val="14"/>
          <w:szCs w:val="14"/>
        </w:rPr>
        <w:t>*En 202</w:t>
      </w:r>
      <w:r w:rsidR="00951728" w:rsidRPr="009A501D">
        <w:rPr>
          <w:rFonts w:ascii="Century Gothic" w:hAnsi="Century Gothic"/>
          <w:sz w:val="14"/>
          <w:szCs w:val="14"/>
        </w:rPr>
        <w:t>2</w:t>
      </w:r>
      <w:r w:rsidRPr="009A501D">
        <w:rPr>
          <w:rFonts w:ascii="Century Gothic" w:hAnsi="Century Gothic"/>
          <w:sz w:val="14"/>
          <w:szCs w:val="14"/>
        </w:rPr>
        <w:t xml:space="preserve"> se consideran solamente los programas de información </w:t>
      </w:r>
      <w:r w:rsidR="003E1639" w:rsidRPr="009A501D">
        <w:rPr>
          <w:rFonts w:ascii="Century Gothic" w:hAnsi="Century Gothic"/>
          <w:iCs/>
          <w:sz w:val="14"/>
          <w:szCs w:val="14"/>
        </w:rPr>
        <w:t xml:space="preserve">o procesos de producción </w:t>
      </w:r>
      <w:r w:rsidRPr="009A501D">
        <w:rPr>
          <w:rFonts w:ascii="Century Gothic" w:hAnsi="Century Gothic"/>
          <w:sz w:val="14"/>
          <w:szCs w:val="14"/>
        </w:rPr>
        <w:t>con estatus activo. En años previos no se contaba con la diferenciación por estatus de los programas de información</w:t>
      </w:r>
      <w:r w:rsidR="000B485C" w:rsidRPr="009A501D">
        <w:rPr>
          <w:rFonts w:ascii="Century Gothic" w:hAnsi="Century Gothic"/>
          <w:iCs/>
          <w:sz w:val="14"/>
          <w:szCs w:val="14"/>
        </w:rPr>
        <w:t xml:space="preserve"> o procesos de producción</w:t>
      </w:r>
      <w:r w:rsidRPr="009A501D">
        <w:rPr>
          <w:rFonts w:ascii="Century Gothic" w:hAnsi="Century Gothic"/>
          <w:sz w:val="14"/>
          <w:szCs w:val="14"/>
        </w:rPr>
        <w:t>.</w:t>
      </w:r>
    </w:p>
    <w:p w14:paraId="448C765D" w14:textId="43DD0AC5" w:rsidR="00580CBB" w:rsidRPr="009A501D" w:rsidRDefault="00580CBB" w:rsidP="002B551A">
      <w:pPr>
        <w:spacing w:after="0"/>
        <w:ind w:left="1440" w:right="366" w:hanging="1440"/>
        <w:jc w:val="both"/>
        <w:rPr>
          <w:rFonts w:ascii="Century Gothic" w:hAnsi="Century Gothic"/>
          <w:sz w:val="14"/>
          <w:szCs w:val="14"/>
        </w:rPr>
      </w:pPr>
      <w:r w:rsidRPr="009A501D">
        <w:rPr>
          <w:rFonts w:ascii="Century Gothic" w:hAnsi="Century Gothic"/>
          <w:sz w:val="14"/>
          <w:szCs w:val="14"/>
        </w:rPr>
        <w:t xml:space="preserve">**Los dos programas que presentan solamente uso interno son Marco Maestro de Muestreo </w:t>
      </w:r>
      <w:r w:rsidR="009D7AAA" w:rsidRPr="009A501D">
        <w:rPr>
          <w:rFonts w:ascii="Century Gothic" w:hAnsi="Century Gothic"/>
          <w:iCs/>
          <w:sz w:val="14"/>
          <w:szCs w:val="14"/>
        </w:rPr>
        <w:t>e</w:t>
      </w:r>
      <w:r w:rsidRPr="009A501D">
        <w:rPr>
          <w:rFonts w:ascii="Century Gothic" w:hAnsi="Century Gothic"/>
          <w:sz w:val="14"/>
          <w:szCs w:val="14"/>
        </w:rPr>
        <w:t xml:space="preserve"> Inventario Nacional de Viviendas.</w:t>
      </w:r>
    </w:p>
    <w:p w14:paraId="11F2F9B1" w14:textId="2BE28F6D" w:rsidR="00F2702B" w:rsidRPr="009A501D" w:rsidRDefault="00F2702B" w:rsidP="00F2702B">
      <w:pPr>
        <w:spacing w:after="0"/>
        <w:ind w:left="1440" w:right="366" w:hanging="1440"/>
        <w:jc w:val="both"/>
        <w:rPr>
          <w:rFonts w:ascii="Century Gothic" w:hAnsi="Century Gothic"/>
          <w:sz w:val="14"/>
          <w:szCs w:val="14"/>
        </w:rPr>
      </w:pPr>
      <w:r w:rsidRPr="009A501D">
        <w:rPr>
          <w:rFonts w:ascii="Century Gothic" w:hAnsi="Century Gothic"/>
          <w:sz w:val="14"/>
          <w:szCs w:val="14"/>
        </w:rPr>
        <w:t>***El programa de información identificado como insumo únicamente para otros programas del INEGI es: Marco Maestro de Muestreo.</w:t>
      </w:r>
    </w:p>
    <w:p w14:paraId="7D7E3265" w14:textId="77777777"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t>Las fuentes utilizadas para el cálculo de los indicadores mostrados se presentan en los cuadros A.1.6.</w:t>
      </w:r>
    </w:p>
    <w:p w14:paraId="246128B2" w14:textId="77777777" w:rsidR="00580CBB" w:rsidRPr="009A501D" w:rsidRDefault="00580CBB" w:rsidP="00664A1D">
      <w:pPr>
        <w:spacing w:before="240"/>
        <w:rPr>
          <w:rFonts w:ascii="Century Gothic" w:hAnsi="Century Gothic"/>
          <w:sz w:val="19"/>
          <w:szCs w:val="19"/>
        </w:rPr>
      </w:pPr>
      <w:r w:rsidRPr="009A501D">
        <w:rPr>
          <w:rFonts w:ascii="Century Gothic" w:hAnsi="Century Gothic"/>
          <w:sz w:val="19"/>
          <w:szCs w:val="19"/>
        </w:rPr>
        <w:br w:type="page"/>
      </w:r>
    </w:p>
    <w:p w14:paraId="776FD0B5" w14:textId="77777777" w:rsidR="00580CBB" w:rsidRPr="009A501D" w:rsidRDefault="00580CBB" w:rsidP="00664A1D">
      <w:pPr>
        <w:spacing w:before="240"/>
        <w:jc w:val="center"/>
        <w:rPr>
          <w:rFonts w:ascii="Century Gothic" w:hAnsi="Century Gothic"/>
          <w:sz w:val="19"/>
          <w:szCs w:val="19"/>
        </w:rPr>
      </w:pPr>
      <w:r w:rsidRPr="009A501D">
        <w:rPr>
          <w:rFonts w:ascii="Century Gothic" w:hAnsi="Century Gothic"/>
          <w:b/>
          <w:sz w:val="19"/>
          <w:szCs w:val="19"/>
        </w:rPr>
        <w:lastRenderedPageBreak/>
        <w:t>A.1.6.  Descripción de las fuentes utilizadas para el cálculo de los indicadores de pertinencia</w:t>
      </w:r>
    </w:p>
    <w:tbl>
      <w:tblPr>
        <w:tblW w:w="14175" w:type="dxa"/>
        <w:tblLook w:val="04A0" w:firstRow="1" w:lastRow="0" w:firstColumn="1" w:lastColumn="0" w:noHBand="0" w:noVBand="1"/>
      </w:tblPr>
      <w:tblGrid>
        <w:gridCol w:w="435"/>
        <w:gridCol w:w="4527"/>
        <w:gridCol w:w="9213"/>
      </w:tblGrid>
      <w:tr w:rsidR="00580CBB" w:rsidRPr="009A501D" w14:paraId="4A5AC2EB" w14:textId="77777777" w:rsidTr="00664A1D">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17A6A638" w14:textId="77777777" w:rsidR="00580CBB" w:rsidRPr="009A501D" w:rsidRDefault="00580CBB" w:rsidP="00664A1D">
            <w:pPr>
              <w:spacing w:after="0" w:line="240" w:lineRule="auto"/>
              <w:ind w:firstLineChars="100" w:firstLine="171"/>
              <w:rPr>
                <w:rFonts w:ascii="Century Gothic" w:eastAsia="Times New Roman" w:hAnsi="Century Gothic" w:cs="Arial"/>
                <w:b/>
                <w:bCs/>
                <w:color w:val="000000"/>
                <w:sz w:val="17"/>
                <w:szCs w:val="17"/>
              </w:rPr>
            </w:pPr>
            <w:r w:rsidRPr="009A501D">
              <w:rPr>
                <w:rFonts w:ascii="Century Gothic" w:eastAsia="Times New Roman" w:hAnsi="Century Gothic" w:cs="Arial"/>
                <w:b/>
                <w:bCs/>
                <w:color w:val="000000"/>
                <w:sz w:val="17"/>
                <w:szCs w:val="17"/>
              </w:rPr>
              <w:t> </w:t>
            </w:r>
          </w:p>
        </w:tc>
        <w:tc>
          <w:tcPr>
            <w:tcW w:w="4527" w:type="dxa"/>
            <w:tcBorders>
              <w:top w:val="nil"/>
              <w:left w:val="nil"/>
              <w:bottom w:val="nil"/>
              <w:right w:val="nil"/>
            </w:tcBorders>
            <w:shd w:val="clear" w:color="auto" w:fill="002060"/>
            <w:noWrap/>
            <w:vAlign w:val="center"/>
            <w:hideMark/>
          </w:tcPr>
          <w:p w14:paraId="6F436C8F" w14:textId="77777777" w:rsidR="00580CBB" w:rsidRPr="009A501D" w:rsidRDefault="00580CBB" w:rsidP="00664A1D">
            <w:pPr>
              <w:spacing w:after="0" w:line="240" w:lineRule="auto"/>
              <w:ind w:leftChars="-246" w:hangingChars="337" w:hanging="541"/>
              <w:jc w:val="center"/>
              <w:rPr>
                <w:rFonts w:ascii="Century Gothic" w:eastAsia="Times New Roman" w:hAnsi="Century Gothic" w:cs="Arial"/>
                <w:b/>
                <w:bCs/>
                <w:color w:val="FFFFFF" w:themeColor="background1"/>
                <w:sz w:val="16"/>
                <w:szCs w:val="16"/>
              </w:rPr>
            </w:pPr>
            <w:r w:rsidRPr="009A501D">
              <w:rPr>
                <w:rFonts w:ascii="Century Gothic" w:eastAsia="Times New Roman" w:hAnsi="Century Gothic" w:cs="Arial"/>
                <w:b/>
                <w:bCs/>
                <w:color w:val="FFFFFF" w:themeColor="background1"/>
                <w:sz w:val="16"/>
                <w:szCs w:val="16"/>
              </w:rPr>
              <w:t>Elemento</w:t>
            </w:r>
          </w:p>
        </w:tc>
        <w:tc>
          <w:tcPr>
            <w:tcW w:w="9213" w:type="dxa"/>
            <w:tcBorders>
              <w:top w:val="nil"/>
              <w:left w:val="nil"/>
              <w:bottom w:val="nil"/>
              <w:right w:val="nil"/>
            </w:tcBorders>
            <w:shd w:val="clear" w:color="auto" w:fill="002060"/>
            <w:noWrap/>
            <w:vAlign w:val="center"/>
            <w:hideMark/>
          </w:tcPr>
          <w:p w14:paraId="08A8AF53" w14:textId="77777777" w:rsidR="00580CBB" w:rsidRPr="009A501D" w:rsidRDefault="00580CBB" w:rsidP="00664A1D">
            <w:pPr>
              <w:spacing w:after="0" w:line="240" w:lineRule="auto"/>
              <w:ind w:firstLineChars="100" w:firstLine="161"/>
              <w:jc w:val="center"/>
              <w:rPr>
                <w:rFonts w:ascii="Century Gothic" w:eastAsia="Times New Roman" w:hAnsi="Century Gothic" w:cs="Arial"/>
                <w:b/>
                <w:bCs/>
                <w:color w:val="FFFFFF" w:themeColor="background1"/>
                <w:sz w:val="16"/>
                <w:szCs w:val="16"/>
              </w:rPr>
            </w:pPr>
            <w:r w:rsidRPr="009A501D">
              <w:rPr>
                <w:rFonts w:ascii="Century Gothic" w:eastAsia="Times New Roman" w:hAnsi="Century Gothic" w:cs="Arial"/>
                <w:b/>
                <w:bCs/>
                <w:color w:val="FFFFFF" w:themeColor="background1"/>
                <w:sz w:val="16"/>
                <w:szCs w:val="16"/>
              </w:rPr>
              <w:t>Descripción de las fuentes</w:t>
            </w:r>
          </w:p>
        </w:tc>
      </w:tr>
      <w:tr w:rsidR="00580CBB" w:rsidRPr="009A501D" w14:paraId="3C1DA45A" w14:textId="77777777" w:rsidTr="00BC774F">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16F47AF4" w14:textId="77777777" w:rsidR="00580CBB" w:rsidRPr="009A501D" w:rsidRDefault="00580CBB" w:rsidP="00664A1D">
            <w:pPr>
              <w:spacing w:after="0" w:line="240" w:lineRule="auto"/>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A. IDENTIFICACIÓN DE PROGRAMAS DE INFORMACIÓN</w:t>
            </w:r>
          </w:p>
        </w:tc>
      </w:tr>
      <w:tr w:rsidR="00580CBB" w:rsidRPr="009A501D" w14:paraId="2A01C74D" w14:textId="77777777" w:rsidTr="00BC774F">
        <w:trPr>
          <w:trHeight w:val="20"/>
        </w:trPr>
        <w:tc>
          <w:tcPr>
            <w:tcW w:w="435" w:type="dxa"/>
            <w:tcBorders>
              <w:top w:val="nil"/>
              <w:left w:val="nil"/>
              <w:bottom w:val="nil"/>
              <w:right w:val="nil"/>
            </w:tcBorders>
            <w:shd w:val="clear" w:color="auto" w:fill="auto"/>
            <w:noWrap/>
            <w:vAlign w:val="bottom"/>
            <w:hideMark/>
          </w:tcPr>
          <w:p w14:paraId="5836F5FF" w14:textId="77777777" w:rsidR="00580CBB" w:rsidRPr="009A501D" w:rsidRDefault="00580CBB" w:rsidP="00664A1D">
            <w:pPr>
              <w:spacing w:after="0" w:line="240" w:lineRule="auto"/>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4F8827A7"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Inventario de Programas de Información INEGI</w:t>
            </w:r>
          </w:p>
        </w:tc>
        <w:tc>
          <w:tcPr>
            <w:tcW w:w="9213" w:type="dxa"/>
            <w:tcBorders>
              <w:top w:val="nil"/>
              <w:left w:val="nil"/>
              <w:bottom w:val="single" w:sz="4" w:space="0" w:color="808080"/>
              <w:right w:val="nil"/>
            </w:tcBorders>
            <w:shd w:val="clear" w:color="auto" w:fill="auto"/>
            <w:vAlign w:val="center"/>
            <w:hideMark/>
          </w:tcPr>
          <w:p w14:paraId="356620B6" w14:textId="3DAEB4E4"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 xml:space="preserve">Programas de información inscritos en el IPI, con base en los </w:t>
            </w:r>
            <w:r w:rsidRPr="009A501D">
              <w:rPr>
                <w:rFonts w:ascii="Century Gothic" w:eastAsia="Times New Roman" w:hAnsi="Century Gothic" w:cs="Arial"/>
                <w:i/>
                <w:color w:val="000000"/>
                <w:sz w:val="16"/>
                <w:szCs w:val="16"/>
              </w:rPr>
              <w:t>Lineamientos para la Integración y Mantenimiento del Inventario de Programas de Información</w:t>
            </w:r>
            <w:r w:rsidRPr="009A501D">
              <w:rPr>
                <w:rFonts w:ascii="Century Gothic" w:eastAsia="Times New Roman" w:hAnsi="Century Gothic" w:cs="Arial"/>
                <w:color w:val="000000"/>
                <w:sz w:val="16"/>
                <w:szCs w:val="16"/>
              </w:rPr>
              <w:t xml:space="preserve">, con estatus </w:t>
            </w:r>
            <w:r w:rsidRPr="009A501D">
              <w:rPr>
                <w:rFonts w:ascii="Century Gothic" w:eastAsia="Times New Roman" w:hAnsi="Century Gothic" w:cs="Arial"/>
                <w:i/>
                <w:iCs/>
                <w:color w:val="000000"/>
                <w:sz w:val="16"/>
                <w:szCs w:val="16"/>
              </w:rPr>
              <w:t>activo</w:t>
            </w:r>
            <w:r w:rsidRPr="009A501D">
              <w:rPr>
                <w:rFonts w:ascii="Century Gothic" w:eastAsia="Times New Roman" w:hAnsi="Century Gothic" w:cs="Arial"/>
                <w:color w:val="000000"/>
                <w:sz w:val="16"/>
                <w:szCs w:val="16"/>
              </w:rPr>
              <w:t xml:space="preserve">. Lista proporcionada a la DGCSNIEG, derivada del </w:t>
            </w:r>
            <w:r w:rsidR="00EA5C0F" w:rsidRPr="009A501D">
              <w:rPr>
                <w:rFonts w:ascii="Century Gothic" w:eastAsia="Times New Roman" w:hAnsi="Century Gothic" w:cs="Arial"/>
                <w:color w:val="000000"/>
                <w:sz w:val="16"/>
                <w:szCs w:val="16"/>
              </w:rPr>
              <w:t>PTRACKING</w:t>
            </w:r>
            <w:r w:rsidRPr="009A501D">
              <w:rPr>
                <w:rFonts w:ascii="Century Gothic" w:eastAsia="Times New Roman" w:hAnsi="Century Gothic" w:cs="Arial"/>
                <w:color w:val="000000"/>
                <w:sz w:val="16"/>
                <w:szCs w:val="16"/>
              </w:rPr>
              <w:t>.</w:t>
            </w:r>
          </w:p>
        </w:tc>
      </w:tr>
      <w:tr w:rsidR="00580CBB" w:rsidRPr="009A501D" w14:paraId="1AB00AE2" w14:textId="77777777" w:rsidTr="00BC774F">
        <w:trPr>
          <w:trHeight w:val="20"/>
        </w:trPr>
        <w:tc>
          <w:tcPr>
            <w:tcW w:w="435" w:type="dxa"/>
            <w:tcBorders>
              <w:top w:val="nil"/>
              <w:left w:val="nil"/>
              <w:bottom w:val="nil"/>
              <w:right w:val="nil"/>
            </w:tcBorders>
            <w:shd w:val="clear" w:color="auto" w:fill="auto"/>
            <w:noWrap/>
            <w:vAlign w:val="bottom"/>
            <w:hideMark/>
          </w:tcPr>
          <w:p w14:paraId="21479F01" w14:textId="77777777" w:rsidR="00580CBB" w:rsidRPr="009A501D" w:rsidRDefault="00580CBB" w:rsidP="00664A1D">
            <w:pPr>
              <w:spacing w:after="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53ABAE85" w14:textId="0C7F85E4"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Programas de información INEGI que se utilizan únicamente como insumos de otros programas INEGI</w:t>
            </w:r>
          </w:p>
        </w:tc>
        <w:tc>
          <w:tcPr>
            <w:tcW w:w="9213" w:type="dxa"/>
            <w:tcBorders>
              <w:top w:val="nil"/>
              <w:left w:val="nil"/>
              <w:bottom w:val="single" w:sz="4" w:space="0" w:color="808080"/>
              <w:right w:val="nil"/>
            </w:tcBorders>
            <w:shd w:val="clear" w:color="auto" w:fill="auto"/>
            <w:vAlign w:val="center"/>
            <w:hideMark/>
          </w:tcPr>
          <w:p w14:paraId="7C531741" w14:textId="5DC35270"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 xml:space="preserve">Programas de información </w:t>
            </w:r>
            <w:r w:rsidR="008805E6" w:rsidRPr="009A501D">
              <w:rPr>
                <w:rFonts w:ascii="Century Gothic" w:eastAsia="Times New Roman" w:hAnsi="Century Gothic" w:cs="Arial"/>
                <w:color w:val="000000"/>
                <w:sz w:val="16"/>
                <w:szCs w:val="16"/>
              </w:rPr>
              <w:t>o procesos de producción</w:t>
            </w:r>
            <w:r w:rsidRPr="009A501D">
              <w:rPr>
                <w:rFonts w:ascii="Century Gothic" w:eastAsia="Times New Roman" w:hAnsi="Century Gothic" w:cs="Arial"/>
                <w:color w:val="000000"/>
                <w:sz w:val="16"/>
                <w:szCs w:val="16"/>
              </w:rPr>
              <w:t xml:space="preserve"> inscritos en el IPI, con base en los </w:t>
            </w:r>
            <w:r w:rsidRPr="009A501D">
              <w:rPr>
                <w:rFonts w:ascii="Century Gothic" w:eastAsia="Times New Roman" w:hAnsi="Century Gothic" w:cs="Arial"/>
                <w:i/>
                <w:color w:val="000000"/>
                <w:sz w:val="16"/>
                <w:szCs w:val="16"/>
              </w:rPr>
              <w:t>Lineamientos para la Integración y Mantenimiento del Inventario de Programas de Información</w:t>
            </w:r>
            <w:r w:rsidRPr="009A501D">
              <w:rPr>
                <w:rFonts w:ascii="Century Gothic" w:eastAsia="Times New Roman" w:hAnsi="Century Gothic" w:cs="Arial"/>
                <w:color w:val="000000"/>
                <w:sz w:val="16"/>
                <w:szCs w:val="16"/>
              </w:rPr>
              <w:t xml:space="preserve">, con estatus </w:t>
            </w:r>
            <w:r w:rsidRPr="009A501D">
              <w:rPr>
                <w:rFonts w:ascii="Century Gothic" w:eastAsia="Times New Roman" w:hAnsi="Century Gothic" w:cs="Arial"/>
                <w:i/>
                <w:color w:val="000000"/>
                <w:sz w:val="16"/>
                <w:szCs w:val="16"/>
              </w:rPr>
              <w:t>activo</w:t>
            </w:r>
            <w:r w:rsidRPr="009A501D">
              <w:rPr>
                <w:rFonts w:ascii="Century Gothic" w:eastAsia="Times New Roman" w:hAnsi="Century Gothic" w:cs="Arial"/>
                <w:color w:val="000000"/>
                <w:sz w:val="16"/>
                <w:szCs w:val="16"/>
              </w:rPr>
              <w:t xml:space="preserve"> y que se utilizan únicamente como insumo para otros </w:t>
            </w:r>
            <w:r w:rsidR="008805E6" w:rsidRPr="009A501D">
              <w:rPr>
                <w:rFonts w:ascii="Century Gothic" w:eastAsia="Times New Roman" w:hAnsi="Century Gothic" w:cs="Arial"/>
                <w:color w:val="000000"/>
                <w:sz w:val="16"/>
                <w:szCs w:val="16"/>
              </w:rPr>
              <w:t>p</w:t>
            </w:r>
            <w:r w:rsidRPr="009A501D">
              <w:rPr>
                <w:rFonts w:ascii="Century Gothic" w:eastAsia="Times New Roman" w:hAnsi="Century Gothic" w:cs="Arial"/>
                <w:color w:val="000000"/>
                <w:sz w:val="16"/>
                <w:szCs w:val="16"/>
              </w:rPr>
              <w:t xml:space="preserve">rogramas de Información </w:t>
            </w:r>
            <w:r w:rsidR="000E67D5" w:rsidRPr="009A501D">
              <w:rPr>
                <w:rFonts w:ascii="Century Gothic" w:eastAsia="Times New Roman" w:hAnsi="Century Gothic" w:cs="Arial"/>
                <w:color w:val="000000"/>
                <w:sz w:val="16"/>
                <w:szCs w:val="16"/>
              </w:rPr>
              <w:t xml:space="preserve">o procesos de producción </w:t>
            </w:r>
            <w:r w:rsidRPr="009A501D">
              <w:rPr>
                <w:rFonts w:ascii="Century Gothic" w:eastAsia="Times New Roman" w:hAnsi="Century Gothic" w:cs="Arial"/>
                <w:color w:val="000000"/>
                <w:sz w:val="16"/>
                <w:szCs w:val="16"/>
              </w:rPr>
              <w:t>del propio INEGI.</w:t>
            </w:r>
          </w:p>
        </w:tc>
      </w:tr>
      <w:tr w:rsidR="00580CBB" w:rsidRPr="009A501D" w14:paraId="11247DE6" w14:textId="77777777" w:rsidTr="00BC774F">
        <w:trPr>
          <w:trHeight w:val="20"/>
        </w:trPr>
        <w:tc>
          <w:tcPr>
            <w:tcW w:w="435" w:type="dxa"/>
            <w:tcBorders>
              <w:top w:val="nil"/>
              <w:left w:val="nil"/>
              <w:bottom w:val="nil"/>
              <w:right w:val="nil"/>
            </w:tcBorders>
            <w:shd w:val="clear" w:color="auto" w:fill="auto"/>
            <w:noWrap/>
            <w:vAlign w:val="bottom"/>
            <w:hideMark/>
          </w:tcPr>
          <w:p w14:paraId="6E9E33BA" w14:textId="77777777" w:rsidR="00580CBB" w:rsidRPr="009A501D" w:rsidRDefault="00580CBB" w:rsidP="00664A1D">
            <w:pPr>
              <w:spacing w:after="0" w:line="240" w:lineRule="auto"/>
              <w:rPr>
                <w:rFonts w:ascii="Century Gothic" w:eastAsia="Times New Roman" w:hAnsi="Century Gothic" w:cs="Arial"/>
                <w:color w:val="000000"/>
                <w:sz w:val="17"/>
                <w:szCs w:val="17"/>
              </w:rPr>
            </w:pPr>
          </w:p>
        </w:tc>
        <w:tc>
          <w:tcPr>
            <w:tcW w:w="4527" w:type="dxa"/>
            <w:tcBorders>
              <w:top w:val="nil"/>
              <w:left w:val="nil"/>
              <w:bottom w:val="nil"/>
              <w:right w:val="nil"/>
            </w:tcBorders>
            <w:shd w:val="clear" w:color="auto" w:fill="auto"/>
            <w:vAlign w:val="center"/>
            <w:hideMark/>
          </w:tcPr>
          <w:p w14:paraId="4633462E" w14:textId="4C884CC9"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 xml:space="preserve">Programas de información INEGI que se utilizan como insumos de otros programas INEGI y también se publican para uso externo </w:t>
            </w:r>
          </w:p>
        </w:tc>
        <w:tc>
          <w:tcPr>
            <w:tcW w:w="9213" w:type="dxa"/>
            <w:tcBorders>
              <w:top w:val="nil"/>
              <w:left w:val="nil"/>
              <w:bottom w:val="nil"/>
              <w:right w:val="nil"/>
            </w:tcBorders>
            <w:shd w:val="clear" w:color="auto" w:fill="auto"/>
            <w:vAlign w:val="center"/>
            <w:hideMark/>
          </w:tcPr>
          <w:p w14:paraId="381823DC" w14:textId="688856E3"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 xml:space="preserve">Programas de información </w:t>
            </w:r>
            <w:r w:rsidR="00EB1283" w:rsidRPr="009A501D">
              <w:rPr>
                <w:rFonts w:ascii="Century Gothic" w:eastAsia="Times New Roman" w:hAnsi="Century Gothic" w:cs="Arial"/>
                <w:color w:val="000000"/>
                <w:sz w:val="16"/>
                <w:szCs w:val="16"/>
              </w:rPr>
              <w:t>o procesos de producción</w:t>
            </w:r>
            <w:r w:rsidRPr="009A501D">
              <w:rPr>
                <w:rFonts w:ascii="Century Gothic" w:eastAsia="Times New Roman" w:hAnsi="Century Gothic" w:cs="Arial"/>
                <w:color w:val="000000"/>
                <w:sz w:val="16"/>
                <w:szCs w:val="16"/>
              </w:rPr>
              <w:t xml:space="preserve"> inscritos en el IPI, con base en los </w:t>
            </w:r>
            <w:r w:rsidRPr="009A501D">
              <w:rPr>
                <w:rFonts w:ascii="Century Gothic" w:eastAsia="Times New Roman" w:hAnsi="Century Gothic" w:cs="Arial"/>
                <w:i/>
                <w:color w:val="000000"/>
                <w:sz w:val="16"/>
                <w:szCs w:val="16"/>
              </w:rPr>
              <w:t>Lineamientos para la Integración y Mantenimiento del Inventario de Programas de Información</w:t>
            </w:r>
            <w:r w:rsidRPr="009A501D">
              <w:rPr>
                <w:rFonts w:ascii="Century Gothic" w:eastAsia="Times New Roman" w:hAnsi="Century Gothic" w:cs="Arial"/>
                <w:color w:val="000000"/>
                <w:sz w:val="16"/>
                <w:szCs w:val="16"/>
              </w:rPr>
              <w:t xml:space="preserve">, con estatus </w:t>
            </w:r>
            <w:r w:rsidRPr="009A501D">
              <w:rPr>
                <w:rFonts w:ascii="Century Gothic" w:eastAsia="Times New Roman" w:hAnsi="Century Gothic" w:cs="Arial"/>
                <w:i/>
                <w:color w:val="000000"/>
                <w:sz w:val="16"/>
                <w:szCs w:val="16"/>
              </w:rPr>
              <w:t>activo</w:t>
            </w:r>
            <w:r w:rsidRPr="009A501D">
              <w:rPr>
                <w:rFonts w:ascii="Century Gothic" w:eastAsia="Times New Roman" w:hAnsi="Century Gothic" w:cs="Arial"/>
                <w:color w:val="000000"/>
                <w:sz w:val="16"/>
                <w:szCs w:val="16"/>
              </w:rPr>
              <w:t xml:space="preserve">. Se excluyen aquellos que únicamente se utilizan como insumo para otros </w:t>
            </w:r>
            <w:r w:rsidR="00777844" w:rsidRPr="009A501D">
              <w:rPr>
                <w:rFonts w:ascii="Century Gothic" w:eastAsia="Times New Roman" w:hAnsi="Century Gothic" w:cs="Arial"/>
                <w:color w:val="000000"/>
                <w:sz w:val="16"/>
                <w:szCs w:val="16"/>
              </w:rPr>
              <w:t>programa</w:t>
            </w:r>
            <w:r w:rsidRPr="009A501D">
              <w:rPr>
                <w:rFonts w:ascii="Century Gothic" w:eastAsia="Times New Roman" w:hAnsi="Century Gothic" w:cs="Arial"/>
                <w:color w:val="000000"/>
                <w:sz w:val="16"/>
                <w:szCs w:val="16"/>
              </w:rPr>
              <w:t xml:space="preserve">s de </w:t>
            </w:r>
            <w:r w:rsidR="00777844" w:rsidRPr="009A501D">
              <w:rPr>
                <w:rFonts w:ascii="Century Gothic" w:eastAsia="Times New Roman" w:hAnsi="Century Gothic" w:cs="Arial"/>
                <w:color w:val="000000"/>
                <w:sz w:val="16"/>
                <w:szCs w:val="16"/>
              </w:rPr>
              <w:t>información</w:t>
            </w:r>
            <w:r w:rsidRPr="009A501D">
              <w:rPr>
                <w:rFonts w:ascii="Century Gothic" w:eastAsia="Times New Roman" w:hAnsi="Century Gothic" w:cs="Arial"/>
                <w:color w:val="000000"/>
                <w:sz w:val="16"/>
                <w:szCs w:val="16"/>
              </w:rPr>
              <w:t xml:space="preserve"> </w:t>
            </w:r>
            <w:r w:rsidR="000979CF" w:rsidRPr="009A501D">
              <w:rPr>
                <w:rFonts w:ascii="Century Gothic" w:eastAsia="Times New Roman" w:hAnsi="Century Gothic" w:cs="Arial"/>
                <w:color w:val="000000"/>
                <w:sz w:val="16"/>
                <w:szCs w:val="16"/>
              </w:rPr>
              <w:t xml:space="preserve">o procesos de producción </w:t>
            </w:r>
            <w:r w:rsidRPr="009A501D">
              <w:rPr>
                <w:rFonts w:ascii="Century Gothic" w:eastAsia="Times New Roman" w:hAnsi="Century Gothic" w:cs="Arial"/>
                <w:color w:val="000000"/>
                <w:sz w:val="16"/>
                <w:szCs w:val="16"/>
              </w:rPr>
              <w:t>del propio INEGI.</w:t>
            </w:r>
          </w:p>
        </w:tc>
      </w:tr>
      <w:tr w:rsidR="00580CBB" w:rsidRPr="009A501D" w14:paraId="353BD202" w14:textId="77777777" w:rsidTr="00BC774F">
        <w:trPr>
          <w:trHeight w:val="20"/>
        </w:trPr>
        <w:tc>
          <w:tcPr>
            <w:tcW w:w="4962" w:type="dxa"/>
            <w:gridSpan w:val="2"/>
            <w:tcBorders>
              <w:top w:val="single" w:sz="4" w:space="0" w:color="auto"/>
              <w:left w:val="nil"/>
              <w:bottom w:val="single" w:sz="4" w:space="0" w:color="auto"/>
              <w:right w:val="nil"/>
            </w:tcBorders>
            <w:shd w:val="clear" w:color="auto" w:fill="auto"/>
            <w:noWrap/>
            <w:vAlign w:val="center"/>
            <w:hideMark/>
          </w:tcPr>
          <w:p w14:paraId="3FFEA544" w14:textId="77777777"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B. REFERENTES DE USO</w:t>
            </w:r>
          </w:p>
        </w:tc>
        <w:tc>
          <w:tcPr>
            <w:tcW w:w="9213" w:type="dxa"/>
            <w:tcBorders>
              <w:top w:val="single" w:sz="4" w:space="0" w:color="auto"/>
              <w:left w:val="nil"/>
              <w:bottom w:val="single" w:sz="4" w:space="0" w:color="auto"/>
              <w:right w:val="nil"/>
            </w:tcBorders>
            <w:shd w:val="clear" w:color="auto" w:fill="auto"/>
            <w:noWrap/>
            <w:vAlign w:val="bottom"/>
            <w:hideMark/>
          </w:tcPr>
          <w:p w14:paraId="2716EAD6" w14:textId="77777777" w:rsidR="00580CBB" w:rsidRPr="009A501D" w:rsidRDefault="00580CBB" w:rsidP="00664A1D">
            <w:pPr>
              <w:spacing w:after="0" w:line="240" w:lineRule="auto"/>
              <w:ind w:firstLineChars="100" w:firstLine="160"/>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 </w:t>
            </w:r>
          </w:p>
        </w:tc>
      </w:tr>
      <w:tr w:rsidR="00580CBB" w:rsidRPr="009A501D" w14:paraId="20C2A08E" w14:textId="77777777" w:rsidTr="00BC774F">
        <w:trPr>
          <w:trHeight w:val="20"/>
        </w:trPr>
        <w:tc>
          <w:tcPr>
            <w:tcW w:w="435" w:type="dxa"/>
            <w:tcBorders>
              <w:top w:val="nil"/>
              <w:left w:val="nil"/>
              <w:bottom w:val="nil"/>
              <w:right w:val="nil"/>
            </w:tcBorders>
            <w:shd w:val="clear" w:color="auto" w:fill="auto"/>
            <w:noWrap/>
            <w:vAlign w:val="bottom"/>
            <w:hideMark/>
          </w:tcPr>
          <w:p w14:paraId="52F46E64" w14:textId="77777777" w:rsidR="00580CBB" w:rsidRPr="009A501D" w:rsidRDefault="00580CBB" w:rsidP="00664A1D">
            <w:pPr>
              <w:spacing w:after="0" w:line="240" w:lineRule="auto"/>
              <w:ind w:firstLineChars="100" w:firstLine="170"/>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063BE01A"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Indicadores Clave</w:t>
            </w:r>
          </w:p>
        </w:tc>
        <w:tc>
          <w:tcPr>
            <w:tcW w:w="9213" w:type="dxa"/>
            <w:tcBorders>
              <w:top w:val="nil"/>
              <w:left w:val="nil"/>
              <w:bottom w:val="single" w:sz="4" w:space="0" w:color="808080"/>
              <w:right w:val="nil"/>
            </w:tcBorders>
            <w:shd w:val="clear" w:color="auto" w:fill="auto"/>
            <w:vAlign w:val="center"/>
            <w:hideMark/>
          </w:tcPr>
          <w:p w14:paraId="4210FCE4" w14:textId="77777777"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 xml:space="preserve">Datos obtenidos de la consulta por Fuente/Proyecto del Catálogo Nacional de Indicadores https://www.snieg.mx/cni/indicadores.aspx?idOrden=1.3. </w:t>
            </w:r>
          </w:p>
        </w:tc>
      </w:tr>
      <w:tr w:rsidR="00580CBB" w:rsidRPr="009A501D" w14:paraId="17739188" w14:textId="77777777" w:rsidTr="00BC774F">
        <w:trPr>
          <w:trHeight w:val="20"/>
        </w:trPr>
        <w:tc>
          <w:tcPr>
            <w:tcW w:w="435" w:type="dxa"/>
            <w:tcBorders>
              <w:top w:val="nil"/>
              <w:left w:val="nil"/>
              <w:bottom w:val="nil"/>
              <w:right w:val="nil"/>
            </w:tcBorders>
            <w:shd w:val="clear" w:color="auto" w:fill="auto"/>
            <w:noWrap/>
            <w:vAlign w:val="bottom"/>
            <w:hideMark/>
          </w:tcPr>
          <w:p w14:paraId="65962660" w14:textId="77777777" w:rsidR="00580CBB" w:rsidRPr="009A501D" w:rsidRDefault="00580CBB" w:rsidP="00664A1D">
            <w:pPr>
              <w:spacing w:after="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4C4B12F5"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Indicadores ODS</w:t>
            </w:r>
          </w:p>
        </w:tc>
        <w:tc>
          <w:tcPr>
            <w:tcW w:w="9213" w:type="dxa"/>
            <w:tcBorders>
              <w:top w:val="nil"/>
              <w:left w:val="nil"/>
              <w:bottom w:val="single" w:sz="4" w:space="0" w:color="808080"/>
              <w:right w:val="nil"/>
            </w:tcBorders>
            <w:shd w:val="clear" w:color="auto" w:fill="auto"/>
            <w:vAlign w:val="center"/>
            <w:hideMark/>
          </w:tcPr>
          <w:p w14:paraId="772311EC"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 xml:space="preserve">Con base en los archivos de metadatos de indicadores descargados del sitio http://agenda2030.mx/#/home. </w:t>
            </w:r>
          </w:p>
        </w:tc>
      </w:tr>
      <w:tr w:rsidR="00580CBB" w:rsidRPr="009A501D" w14:paraId="6325A54F" w14:textId="77777777" w:rsidTr="00BC774F">
        <w:trPr>
          <w:trHeight w:val="20"/>
        </w:trPr>
        <w:tc>
          <w:tcPr>
            <w:tcW w:w="435" w:type="dxa"/>
            <w:tcBorders>
              <w:top w:val="nil"/>
              <w:left w:val="nil"/>
              <w:bottom w:val="nil"/>
              <w:right w:val="nil"/>
            </w:tcBorders>
            <w:shd w:val="clear" w:color="auto" w:fill="auto"/>
            <w:noWrap/>
            <w:vAlign w:val="bottom"/>
            <w:hideMark/>
          </w:tcPr>
          <w:p w14:paraId="47A2DF8E" w14:textId="77777777" w:rsidR="00580CBB" w:rsidRPr="009A501D" w:rsidRDefault="00580CBB" w:rsidP="00664A1D">
            <w:pPr>
              <w:spacing w:after="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4E67198F"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Usuarios Página INEGI</w:t>
            </w:r>
          </w:p>
        </w:tc>
        <w:tc>
          <w:tcPr>
            <w:tcW w:w="9213" w:type="dxa"/>
            <w:tcBorders>
              <w:top w:val="nil"/>
              <w:left w:val="nil"/>
              <w:bottom w:val="single" w:sz="4" w:space="0" w:color="808080"/>
              <w:right w:val="nil"/>
            </w:tcBorders>
            <w:shd w:val="clear" w:color="auto" w:fill="auto"/>
            <w:vAlign w:val="center"/>
            <w:hideMark/>
          </w:tcPr>
          <w:p w14:paraId="644C6E05" w14:textId="3E650E3F" w:rsidR="00580CBB" w:rsidRPr="009A501D" w:rsidRDefault="00580CBB" w:rsidP="00664A1D">
            <w:pPr>
              <w:spacing w:after="0" w:line="240" w:lineRule="auto"/>
              <w:jc w:val="both"/>
              <w:rPr>
                <w:rFonts w:ascii="Century Gothic" w:eastAsia="Times New Roman" w:hAnsi="Century Gothic" w:cs="Arial"/>
                <w:color w:val="000000"/>
                <w:sz w:val="16"/>
                <w:szCs w:val="16"/>
              </w:rPr>
            </w:pPr>
            <w:r w:rsidRPr="009A501D">
              <w:rPr>
                <w:rFonts w:ascii="Century Gothic" w:eastAsia="Times New Roman" w:hAnsi="Century Gothic" w:cs="Arial"/>
                <w:color w:val="000000"/>
                <w:sz w:val="16"/>
                <w:szCs w:val="16"/>
              </w:rPr>
              <w:t>Consulta realizada a la DGCSPIRI</w:t>
            </w:r>
            <w:r w:rsidR="00875882" w:rsidRPr="009A501D">
              <w:rPr>
                <w:rFonts w:ascii="Century Gothic" w:eastAsia="Times New Roman" w:hAnsi="Century Gothic" w:cs="Arial"/>
                <w:color w:val="000000"/>
                <w:sz w:val="16"/>
                <w:szCs w:val="16"/>
              </w:rPr>
              <w:t>, referente a la identificación de PI del INEGI consultados por medio de la página del INEGI.</w:t>
            </w:r>
          </w:p>
        </w:tc>
      </w:tr>
      <w:tr w:rsidR="00580CBB" w:rsidRPr="009A501D" w14:paraId="335E507F" w14:textId="77777777" w:rsidTr="00BC774F">
        <w:trPr>
          <w:trHeight w:val="20"/>
        </w:trPr>
        <w:tc>
          <w:tcPr>
            <w:tcW w:w="435" w:type="dxa"/>
            <w:tcBorders>
              <w:top w:val="nil"/>
              <w:left w:val="nil"/>
              <w:bottom w:val="nil"/>
              <w:right w:val="nil"/>
            </w:tcBorders>
            <w:shd w:val="clear" w:color="auto" w:fill="auto"/>
            <w:noWrap/>
            <w:vAlign w:val="bottom"/>
            <w:hideMark/>
          </w:tcPr>
          <w:p w14:paraId="3643AC54" w14:textId="77777777" w:rsidR="00580CBB" w:rsidRPr="009A501D" w:rsidRDefault="00580CBB" w:rsidP="00664A1D">
            <w:pPr>
              <w:spacing w:after="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5D36EA2E" w14:textId="77777777" w:rsidR="00580CBB" w:rsidRPr="009A501D" w:rsidRDefault="00580CBB"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Laboratorio de microdatos</w:t>
            </w:r>
          </w:p>
        </w:tc>
        <w:tc>
          <w:tcPr>
            <w:tcW w:w="9213" w:type="dxa"/>
            <w:tcBorders>
              <w:top w:val="nil"/>
              <w:left w:val="nil"/>
              <w:bottom w:val="single" w:sz="4" w:space="0" w:color="808080"/>
              <w:right w:val="nil"/>
            </w:tcBorders>
            <w:shd w:val="clear" w:color="auto" w:fill="auto"/>
            <w:vAlign w:val="center"/>
            <w:hideMark/>
          </w:tcPr>
          <w:p w14:paraId="1EC2D47C" w14:textId="5395E0FF" w:rsidR="00580CBB" w:rsidRPr="009A501D" w:rsidRDefault="00875882" w:rsidP="00664A1D">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A partir de consulta realizada al área responsable del laboratorio de microdatos y del reporte generado mediante el Sistema automatizado de gestión de Servicios de Acceso a las Microdatos (SAM). Incluye: Laboratorio de microdatos y Servicio de Procesamiento Remoto. No incluye las consultas de microdatos disponibles en la página del INEGI.</w:t>
            </w:r>
          </w:p>
        </w:tc>
      </w:tr>
      <w:tr w:rsidR="00875882" w:rsidRPr="009A501D" w14:paraId="442748A7" w14:textId="77777777" w:rsidTr="00094DB3">
        <w:trPr>
          <w:trHeight w:val="20"/>
        </w:trPr>
        <w:tc>
          <w:tcPr>
            <w:tcW w:w="435" w:type="dxa"/>
            <w:tcBorders>
              <w:top w:val="nil"/>
              <w:left w:val="nil"/>
              <w:bottom w:val="nil"/>
              <w:right w:val="nil"/>
            </w:tcBorders>
            <w:shd w:val="clear" w:color="auto" w:fill="auto"/>
            <w:noWrap/>
            <w:vAlign w:val="bottom"/>
            <w:hideMark/>
          </w:tcPr>
          <w:p w14:paraId="4442DB7F" w14:textId="77777777" w:rsidR="00875882" w:rsidRPr="009A501D" w:rsidRDefault="00875882" w:rsidP="00875882">
            <w:pPr>
              <w:spacing w:after="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53EB7C4A" w14:textId="77777777" w:rsidR="00875882" w:rsidRPr="009A501D" w:rsidRDefault="00875882" w:rsidP="00875882">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 xml:space="preserve">PND-METAS (versión publicada en el Diario Oficial de la Federación) </w:t>
            </w:r>
          </w:p>
        </w:tc>
        <w:tc>
          <w:tcPr>
            <w:tcW w:w="9213" w:type="dxa"/>
            <w:tcBorders>
              <w:top w:val="nil"/>
              <w:left w:val="nil"/>
              <w:bottom w:val="single" w:sz="4" w:space="0" w:color="808080"/>
              <w:right w:val="nil"/>
            </w:tcBorders>
            <w:shd w:val="clear" w:color="auto" w:fill="auto"/>
            <w:hideMark/>
          </w:tcPr>
          <w:p w14:paraId="0C0C04F8" w14:textId="23E22CA1" w:rsidR="00875882" w:rsidRPr="009A501D" w:rsidRDefault="00875882" w:rsidP="00875882">
            <w:pPr>
              <w:spacing w:after="0" w:line="240" w:lineRule="auto"/>
              <w:jc w:val="both"/>
              <w:rPr>
                <w:rFonts w:ascii="Century Gothic" w:eastAsia="Times New Roman" w:hAnsi="Century Gothic" w:cs="Arial"/>
                <w:color w:val="000000"/>
                <w:sz w:val="16"/>
                <w:szCs w:val="16"/>
              </w:rPr>
            </w:pPr>
            <w:r w:rsidRPr="009A501D">
              <w:rPr>
                <w:rFonts w:ascii="Century Gothic" w:hAnsi="Century Gothic"/>
                <w:sz w:val="16"/>
                <w:szCs w:val="16"/>
              </w:rPr>
              <w:t xml:space="preserve">Este referente se estimó con base en un análisis conceptual de las metas PND 2019 -2024, el cual fue realizado en 2020. Dado que no se definieron indicadores en el PND 2019-2024, el uso de programas de información en este referente se captó en 2020, como resultado de una consulta realizada a las Unidades Administrativas a cargo de programas de información del INEGI vigentes en ese momento. </w:t>
            </w:r>
          </w:p>
        </w:tc>
      </w:tr>
      <w:tr w:rsidR="00875882" w:rsidRPr="009A501D" w14:paraId="2CBB87FC" w14:textId="77777777" w:rsidTr="00094DB3">
        <w:trPr>
          <w:trHeight w:val="20"/>
        </w:trPr>
        <w:tc>
          <w:tcPr>
            <w:tcW w:w="435" w:type="dxa"/>
            <w:tcBorders>
              <w:top w:val="nil"/>
              <w:left w:val="nil"/>
              <w:bottom w:val="nil"/>
              <w:right w:val="nil"/>
            </w:tcBorders>
            <w:shd w:val="clear" w:color="auto" w:fill="auto"/>
            <w:noWrap/>
            <w:vAlign w:val="bottom"/>
            <w:hideMark/>
          </w:tcPr>
          <w:p w14:paraId="321B0F1A" w14:textId="77777777" w:rsidR="00875882" w:rsidRPr="009A501D" w:rsidRDefault="00875882" w:rsidP="00875882">
            <w:pPr>
              <w:spacing w:after="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531F2984" w14:textId="77777777" w:rsidR="00875882" w:rsidRPr="009A501D" w:rsidRDefault="00875882" w:rsidP="00875882">
            <w:pPr>
              <w:spacing w:after="0" w:line="240" w:lineRule="auto"/>
              <w:jc w:val="both"/>
              <w:rPr>
                <w:rFonts w:ascii="Century Gothic" w:eastAsia="Times New Roman" w:hAnsi="Century Gothic" w:cs="Arial"/>
                <w:sz w:val="16"/>
                <w:szCs w:val="16"/>
              </w:rPr>
            </w:pPr>
            <w:r w:rsidRPr="009A501D">
              <w:rPr>
                <w:rFonts w:ascii="Century Gothic" w:eastAsia="Times New Roman" w:hAnsi="Century Gothic" w:cs="Arial"/>
                <w:sz w:val="16"/>
                <w:szCs w:val="16"/>
              </w:rPr>
              <w:t>Tratados internacionales</w:t>
            </w:r>
          </w:p>
        </w:tc>
        <w:tc>
          <w:tcPr>
            <w:tcW w:w="9213" w:type="dxa"/>
            <w:vMerge w:val="restart"/>
            <w:tcBorders>
              <w:top w:val="nil"/>
              <w:left w:val="nil"/>
              <w:bottom w:val="single" w:sz="4" w:space="0" w:color="000000"/>
              <w:right w:val="nil"/>
            </w:tcBorders>
            <w:shd w:val="clear" w:color="auto" w:fill="auto"/>
            <w:hideMark/>
          </w:tcPr>
          <w:p w14:paraId="6D889B52" w14:textId="6F6449CE" w:rsidR="00875882" w:rsidRPr="009A501D" w:rsidRDefault="00875882" w:rsidP="00875882">
            <w:pPr>
              <w:spacing w:after="0" w:line="240" w:lineRule="auto"/>
              <w:jc w:val="both"/>
              <w:rPr>
                <w:rFonts w:ascii="Century Gothic" w:eastAsia="Times New Roman" w:hAnsi="Century Gothic" w:cs="Arial"/>
                <w:color w:val="000000"/>
                <w:sz w:val="16"/>
                <w:szCs w:val="16"/>
              </w:rPr>
            </w:pPr>
            <w:r w:rsidRPr="009A501D">
              <w:rPr>
                <w:rFonts w:ascii="Century Gothic" w:hAnsi="Century Gothic"/>
                <w:sz w:val="16"/>
                <w:szCs w:val="16"/>
              </w:rPr>
              <w:t xml:space="preserve">Inventario de Demandas de Información Estadística y Geográfica (IDIEG). Para Tratados Internacionales, y Constitución y Leyes se tomó en cuenta la columna "Usa Información de Interés Nacional”. Para Programas Sectoriales, Especiales y Nacionales se analizaron las columnas “Usa Información de Interés </w:t>
            </w:r>
            <w:proofErr w:type="gramStart"/>
            <w:r w:rsidRPr="009A501D">
              <w:rPr>
                <w:rFonts w:ascii="Century Gothic" w:hAnsi="Century Gothic"/>
                <w:sz w:val="16"/>
                <w:szCs w:val="16"/>
              </w:rPr>
              <w:t>Nacional“ y</w:t>
            </w:r>
            <w:proofErr w:type="gramEnd"/>
            <w:r w:rsidRPr="009A501D">
              <w:rPr>
                <w:rFonts w:ascii="Century Gothic" w:hAnsi="Century Gothic"/>
                <w:sz w:val="16"/>
                <w:szCs w:val="16"/>
              </w:rPr>
              <w:t xml:space="preserve"> “Usa Información INEGI. </w:t>
            </w:r>
          </w:p>
        </w:tc>
      </w:tr>
      <w:tr w:rsidR="00580CBB" w:rsidRPr="009A501D" w14:paraId="2E2B6F4E" w14:textId="77777777" w:rsidTr="00BC774F">
        <w:trPr>
          <w:trHeight w:val="20"/>
        </w:trPr>
        <w:tc>
          <w:tcPr>
            <w:tcW w:w="435" w:type="dxa"/>
            <w:tcBorders>
              <w:top w:val="nil"/>
              <w:left w:val="nil"/>
              <w:bottom w:val="nil"/>
              <w:right w:val="nil"/>
            </w:tcBorders>
            <w:shd w:val="clear" w:color="auto" w:fill="auto"/>
            <w:noWrap/>
            <w:vAlign w:val="bottom"/>
            <w:hideMark/>
          </w:tcPr>
          <w:p w14:paraId="315C974E" w14:textId="77777777" w:rsidR="00580CBB" w:rsidRPr="009A501D" w:rsidRDefault="00580CBB" w:rsidP="00664A1D">
            <w:pPr>
              <w:spacing w:after="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48254D1F" w14:textId="77777777" w:rsidR="00580CBB" w:rsidRPr="009A501D" w:rsidRDefault="00580CBB" w:rsidP="00664A1D">
            <w:pPr>
              <w:spacing w:after="0" w:line="240" w:lineRule="auto"/>
              <w:rPr>
                <w:rFonts w:ascii="Century Gothic" w:eastAsia="Times New Roman" w:hAnsi="Century Gothic" w:cs="Arial"/>
                <w:sz w:val="16"/>
                <w:szCs w:val="16"/>
              </w:rPr>
            </w:pPr>
            <w:r w:rsidRPr="009A501D">
              <w:rPr>
                <w:rFonts w:ascii="Century Gothic" w:eastAsia="Times New Roman" w:hAnsi="Century Gothic" w:cs="Arial"/>
                <w:sz w:val="16"/>
                <w:szCs w:val="16"/>
              </w:rPr>
              <w:t>Constitución y leyes</w:t>
            </w:r>
          </w:p>
        </w:tc>
        <w:tc>
          <w:tcPr>
            <w:tcW w:w="9213" w:type="dxa"/>
            <w:vMerge/>
            <w:tcBorders>
              <w:top w:val="nil"/>
              <w:left w:val="nil"/>
              <w:bottom w:val="single" w:sz="4" w:space="0" w:color="000000"/>
              <w:right w:val="nil"/>
            </w:tcBorders>
            <w:vAlign w:val="center"/>
            <w:hideMark/>
          </w:tcPr>
          <w:p w14:paraId="5A0C8A88" w14:textId="77777777" w:rsidR="00580CBB" w:rsidRPr="009A501D" w:rsidRDefault="00580CBB" w:rsidP="00664A1D">
            <w:pPr>
              <w:spacing w:after="0" w:line="240" w:lineRule="auto"/>
              <w:rPr>
                <w:rFonts w:ascii="Century Gothic" w:eastAsia="Times New Roman" w:hAnsi="Century Gothic" w:cs="Arial"/>
                <w:color w:val="000000"/>
                <w:sz w:val="16"/>
                <w:szCs w:val="16"/>
              </w:rPr>
            </w:pPr>
          </w:p>
        </w:tc>
      </w:tr>
      <w:tr w:rsidR="00580CBB" w:rsidRPr="009A501D" w14:paraId="310A8810" w14:textId="77777777" w:rsidTr="00BC774F">
        <w:trPr>
          <w:trHeight w:val="20"/>
        </w:trPr>
        <w:tc>
          <w:tcPr>
            <w:tcW w:w="435" w:type="dxa"/>
            <w:tcBorders>
              <w:top w:val="nil"/>
              <w:left w:val="nil"/>
              <w:bottom w:val="single" w:sz="4" w:space="0" w:color="auto"/>
              <w:right w:val="nil"/>
            </w:tcBorders>
            <w:shd w:val="clear" w:color="auto" w:fill="auto"/>
            <w:noWrap/>
            <w:vAlign w:val="bottom"/>
            <w:hideMark/>
          </w:tcPr>
          <w:p w14:paraId="5359CC64" w14:textId="77777777" w:rsidR="00580CBB" w:rsidRPr="009A501D" w:rsidRDefault="00580CBB" w:rsidP="00664A1D">
            <w:pPr>
              <w:spacing w:after="0" w:line="240" w:lineRule="auto"/>
              <w:rPr>
                <w:rFonts w:ascii="Century Gothic" w:eastAsia="Times New Roman" w:hAnsi="Century Gothic" w:cs="Arial"/>
                <w:color w:val="000000"/>
                <w:sz w:val="17"/>
                <w:szCs w:val="17"/>
              </w:rPr>
            </w:pPr>
            <w:r w:rsidRPr="009A501D">
              <w:rPr>
                <w:rFonts w:ascii="Century Gothic" w:eastAsia="Times New Roman" w:hAnsi="Century Gothic" w:cs="Arial"/>
                <w:color w:val="000000"/>
                <w:sz w:val="17"/>
                <w:szCs w:val="17"/>
              </w:rPr>
              <w:t> </w:t>
            </w:r>
          </w:p>
        </w:tc>
        <w:tc>
          <w:tcPr>
            <w:tcW w:w="4527" w:type="dxa"/>
            <w:tcBorders>
              <w:top w:val="nil"/>
              <w:left w:val="nil"/>
              <w:bottom w:val="single" w:sz="4" w:space="0" w:color="auto"/>
              <w:right w:val="nil"/>
            </w:tcBorders>
            <w:shd w:val="clear" w:color="auto" w:fill="auto"/>
            <w:vAlign w:val="center"/>
            <w:hideMark/>
          </w:tcPr>
          <w:p w14:paraId="3702F5FD" w14:textId="77777777" w:rsidR="00580CBB" w:rsidRPr="009A501D" w:rsidRDefault="00580CBB" w:rsidP="00664A1D">
            <w:pPr>
              <w:spacing w:after="0" w:line="240" w:lineRule="auto"/>
              <w:rPr>
                <w:rFonts w:ascii="Century Gothic" w:eastAsia="Times New Roman" w:hAnsi="Century Gothic" w:cs="Arial"/>
                <w:sz w:val="16"/>
                <w:szCs w:val="16"/>
              </w:rPr>
            </w:pPr>
            <w:r w:rsidRPr="009A501D">
              <w:rPr>
                <w:rFonts w:ascii="Century Gothic" w:eastAsia="Times New Roman" w:hAnsi="Century Gothic" w:cs="Arial"/>
                <w:sz w:val="16"/>
                <w:szCs w:val="16"/>
              </w:rPr>
              <w:t>Programas sectoriales/especiales</w:t>
            </w:r>
          </w:p>
        </w:tc>
        <w:tc>
          <w:tcPr>
            <w:tcW w:w="9213" w:type="dxa"/>
            <w:vMerge/>
            <w:tcBorders>
              <w:top w:val="nil"/>
              <w:left w:val="nil"/>
              <w:bottom w:val="single" w:sz="4" w:space="0" w:color="000000"/>
              <w:right w:val="nil"/>
            </w:tcBorders>
            <w:vAlign w:val="center"/>
            <w:hideMark/>
          </w:tcPr>
          <w:p w14:paraId="07A3C6B3" w14:textId="77777777" w:rsidR="00580CBB" w:rsidRPr="009A501D" w:rsidRDefault="00580CBB" w:rsidP="00664A1D">
            <w:pPr>
              <w:spacing w:after="0" w:line="240" w:lineRule="auto"/>
              <w:rPr>
                <w:rFonts w:ascii="Century Gothic" w:eastAsia="Times New Roman" w:hAnsi="Century Gothic" w:cs="Arial"/>
                <w:color w:val="000000"/>
                <w:sz w:val="16"/>
                <w:szCs w:val="16"/>
              </w:rPr>
            </w:pPr>
          </w:p>
        </w:tc>
      </w:tr>
    </w:tbl>
    <w:p w14:paraId="6E16389F" w14:textId="77777777" w:rsidR="00580CBB" w:rsidRPr="009A501D" w:rsidRDefault="00580CBB" w:rsidP="00664A1D">
      <w:pPr>
        <w:spacing w:before="240"/>
        <w:rPr>
          <w:rFonts w:ascii="Century Gothic" w:hAnsi="Century Gothic"/>
          <w:sz w:val="19"/>
          <w:szCs w:val="19"/>
        </w:rPr>
      </w:pPr>
      <w:r w:rsidRPr="009A501D">
        <w:rPr>
          <w:rFonts w:ascii="Century Gothic" w:hAnsi="Century Gothic"/>
          <w:sz w:val="19"/>
          <w:szCs w:val="19"/>
        </w:rPr>
        <w:br w:type="page"/>
      </w:r>
    </w:p>
    <w:p w14:paraId="095EA624" w14:textId="0859E54D" w:rsidR="00580CBB" w:rsidRPr="009A501D" w:rsidRDefault="00580CBB" w:rsidP="00664A1D">
      <w:pPr>
        <w:spacing w:before="240"/>
        <w:jc w:val="both"/>
        <w:rPr>
          <w:rFonts w:ascii="Century Gothic" w:hAnsi="Century Gothic"/>
          <w:sz w:val="19"/>
          <w:szCs w:val="19"/>
        </w:rPr>
      </w:pPr>
      <w:r w:rsidRPr="009A501D">
        <w:rPr>
          <w:rFonts w:ascii="Century Gothic" w:hAnsi="Century Gothic"/>
          <w:sz w:val="19"/>
          <w:szCs w:val="19"/>
        </w:rPr>
        <w:lastRenderedPageBreak/>
        <w:t xml:space="preserve">En el cuadro A.1.7 se presenta el uso de cada uno de los </w:t>
      </w:r>
      <w:r w:rsidR="0067173D" w:rsidRPr="009A501D">
        <w:rPr>
          <w:rFonts w:ascii="Century Gothic" w:hAnsi="Century Gothic"/>
          <w:sz w:val="19"/>
          <w:szCs w:val="19"/>
        </w:rPr>
        <w:t>programas</w:t>
      </w:r>
      <w:r w:rsidRPr="009A501D">
        <w:rPr>
          <w:rFonts w:ascii="Century Gothic" w:hAnsi="Century Gothic"/>
          <w:sz w:val="19"/>
          <w:szCs w:val="19"/>
        </w:rPr>
        <w:t xml:space="preserve"> de </w:t>
      </w:r>
      <w:r w:rsidR="0067173D" w:rsidRPr="009A501D">
        <w:rPr>
          <w:rFonts w:ascii="Century Gothic" w:hAnsi="Century Gothic"/>
          <w:sz w:val="19"/>
          <w:szCs w:val="19"/>
        </w:rPr>
        <w:t>información</w:t>
      </w:r>
      <w:r w:rsidRPr="009A501D">
        <w:rPr>
          <w:rFonts w:ascii="Century Gothic" w:hAnsi="Century Gothic"/>
          <w:sz w:val="19"/>
          <w:szCs w:val="19"/>
        </w:rPr>
        <w:t xml:space="preserve"> </w:t>
      </w:r>
      <w:r w:rsidR="000979CF" w:rsidRPr="009A501D">
        <w:rPr>
          <w:rFonts w:ascii="Century Gothic" w:hAnsi="Century Gothic"/>
          <w:sz w:val="19"/>
          <w:szCs w:val="19"/>
        </w:rPr>
        <w:t>o procesos de producció</w:t>
      </w:r>
      <w:r w:rsidR="006B6580" w:rsidRPr="009A501D">
        <w:rPr>
          <w:rFonts w:ascii="Century Gothic" w:hAnsi="Century Gothic"/>
          <w:sz w:val="19"/>
          <w:szCs w:val="19"/>
        </w:rPr>
        <w:t xml:space="preserve">n </w:t>
      </w:r>
      <w:r w:rsidRPr="009A501D">
        <w:rPr>
          <w:rFonts w:ascii="Century Gothic" w:hAnsi="Century Gothic"/>
          <w:sz w:val="19"/>
          <w:szCs w:val="19"/>
        </w:rPr>
        <w:t xml:space="preserve">del INEGI. </w:t>
      </w:r>
    </w:p>
    <w:p w14:paraId="388D2B74" w14:textId="111A7B83" w:rsidR="00580CBB" w:rsidRPr="009A501D" w:rsidRDefault="00580CBB" w:rsidP="00664A1D">
      <w:pPr>
        <w:spacing w:before="240"/>
        <w:jc w:val="center"/>
        <w:rPr>
          <w:rFonts w:ascii="Century Gothic" w:hAnsi="Century Gothic"/>
          <w:b/>
          <w:sz w:val="19"/>
          <w:szCs w:val="19"/>
        </w:rPr>
      </w:pPr>
      <w:r w:rsidRPr="009A501D">
        <w:rPr>
          <w:rFonts w:ascii="Century Gothic" w:hAnsi="Century Gothic"/>
          <w:b/>
          <w:sz w:val="19"/>
          <w:szCs w:val="19"/>
        </w:rPr>
        <w:t xml:space="preserve">A.1.7.  Programas de información </w:t>
      </w:r>
      <w:r w:rsidR="006B6580" w:rsidRPr="009A501D">
        <w:rPr>
          <w:rFonts w:ascii="Century Gothic" w:hAnsi="Century Gothic"/>
          <w:b/>
          <w:sz w:val="19"/>
          <w:szCs w:val="19"/>
        </w:rPr>
        <w:t xml:space="preserve">o procesos de producción </w:t>
      </w:r>
      <w:r w:rsidRPr="009A501D">
        <w:rPr>
          <w:rFonts w:ascii="Century Gothic" w:hAnsi="Century Gothic"/>
          <w:b/>
          <w:sz w:val="19"/>
          <w:szCs w:val="19"/>
        </w:rPr>
        <w:t>del INEGI por tipo de uso</w:t>
      </w:r>
      <w:r w:rsidR="00414A1B" w:rsidRPr="009A501D">
        <w:rPr>
          <w:rFonts w:ascii="Century Gothic" w:hAnsi="Century Gothic"/>
          <w:b/>
          <w:sz w:val="19"/>
          <w:szCs w:val="19"/>
        </w:rPr>
        <w:t xml:space="preserve"> en 2022</w:t>
      </w:r>
    </w:p>
    <w:tbl>
      <w:tblPr>
        <w:tblW w:w="1430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D9D9D9" w:themeFill="background1" w:themeFillShade="D9"/>
        <w:tblCellMar>
          <w:left w:w="70" w:type="dxa"/>
          <w:right w:w="70" w:type="dxa"/>
        </w:tblCellMar>
        <w:tblLook w:val="04A0" w:firstRow="1" w:lastRow="0" w:firstColumn="1" w:lastColumn="0" w:noHBand="0" w:noVBand="1"/>
      </w:tblPr>
      <w:tblGrid>
        <w:gridCol w:w="876"/>
        <w:gridCol w:w="3876"/>
        <w:gridCol w:w="1139"/>
        <w:gridCol w:w="1382"/>
        <w:gridCol w:w="1300"/>
        <w:gridCol w:w="1065"/>
        <w:gridCol w:w="1132"/>
        <w:gridCol w:w="657"/>
        <w:gridCol w:w="1145"/>
        <w:gridCol w:w="681"/>
        <w:gridCol w:w="1052"/>
      </w:tblGrid>
      <w:tr w:rsidR="000F54A5" w:rsidRPr="009A501D" w14:paraId="1E6365CD" w14:textId="77777777" w:rsidTr="00664A1D">
        <w:trPr>
          <w:trHeight w:val="284"/>
          <w:tblHeader/>
          <w:jc w:val="center"/>
        </w:trPr>
        <w:tc>
          <w:tcPr>
            <w:tcW w:w="876" w:type="dxa"/>
            <w:shd w:val="clear" w:color="auto" w:fill="002060"/>
            <w:vAlign w:val="center"/>
            <w:hideMark/>
          </w:tcPr>
          <w:p w14:paraId="4BB84730" w14:textId="47C9B21E"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UA</w:t>
            </w:r>
          </w:p>
        </w:tc>
        <w:tc>
          <w:tcPr>
            <w:tcW w:w="3936" w:type="dxa"/>
            <w:shd w:val="clear" w:color="auto" w:fill="002060"/>
            <w:vAlign w:val="center"/>
            <w:hideMark/>
          </w:tcPr>
          <w:p w14:paraId="778FD5E6" w14:textId="7A59DAB9"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Programa</w:t>
            </w:r>
            <w:r w:rsidR="006B6580" w:rsidRPr="009A501D">
              <w:rPr>
                <w:rFonts w:ascii="Century Gothic" w:eastAsia="Times New Roman" w:hAnsi="Century Gothic" w:cs="Arial"/>
                <w:b/>
                <w:bCs/>
                <w:color w:val="FFFFFF" w:themeColor="background1"/>
                <w:sz w:val="16"/>
                <w:szCs w:val="16"/>
                <w:lang w:eastAsia="es-MX"/>
              </w:rPr>
              <w:t xml:space="preserve"> o proceso</w:t>
            </w:r>
          </w:p>
        </w:tc>
        <w:tc>
          <w:tcPr>
            <w:tcW w:w="1140" w:type="dxa"/>
            <w:shd w:val="clear" w:color="auto" w:fill="002060"/>
            <w:vAlign w:val="center"/>
            <w:hideMark/>
          </w:tcPr>
          <w:p w14:paraId="640DD41C" w14:textId="6E157682"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Constitución Y Leyes</w:t>
            </w:r>
          </w:p>
        </w:tc>
        <w:tc>
          <w:tcPr>
            <w:tcW w:w="1383" w:type="dxa"/>
            <w:shd w:val="clear" w:color="auto" w:fill="002060"/>
            <w:vAlign w:val="center"/>
            <w:hideMark/>
          </w:tcPr>
          <w:p w14:paraId="018F243F" w14:textId="1976FEE3"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Tratados Internacionales</w:t>
            </w:r>
          </w:p>
        </w:tc>
        <w:tc>
          <w:tcPr>
            <w:tcW w:w="1307" w:type="dxa"/>
            <w:shd w:val="clear" w:color="auto" w:fill="002060"/>
            <w:vAlign w:val="center"/>
            <w:hideMark/>
          </w:tcPr>
          <w:p w14:paraId="6B6E31D7" w14:textId="438C00A1"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Programas Sectoriales / Especiales / Nacionales</w:t>
            </w:r>
          </w:p>
        </w:tc>
        <w:tc>
          <w:tcPr>
            <w:tcW w:w="992" w:type="dxa"/>
            <w:shd w:val="clear" w:color="auto" w:fill="002060"/>
            <w:vAlign w:val="center"/>
            <w:hideMark/>
          </w:tcPr>
          <w:p w14:paraId="7D7B04B5" w14:textId="63175EF7"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Indicadores Clave</w:t>
            </w:r>
          </w:p>
        </w:tc>
        <w:tc>
          <w:tcPr>
            <w:tcW w:w="1134" w:type="dxa"/>
            <w:shd w:val="clear" w:color="auto" w:fill="002060"/>
            <w:vAlign w:val="center"/>
            <w:hideMark/>
          </w:tcPr>
          <w:p w14:paraId="73708604" w14:textId="1567ABB6"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Indicadores ODS</w:t>
            </w:r>
          </w:p>
        </w:tc>
        <w:tc>
          <w:tcPr>
            <w:tcW w:w="657" w:type="dxa"/>
            <w:shd w:val="clear" w:color="auto" w:fill="002060"/>
            <w:vAlign w:val="center"/>
            <w:hideMark/>
          </w:tcPr>
          <w:p w14:paraId="3ED247CE" w14:textId="53987434"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PND-Metas (</w:t>
            </w:r>
            <w:proofErr w:type="gramStart"/>
            <w:r w:rsidRPr="009A501D">
              <w:rPr>
                <w:rFonts w:ascii="Century Gothic" w:eastAsia="Times New Roman" w:hAnsi="Century Gothic" w:cs="Arial"/>
                <w:b/>
                <w:bCs/>
                <w:color w:val="FFFFFF" w:themeColor="background1"/>
                <w:sz w:val="16"/>
                <w:szCs w:val="16"/>
                <w:lang w:eastAsia="es-MX"/>
              </w:rPr>
              <w:t xml:space="preserve">DOF)   </w:t>
            </w:r>
            <w:proofErr w:type="gramEnd"/>
            <w:r w:rsidRPr="009A501D">
              <w:rPr>
                <w:rFonts w:ascii="Century Gothic" w:eastAsia="Times New Roman" w:hAnsi="Century Gothic" w:cs="Arial"/>
                <w:b/>
                <w:bCs/>
                <w:color w:val="FFFFFF" w:themeColor="background1"/>
                <w:sz w:val="16"/>
                <w:szCs w:val="16"/>
                <w:lang w:eastAsia="es-MX"/>
              </w:rPr>
              <w:t xml:space="preserve">                                                </w:t>
            </w:r>
          </w:p>
        </w:tc>
        <w:tc>
          <w:tcPr>
            <w:tcW w:w="1145" w:type="dxa"/>
            <w:shd w:val="clear" w:color="auto" w:fill="002060"/>
            <w:vAlign w:val="center"/>
            <w:hideMark/>
          </w:tcPr>
          <w:p w14:paraId="24198985" w14:textId="7E68BE4B"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Acceso a Microdatos (Laboratorio)</w:t>
            </w:r>
          </w:p>
        </w:tc>
        <w:tc>
          <w:tcPr>
            <w:tcW w:w="681" w:type="dxa"/>
            <w:shd w:val="clear" w:color="auto" w:fill="002060"/>
            <w:vAlign w:val="center"/>
            <w:hideMark/>
          </w:tcPr>
          <w:p w14:paraId="02BD8B70" w14:textId="6079F6CD"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 xml:space="preserve">Página </w:t>
            </w:r>
            <w:r w:rsidR="00CC68CB" w:rsidRPr="009A501D">
              <w:rPr>
                <w:rFonts w:ascii="Century Gothic" w:eastAsia="Times New Roman" w:hAnsi="Century Gothic" w:cs="Arial"/>
                <w:b/>
                <w:bCs/>
                <w:color w:val="FFFFFF" w:themeColor="background1"/>
                <w:sz w:val="16"/>
                <w:szCs w:val="16"/>
                <w:lang w:eastAsia="es-MX"/>
              </w:rPr>
              <w:t>INEGI</w:t>
            </w:r>
          </w:p>
        </w:tc>
        <w:tc>
          <w:tcPr>
            <w:tcW w:w="1054" w:type="dxa"/>
            <w:shd w:val="clear" w:color="auto" w:fill="002060"/>
            <w:vAlign w:val="center"/>
            <w:hideMark/>
          </w:tcPr>
          <w:p w14:paraId="3C9AEC2E" w14:textId="3AEFE3D8" w:rsidR="000F54A5" w:rsidRPr="009A501D" w:rsidRDefault="000F54A5" w:rsidP="00BE0B71">
            <w:pPr>
              <w:spacing w:after="0" w:line="240" w:lineRule="auto"/>
              <w:jc w:val="center"/>
              <w:rPr>
                <w:rFonts w:ascii="Century Gothic" w:eastAsia="Times New Roman" w:hAnsi="Century Gothic" w:cs="Arial"/>
                <w:b/>
                <w:bCs/>
                <w:color w:val="FFFFFF" w:themeColor="background1"/>
                <w:sz w:val="16"/>
                <w:szCs w:val="16"/>
                <w:lang w:eastAsia="es-MX"/>
              </w:rPr>
            </w:pPr>
            <w:r w:rsidRPr="009A501D">
              <w:rPr>
                <w:rFonts w:ascii="Century Gothic" w:eastAsia="Times New Roman" w:hAnsi="Century Gothic" w:cs="Arial"/>
                <w:b/>
                <w:bCs/>
                <w:color w:val="FFFFFF" w:themeColor="background1"/>
                <w:sz w:val="16"/>
                <w:szCs w:val="16"/>
                <w:lang w:eastAsia="es-MX"/>
              </w:rPr>
              <w:t xml:space="preserve">Insumos para otros Programas </w:t>
            </w:r>
          </w:p>
        </w:tc>
      </w:tr>
      <w:tr w:rsidR="007A584C" w:rsidRPr="009A501D" w14:paraId="40DA8922" w14:textId="77777777" w:rsidTr="007A584C">
        <w:trPr>
          <w:trHeight w:val="284"/>
          <w:jc w:val="center"/>
        </w:trPr>
        <w:tc>
          <w:tcPr>
            <w:tcW w:w="876" w:type="dxa"/>
            <w:shd w:val="clear" w:color="auto" w:fill="BDD6EE" w:themeFill="accent1" w:themeFillTint="66"/>
            <w:vAlign w:val="center"/>
            <w:hideMark/>
          </w:tcPr>
          <w:p w14:paraId="66451FB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04DEC32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Balanza Comercial de Mercancías de México</w:t>
            </w:r>
          </w:p>
        </w:tc>
        <w:tc>
          <w:tcPr>
            <w:tcW w:w="1140" w:type="dxa"/>
            <w:shd w:val="clear" w:color="auto" w:fill="BDD6EE" w:themeFill="accent1" w:themeFillTint="66"/>
            <w:vAlign w:val="center"/>
            <w:hideMark/>
          </w:tcPr>
          <w:p w14:paraId="70F1FC9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0E753BD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4285D6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238EC16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369D7B9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529AD8B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9780F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DE98F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43F70E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B4DCB0F" w14:textId="77777777" w:rsidTr="007A584C">
        <w:trPr>
          <w:trHeight w:val="284"/>
          <w:jc w:val="center"/>
        </w:trPr>
        <w:tc>
          <w:tcPr>
            <w:tcW w:w="876" w:type="dxa"/>
            <w:shd w:val="clear" w:color="auto" w:fill="BDD6EE" w:themeFill="accent1" w:themeFillTint="66"/>
            <w:vAlign w:val="center"/>
            <w:hideMark/>
          </w:tcPr>
          <w:p w14:paraId="1ACBC11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15BB136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Censos Económicos</w:t>
            </w:r>
          </w:p>
        </w:tc>
        <w:tc>
          <w:tcPr>
            <w:tcW w:w="1140" w:type="dxa"/>
            <w:shd w:val="clear" w:color="auto" w:fill="BDD6EE" w:themeFill="accent1" w:themeFillTint="66"/>
            <w:vAlign w:val="center"/>
            <w:hideMark/>
          </w:tcPr>
          <w:p w14:paraId="44E428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0002725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78E8A16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0F85090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7DB7DE5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11DA25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8D2BF5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80453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91024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4E1596CA" w14:textId="77777777" w:rsidTr="007A584C">
        <w:trPr>
          <w:trHeight w:val="284"/>
          <w:jc w:val="center"/>
        </w:trPr>
        <w:tc>
          <w:tcPr>
            <w:tcW w:w="876" w:type="dxa"/>
            <w:shd w:val="clear" w:color="auto" w:fill="BDD6EE" w:themeFill="accent1" w:themeFillTint="66"/>
            <w:vAlign w:val="center"/>
            <w:hideMark/>
          </w:tcPr>
          <w:p w14:paraId="6273C88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0EE1BBB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de Población y Vivienda</w:t>
            </w:r>
          </w:p>
        </w:tc>
        <w:tc>
          <w:tcPr>
            <w:tcW w:w="1140" w:type="dxa"/>
            <w:shd w:val="clear" w:color="auto" w:fill="BDD6EE" w:themeFill="accent1" w:themeFillTint="66"/>
            <w:vAlign w:val="center"/>
            <w:hideMark/>
          </w:tcPr>
          <w:p w14:paraId="04EB23F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BCE7A7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4B3CFD9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DDAA72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484BA70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1953E7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2EC994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9C18ED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1928C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8D3DC81" w14:textId="77777777" w:rsidTr="007A584C">
        <w:trPr>
          <w:trHeight w:val="284"/>
          <w:jc w:val="center"/>
        </w:trPr>
        <w:tc>
          <w:tcPr>
            <w:tcW w:w="876" w:type="dxa"/>
            <w:shd w:val="clear" w:color="auto" w:fill="BDD6EE" w:themeFill="accent1" w:themeFillTint="66"/>
            <w:vAlign w:val="center"/>
            <w:hideMark/>
          </w:tcPr>
          <w:p w14:paraId="2D4698F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08668CC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Ingresos y Gastos de los Hogares</w:t>
            </w:r>
          </w:p>
        </w:tc>
        <w:tc>
          <w:tcPr>
            <w:tcW w:w="1140" w:type="dxa"/>
            <w:shd w:val="clear" w:color="auto" w:fill="BDD6EE" w:themeFill="accent1" w:themeFillTint="66"/>
            <w:vAlign w:val="center"/>
            <w:hideMark/>
          </w:tcPr>
          <w:p w14:paraId="61327F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695FFA2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220CA53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5A2A79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2A74EA0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6242297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F3D92C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8356A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44010D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4540FDC7" w14:textId="77777777" w:rsidTr="007A584C">
        <w:trPr>
          <w:trHeight w:val="284"/>
          <w:jc w:val="center"/>
        </w:trPr>
        <w:tc>
          <w:tcPr>
            <w:tcW w:w="876" w:type="dxa"/>
            <w:shd w:val="clear" w:color="auto" w:fill="BDD6EE" w:themeFill="accent1" w:themeFillTint="66"/>
            <w:vAlign w:val="center"/>
            <w:hideMark/>
          </w:tcPr>
          <w:p w14:paraId="32BF221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698CD04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la Dinámica Demográfica</w:t>
            </w:r>
          </w:p>
        </w:tc>
        <w:tc>
          <w:tcPr>
            <w:tcW w:w="1140" w:type="dxa"/>
            <w:shd w:val="clear" w:color="auto" w:fill="BDD6EE" w:themeFill="accent1" w:themeFillTint="66"/>
            <w:vAlign w:val="center"/>
            <w:hideMark/>
          </w:tcPr>
          <w:p w14:paraId="5A1E5B6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9A465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12CAD12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09C7BD6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4EB933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31EAC9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7434D9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C0551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319864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6A83098B" w14:textId="77777777" w:rsidTr="007A584C">
        <w:trPr>
          <w:trHeight w:val="284"/>
          <w:jc w:val="center"/>
        </w:trPr>
        <w:tc>
          <w:tcPr>
            <w:tcW w:w="876" w:type="dxa"/>
            <w:shd w:val="clear" w:color="auto" w:fill="BDD6EE" w:themeFill="accent1" w:themeFillTint="66"/>
            <w:vAlign w:val="center"/>
            <w:hideMark/>
          </w:tcPr>
          <w:p w14:paraId="695486A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6ABF43F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Ocupación y Empleo</w:t>
            </w:r>
          </w:p>
        </w:tc>
        <w:tc>
          <w:tcPr>
            <w:tcW w:w="1140" w:type="dxa"/>
            <w:shd w:val="clear" w:color="auto" w:fill="BDD6EE" w:themeFill="accent1" w:themeFillTint="66"/>
            <w:vAlign w:val="center"/>
            <w:hideMark/>
          </w:tcPr>
          <w:p w14:paraId="469FE9A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7FD43E2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C605F3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8328CB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764C1A7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60A15CD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972A0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D7CBD2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570914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027D211" w14:textId="77777777" w:rsidTr="007A584C">
        <w:trPr>
          <w:trHeight w:val="284"/>
          <w:jc w:val="center"/>
        </w:trPr>
        <w:tc>
          <w:tcPr>
            <w:tcW w:w="876" w:type="dxa"/>
            <w:shd w:val="clear" w:color="auto" w:fill="BDD6EE" w:themeFill="accent1" w:themeFillTint="66"/>
            <w:vAlign w:val="center"/>
            <w:hideMark/>
          </w:tcPr>
          <w:p w14:paraId="4011F9C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0CA830C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Ocupación y Empleo Nueva Edición</w:t>
            </w:r>
          </w:p>
        </w:tc>
        <w:tc>
          <w:tcPr>
            <w:tcW w:w="1140" w:type="dxa"/>
            <w:shd w:val="clear" w:color="auto" w:fill="BDD6EE" w:themeFill="accent1" w:themeFillTint="66"/>
            <w:vAlign w:val="center"/>
            <w:hideMark/>
          </w:tcPr>
          <w:p w14:paraId="2B64ABF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0271DB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7ABEBA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97BDD9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4FF038E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4DC4C4D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0C0902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665E6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E4AA1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118C9F4" w14:textId="77777777" w:rsidTr="007A584C">
        <w:trPr>
          <w:trHeight w:val="284"/>
          <w:jc w:val="center"/>
        </w:trPr>
        <w:tc>
          <w:tcPr>
            <w:tcW w:w="876" w:type="dxa"/>
            <w:shd w:val="clear" w:color="auto" w:fill="BDD6EE" w:themeFill="accent1" w:themeFillTint="66"/>
            <w:vAlign w:val="center"/>
            <w:hideMark/>
          </w:tcPr>
          <w:p w14:paraId="32B2A69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0AAD2B6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Uso de suelo y vegetación</w:t>
            </w:r>
          </w:p>
        </w:tc>
        <w:tc>
          <w:tcPr>
            <w:tcW w:w="1140" w:type="dxa"/>
            <w:shd w:val="clear" w:color="auto" w:fill="BDD6EE" w:themeFill="accent1" w:themeFillTint="66"/>
            <w:vAlign w:val="center"/>
            <w:hideMark/>
          </w:tcPr>
          <w:p w14:paraId="306795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10EA522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85D9D7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0A6EEA8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C26E52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5B32BD6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499BC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8DE02B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81B79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0E07E993" w14:textId="77777777" w:rsidTr="007A584C">
        <w:trPr>
          <w:trHeight w:val="284"/>
          <w:jc w:val="center"/>
        </w:trPr>
        <w:tc>
          <w:tcPr>
            <w:tcW w:w="876" w:type="dxa"/>
            <w:shd w:val="clear" w:color="auto" w:fill="BDD6EE" w:themeFill="accent1" w:themeFillTint="66"/>
            <w:vAlign w:val="center"/>
            <w:hideMark/>
          </w:tcPr>
          <w:p w14:paraId="1F086E2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2175D5A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Gobiernos Estatales</w:t>
            </w:r>
          </w:p>
        </w:tc>
        <w:tc>
          <w:tcPr>
            <w:tcW w:w="1140" w:type="dxa"/>
            <w:shd w:val="clear" w:color="auto" w:fill="BDD6EE" w:themeFill="accent1" w:themeFillTint="66"/>
            <w:vAlign w:val="center"/>
            <w:hideMark/>
          </w:tcPr>
          <w:p w14:paraId="4093716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7372DD5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18A2AA7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3372C9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5AE385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17B488C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3EFD0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223428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DBCC61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5C39382F" w14:textId="77777777" w:rsidTr="007A584C">
        <w:trPr>
          <w:trHeight w:val="284"/>
          <w:jc w:val="center"/>
        </w:trPr>
        <w:tc>
          <w:tcPr>
            <w:tcW w:w="876" w:type="dxa"/>
            <w:shd w:val="clear" w:color="auto" w:fill="BDD6EE" w:themeFill="accent1" w:themeFillTint="66"/>
            <w:vAlign w:val="center"/>
            <w:hideMark/>
          </w:tcPr>
          <w:p w14:paraId="60986CF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529A15C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Gobiernos Municipales y Demarcaciones Territoriales de la Ciudad de México</w:t>
            </w:r>
          </w:p>
        </w:tc>
        <w:tc>
          <w:tcPr>
            <w:tcW w:w="1140" w:type="dxa"/>
            <w:shd w:val="clear" w:color="auto" w:fill="BDD6EE" w:themeFill="accent1" w:themeFillTint="66"/>
            <w:vAlign w:val="center"/>
            <w:hideMark/>
          </w:tcPr>
          <w:p w14:paraId="7C42546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17ACB67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7E1560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AAE90C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15F5FA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1889FFB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122B6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BCB31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D3819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4711B16E" w14:textId="77777777" w:rsidTr="007A584C">
        <w:trPr>
          <w:trHeight w:val="284"/>
          <w:jc w:val="center"/>
        </w:trPr>
        <w:tc>
          <w:tcPr>
            <w:tcW w:w="876" w:type="dxa"/>
            <w:shd w:val="clear" w:color="auto" w:fill="BDD6EE" w:themeFill="accent1" w:themeFillTint="66"/>
            <w:vAlign w:val="center"/>
            <w:hideMark/>
          </w:tcPr>
          <w:p w14:paraId="1A2D523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57B879D9"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la Dinámica de las Relaciones en los Hogares</w:t>
            </w:r>
          </w:p>
        </w:tc>
        <w:tc>
          <w:tcPr>
            <w:tcW w:w="1140" w:type="dxa"/>
            <w:shd w:val="clear" w:color="auto" w:fill="BDD6EE" w:themeFill="accent1" w:themeFillTint="66"/>
            <w:vAlign w:val="center"/>
            <w:hideMark/>
          </w:tcPr>
          <w:p w14:paraId="5B2760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10B028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11E60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155A20D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3DAA859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51D3AF2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0F30E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7844D4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995E8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2EFB5D1C" w14:textId="77777777" w:rsidTr="007A584C">
        <w:trPr>
          <w:trHeight w:val="284"/>
          <w:jc w:val="center"/>
        </w:trPr>
        <w:tc>
          <w:tcPr>
            <w:tcW w:w="876" w:type="dxa"/>
            <w:shd w:val="clear" w:color="auto" w:fill="BDD6EE" w:themeFill="accent1" w:themeFillTint="66"/>
            <w:vAlign w:val="center"/>
            <w:hideMark/>
          </w:tcPr>
          <w:p w14:paraId="0CD0AD7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3C9A91C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Estadísticas de Defunciones Registradas</w:t>
            </w:r>
          </w:p>
        </w:tc>
        <w:tc>
          <w:tcPr>
            <w:tcW w:w="1140" w:type="dxa"/>
            <w:shd w:val="clear" w:color="auto" w:fill="BDD6EE" w:themeFill="accent1" w:themeFillTint="66"/>
            <w:vAlign w:val="center"/>
            <w:hideMark/>
          </w:tcPr>
          <w:p w14:paraId="10D775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4BC0E6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2D8129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4F20558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267D143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277CB64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66A96A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7221F64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BF206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06073E0B" w14:textId="77777777" w:rsidTr="007A584C">
        <w:trPr>
          <w:trHeight w:val="284"/>
          <w:jc w:val="center"/>
        </w:trPr>
        <w:tc>
          <w:tcPr>
            <w:tcW w:w="876" w:type="dxa"/>
            <w:shd w:val="clear" w:color="auto" w:fill="BDD6EE" w:themeFill="accent1" w:themeFillTint="66"/>
            <w:vAlign w:val="center"/>
            <w:hideMark/>
          </w:tcPr>
          <w:p w14:paraId="7C2FB9F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4DFDF47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Cuentas por Actividades Económicas</w:t>
            </w:r>
          </w:p>
        </w:tc>
        <w:tc>
          <w:tcPr>
            <w:tcW w:w="1140" w:type="dxa"/>
            <w:shd w:val="clear" w:color="auto" w:fill="BDD6EE" w:themeFill="accent1" w:themeFillTint="66"/>
            <w:vAlign w:val="center"/>
            <w:hideMark/>
          </w:tcPr>
          <w:p w14:paraId="2297B0C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065835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416C20D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C3453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2E7E25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3863FD6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EFCD65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4B6DE5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67C34E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75A0E15C" w14:textId="77777777" w:rsidTr="007A584C">
        <w:trPr>
          <w:trHeight w:val="284"/>
          <w:jc w:val="center"/>
        </w:trPr>
        <w:tc>
          <w:tcPr>
            <w:tcW w:w="876" w:type="dxa"/>
            <w:shd w:val="clear" w:color="auto" w:fill="BDD6EE" w:themeFill="accent1" w:themeFillTint="66"/>
            <w:vAlign w:val="center"/>
            <w:hideMark/>
          </w:tcPr>
          <w:p w14:paraId="5EE3EC9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68F7FFF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Cuentas por Sectores Institucionales</w:t>
            </w:r>
          </w:p>
        </w:tc>
        <w:tc>
          <w:tcPr>
            <w:tcW w:w="1140" w:type="dxa"/>
            <w:shd w:val="clear" w:color="auto" w:fill="BDD6EE" w:themeFill="accent1" w:themeFillTint="66"/>
            <w:vAlign w:val="center"/>
            <w:hideMark/>
          </w:tcPr>
          <w:p w14:paraId="0D24BAB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51CF4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2DAA9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299470A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3EB2861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61CF0ED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F7A7E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94611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02BA68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7F527373" w14:textId="77777777" w:rsidTr="007A584C">
        <w:trPr>
          <w:trHeight w:val="284"/>
          <w:jc w:val="center"/>
        </w:trPr>
        <w:tc>
          <w:tcPr>
            <w:tcW w:w="876" w:type="dxa"/>
            <w:shd w:val="clear" w:color="auto" w:fill="BDD6EE" w:themeFill="accent1" w:themeFillTint="66"/>
            <w:vAlign w:val="center"/>
            <w:hideMark/>
          </w:tcPr>
          <w:p w14:paraId="37F26F79"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6AAB41E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Cuentas temáticas</w:t>
            </w:r>
          </w:p>
        </w:tc>
        <w:tc>
          <w:tcPr>
            <w:tcW w:w="1140" w:type="dxa"/>
            <w:shd w:val="clear" w:color="auto" w:fill="BDD6EE" w:themeFill="accent1" w:themeFillTint="66"/>
            <w:vAlign w:val="center"/>
            <w:hideMark/>
          </w:tcPr>
          <w:p w14:paraId="470C500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E66E1D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BF342B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0E5303C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21C4C3F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149E5F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AC6695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8C50D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AA38C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427CE621" w14:textId="77777777" w:rsidTr="007A584C">
        <w:trPr>
          <w:trHeight w:val="284"/>
          <w:jc w:val="center"/>
        </w:trPr>
        <w:tc>
          <w:tcPr>
            <w:tcW w:w="876" w:type="dxa"/>
            <w:shd w:val="clear" w:color="auto" w:fill="BDD6EE" w:themeFill="accent1" w:themeFillTint="66"/>
            <w:vAlign w:val="center"/>
            <w:hideMark/>
          </w:tcPr>
          <w:p w14:paraId="1923F84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13F81B5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Calidad e Impacto Gubernamental</w:t>
            </w:r>
          </w:p>
        </w:tc>
        <w:tc>
          <w:tcPr>
            <w:tcW w:w="1140" w:type="dxa"/>
            <w:shd w:val="clear" w:color="auto" w:fill="BDD6EE" w:themeFill="accent1" w:themeFillTint="66"/>
            <w:vAlign w:val="center"/>
            <w:hideMark/>
          </w:tcPr>
          <w:p w14:paraId="303E0C9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775958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4F56CD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65DABC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3292ECA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498E48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2930F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0EBA994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7960CF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43895C04" w14:textId="77777777" w:rsidTr="007A584C">
        <w:trPr>
          <w:trHeight w:val="284"/>
          <w:jc w:val="center"/>
        </w:trPr>
        <w:tc>
          <w:tcPr>
            <w:tcW w:w="876" w:type="dxa"/>
            <w:shd w:val="clear" w:color="auto" w:fill="BDD6EE" w:themeFill="accent1" w:themeFillTint="66"/>
            <w:vAlign w:val="center"/>
            <w:hideMark/>
          </w:tcPr>
          <w:p w14:paraId="4C955DD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193F24B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Victimización y Percepción sobre Seguridad Pública</w:t>
            </w:r>
          </w:p>
        </w:tc>
        <w:tc>
          <w:tcPr>
            <w:tcW w:w="1140" w:type="dxa"/>
            <w:shd w:val="clear" w:color="auto" w:fill="BDD6EE" w:themeFill="accent1" w:themeFillTint="66"/>
            <w:vAlign w:val="center"/>
            <w:hideMark/>
          </w:tcPr>
          <w:p w14:paraId="266FEE6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2F1A87B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27D45E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1941EB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10E9964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6C3771A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60F9BD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FDA32F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0E104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77DE6469" w14:textId="77777777" w:rsidTr="007A584C">
        <w:trPr>
          <w:trHeight w:val="284"/>
          <w:jc w:val="center"/>
        </w:trPr>
        <w:tc>
          <w:tcPr>
            <w:tcW w:w="876" w:type="dxa"/>
            <w:shd w:val="clear" w:color="auto" w:fill="BDD6EE" w:themeFill="accent1" w:themeFillTint="66"/>
            <w:vAlign w:val="center"/>
            <w:hideMark/>
          </w:tcPr>
          <w:p w14:paraId="079BD3D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001A45B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Índice Nacional de Precios al Consumidor</w:t>
            </w:r>
          </w:p>
        </w:tc>
        <w:tc>
          <w:tcPr>
            <w:tcW w:w="1140" w:type="dxa"/>
            <w:shd w:val="clear" w:color="auto" w:fill="BDD6EE" w:themeFill="accent1" w:themeFillTint="66"/>
            <w:vAlign w:val="center"/>
            <w:hideMark/>
          </w:tcPr>
          <w:p w14:paraId="0AF0F47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8E0410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2E2C1ED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DA84FE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6D0E78C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5F3B7F8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0897F17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816A4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7AB76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F5299A0" w14:textId="77777777" w:rsidTr="007A584C">
        <w:trPr>
          <w:trHeight w:val="284"/>
          <w:jc w:val="center"/>
        </w:trPr>
        <w:tc>
          <w:tcPr>
            <w:tcW w:w="876" w:type="dxa"/>
            <w:shd w:val="clear" w:color="auto" w:fill="BDD6EE" w:themeFill="accent1" w:themeFillTint="66"/>
            <w:vAlign w:val="center"/>
            <w:hideMark/>
          </w:tcPr>
          <w:p w14:paraId="29BF0D5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216FFD4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comercio</w:t>
            </w:r>
          </w:p>
        </w:tc>
        <w:tc>
          <w:tcPr>
            <w:tcW w:w="1140" w:type="dxa"/>
            <w:shd w:val="clear" w:color="auto" w:fill="BDD6EE" w:themeFill="accent1" w:themeFillTint="66"/>
            <w:vAlign w:val="center"/>
            <w:hideMark/>
          </w:tcPr>
          <w:p w14:paraId="60536BF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7B62F7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1EAF1FC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3F63D68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74292DA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6AC9B6E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77BE97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7B8FA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E7CA85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4A2DD75C" w14:textId="77777777" w:rsidTr="007A584C">
        <w:trPr>
          <w:trHeight w:val="284"/>
          <w:jc w:val="center"/>
        </w:trPr>
        <w:tc>
          <w:tcPr>
            <w:tcW w:w="876" w:type="dxa"/>
            <w:shd w:val="clear" w:color="auto" w:fill="BDD6EE" w:themeFill="accent1" w:themeFillTint="66"/>
            <w:vAlign w:val="center"/>
            <w:hideMark/>
          </w:tcPr>
          <w:p w14:paraId="0EDC535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3574E2C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Estadísticas de Defunciones Fetales</w:t>
            </w:r>
          </w:p>
        </w:tc>
        <w:tc>
          <w:tcPr>
            <w:tcW w:w="1140" w:type="dxa"/>
            <w:shd w:val="clear" w:color="auto" w:fill="BDD6EE" w:themeFill="accent1" w:themeFillTint="66"/>
            <w:vAlign w:val="center"/>
            <w:hideMark/>
          </w:tcPr>
          <w:p w14:paraId="602CC76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0EAB5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374E3FB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4FEEFDB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1E880B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6436CBE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538C43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DCB67E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F5D525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721695A6" w14:textId="77777777" w:rsidTr="007A584C">
        <w:trPr>
          <w:trHeight w:val="284"/>
          <w:jc w:val="center"/>
        </w:trPr>
        <w:tc>
          <w:tcPr>
            <w:tcW w:w="876" w:type="dxa"/>
            <w:shd w:val="clear" w:color="auto" w:fill="BDD6EE" w:themeFill="accent1" w:themeFillTint="66"/>
            <w:vAlign w:val="center"/>
            <w:hideMark/>
          </w:tcPr>
          <w:p w14:paraId="5BABBDE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66A082A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Red Nacional de Caminos</w:t>
            </w:r>
          </w:p>
        </w:tc>
        <w:tc>
          <w:tcPr>
            <w:tcW w:w="1140" w:type="dxa"/>
            <w:shd w:val="clear" w:color="auto" w:fill="BDD6EE" w:themeFill="accent1" w:themeFillTint="66"/>
            <w:vAlign w:val="center"/>
            <w:hideMark/>
          </w:tcPr>
          <w:p w14:paraId="36C1550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1E7B9E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21D363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459EFE8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7F964C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43EF154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461077A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0CAE4E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2BB9A2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3D1296D" w14:textId="77777777" w:rsidTr="007A584C">
        <w:trPr>
          <w:trHeight w:val="284"/>
          <w:jc w:val="center"/>
        </w:trPr>
        <w:tc>
          <w:tcPr>
            <w:tcW w:w="876" w:type="dxa"/>
            <w:shd w:val="clear" w:color="auto" w:fill="BDD6EE" w:themeFill="accent1" w:themeFillTint="66"/>
            <w:vAlign w:val="center"/>
            <w:hideMark/>
          </w:tcPr>
          <w:p w14:paraId="6777FCD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012AEB0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Trabajo Infantil</w:t>
            </w:r>
          </w:p>
        </w:tc>
        <w:tc>
          <w:tcPr>
            <w:tcW w:w="1140" w:type="dxa"/>
            <w:shd w:val="clear" w:color="auto" w:fill="BDD6EE" w:themeFill="accent1" w:themeFillTint="66"/>
            <w:vAlign w:val="center"/>
            <w:hideMark/>
          </w:tcPr>
          <w:p w14:paraId="6686D3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D6976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3206489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361B6E5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556412B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7B2F93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6B297B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16DB12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8327C2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11735537" w14:textId="77777777" w:rsidTr="007A584C">
        <w:trPr>
          <w:trHeight w:val="284"/>
          <w:jc w:val="center"/>
        </w:trPr>
        <w:tc>
          <w:tcPr>
            <w:tcW w:w="876" w:type="dxa"/>
            <w:shd w:val="clear" w:color="auto" w:fill="BDD6EE" w:themeFill="accent1" w:themeFillTint="66"/>
            <w:vAlign w:val="center"/>
            <w:hideMark/>
          </w:tcPr>
          <w:p w14:paraId="2A2F04D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lastRenderedPageBreak/>
              <w:t>DGEE</w:t>
            </w:r>
          </w:p>
        </w:tc>
        <w:tc>
          <w:tcPr>
            <w:tcW w:w="3936" w:type="dxa"/>
            <w:shd w:val="clear" w:color="auto" w:fill="BDD6EE" w:themeFill="accent1" w:themeFillTint="66"/>
            <w:vAlign w:val="center"/>
            <w:hideMark/>
          </w:tcPr>
          <w:p w14:paraId="68D9F94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Agropecuario</w:t>
            </w:r>
          </w:p>
        </w:tc>
        <w:tc>
          <w:tcPr>
            <w:tcW w:w="1140" w:type="dxa"/>
            <w:shd w:val="clear" w:color="auto" w:fill="BDD6EE" w:themeFill="accent1" w:themeFillTint="66"/>
            <w:vAlign w:val="center"/>
            <w:hideMark/>
          </w:tcPr>
          <w:p w14:paraId="0D3C3F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B5EF7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654E11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EFDC4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685AE7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025EEAA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E5D48C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BBE165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66D12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6F2CCA5E" w14:textId="77777777" w:rsidTr="007A584C">
        <w:trPr>
          <w:trHeight w:val="284"/>
          <w:jc w:val="center"/>
        </w:trPr>
        <w:tc>
          <w:tcPr>
            <w:tcW w:w="876" w:type="dxa"/>
            <w:shd w:val="clear" w:color="auto" w:fill="BDD6EE" w:themeFill="accent1" w:themeFillTint="66"/>
            <w:vAlign w:val="center"/>
            <w:hideMark/>
          </w:tcPr>
          <w:p w14:paraId="1098DFF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53D40CE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Estadísticas de Comercio Internacional de Servicios y Digitalización</w:t>
            </w:r>
          </w:p>
        </w:tc>
        <w:tc>
          <w:tcPr>
            <w:tcW w:w="1140" w:type="dxa"/>
            <w:shd w:val="clear" w:color="auto" w:fill="BDD6EE" w:themeFill="accent1" w:themeFillTint="66"/>
            <w:vAlign w:val="center"/>
            <w:hideMark/>
          </w:tcPr>
          <w:p w14:paraId="08FFA00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1AC24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3FCA1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1DD1C2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131EC17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DF1222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46B86B9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C05556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3A940E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7586FB10" w14:textId="77777777" w:rsidTr="007A584C">
        <w:trPr>
          <w:trHeight w:val="284"/>
          <w:jc w:val="center"/>
        </w:trPr>
        <w:tc>
          <w:tcPr>
            <w:tcW w:w="876" w:type="dxa"/>
            <w:shd w:val="clear" w:color="auto" w:fill="BDD6EE" w:themeFill="accent1" w:themeFillTint="66"/>
            <w:vAlign w:val="center"/>
            <w:hideMark/>
          </w:tcPr>
          <w:p w14:paraId="245C652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07A2078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Victimización de Empresas</w:t>
            </w:r>
          </w:p>
        </w:tc>
        <w:tc>
          <w:tcPr>
            <w:tcW w:w="1140" w:type="dxa"/>
            <w:shd w:val="clear" w:color="auto" w:fill="BDD6EE" w:themeFill="accent1" w:themeFillTint="66"/>
            <w:vAlign w:val="center"/>
            <w:hideMark/>
          </w:tcPr>
          <w:p w14:paraId="6E08796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56261B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EF3B7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6E647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3B526E4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645DF6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3D31D1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50F379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3D5A0C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25454DF4" w14:textId="77777777" w:rsidTr="007A584C">
        <w:trPr>
          <w:trHeight w:val="284"/>
          <w:jc w:val="center"/>
        </w:trPr>
        <w:tc>
          <w:tcPr>
            <w:tcW w:w="876" w:type="dxa"/>
            <w:shd w:val="clear" w:color="auto" w:fill="BDD6EE" w:themeFill="accent1" w:themeFillTint="66"/>
            <w:vAlign w:val="center"/>
            <w:hideMark/>
          </w:tcPr>
          <w:p w14:paraId="565A9B2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6CFF419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Impartición de Justicia Estatal</w:t>
            </w:r>
          </w:p>
        </w:tc>
        <w:tc>
          <w:tcPr>
            <w:tcW w:w="1140" w:type="dxa"/>
            <w:shd w:val="clear" w:color="auto" w:fill="BDD6EE" w:themeFill="accent1" w:themeFillTint="66"/>
            <w:vAlign w:val="center"/>
            <w:hideMark/>
          </w:tcPr>
          <w:p w14:paraId="17844BE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9615F3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378DDF6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58C11F6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03DEA53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0F74C69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DF3244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3C3DC6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BEB847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56E6AA2E" w14:textId="77777777" w:rsidTr="007A584C">
        <w:trPr>
          <w:trHeight w:val="284"/>
          <w:jc w:val="center"/>
        </w:trPr>
        <w:tc>
          <w:tcPr>
            <w:tcW w:w="876" w:type="dxa"/>
            <w:shd w:val="clear" w:color="auto" w:fill="BDD6EE" w:themeFill="accent1" w:themeFillTint="66"/>
            <w:vAlign w:val="center"/>
            <w:hideMark/>
          </w:tcPr>
          <w:p w14:paraId="6ECC4E1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2EDDFC3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Procuración de Justicia Estatal</w:t>
            </w:r>
          </w:p>
        </w:tc>
        <w:tc>
          <w:tcPr>
            <w:tcW w:w="1140" w:type="dxa"/>
            <w:shd w:val="clear" w:color="auto" w:fill="BDD6EE" w:themeFill="accent1" w:themeFillTint="66"/>
            <w:vAlign w:val="center"/>
            <w:hideMark/>
          </w:tcPr>
          <w:p w14:paraId="152194B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451DB1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134EA8D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BB035B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420A9A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2BDA0B5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6F1088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7E1F92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320A85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183014A5" w14:textId="77777777" w:rsidTr="007A584C">
        <w:trPr>
          <w:trHeight w:val="284"/>
          <w:jc w:val="center"/>
        </w:trPr>
        <w:tc>
          <w:tcPr>
            <w:tcW w:w="876" w:type="dxa"/>
            <w:shd w:val="clear" w:color="auto" w:fill="BDD6EE" w:themeFill="accent1" w:themeFillTint="66"/>
            <w:vAlign w:val="center"/>
            <w:hideMark/>
          </w:tcPr>
          <w:p w14:paraId="6A1B96B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3F724C9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Sistemas Penitenciarios Estatales</w:t>
            </w:r>
          </w:p>
        </w:tc>
        <w:tc>
          <w:tcPr>
            <w:tcW w:w="1140" w:type="dxa"/>
            <w:shd w:val="clear" w:color="auto" w:fill="BDD6EE" w:themeFill="accent1" w:themeFillTint="66"/>
            <w:vAlign w:val="center"/>
            <w:hideMark/>
          </w:tcPr>
          <w:p w14:paraId="1EF2043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598A25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B9A020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2E4CDFD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63453B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307D2D3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D3C494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1CD33E3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F07C5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780E7B2F" w14:textId="77777777" w:rsidTr="007A584C">
        <w:trPr>
          <w:trHeight w:val="284"/>
          <w:jc w:val="center"/>
        </w:trPr>
        <w:tc>
          <w:tcPr>
            <w:tcW w:w="876" w:type="dxa"/>
            <w:shd w:val="clear" w:color="auto" w:fill="BDD6EE" w:themeFill="accent1" w:themeFillTint="66"/>
            <w:vAlign w:val="center"/>
            <w:hideMark/>
          </w:tcPr>
          <w:p w14:paraId="0794B55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6EFCA0D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empresas constructoras</w:t>
            </w:r>
          </w:p>
        </w:tc>
        <w:tc>
          <w:tcPr>
            <w:tcW w:w="1140" w:type="dxa"/>
            <w:shd w:val="clear" w:color="auto" w:fill="BDD6EE" w:themeFill="accent1" w:themeFillTint="66"/>
            <w:vAlign w:val="center"/>
            <w:hideMark/>
          </w:tcPr>
          <w:p w14:paraId="6CB25B3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1161955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67A9D32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7917A9F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1BE00D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7D7F07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D5C485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85073B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17532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5F53C959" w14:textId="77777777" w:rsidTr="007A584C">
        <w:trPr>
          <w:trHeight w:val="284"/>
          <w:jc w:val="center"/>
        </w:trPr>
        <w:tc>
          <w:tcPr>
            <w:tcW w:w="876" w:type="dxa"/>
            <w:shd w:val="clear" w:color="auto" w:fill="BDD6EE" w:themeFill="accent1" w:themeFillTint="66"/>
            <w:vAlign w:val="center"/>
            <w:hideMark/>
          </w:tcPr>
          <w:p w14:paraId="5E989F1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201B966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industrias manufactureras</w:t>
            </w:r>
          </w:p>
        </w:tc>
        <w:tc>
          <w:tcPr>
            <w:tcW w:w="1140" w:type="dxa"/>
            <w:shd w:val="clear" w:color="auto" w:fill="BDD6EE" w:themeFill="accent1" w:themeFillTint="66"/>
            <w:vAlign w:val="center"/>
            <w:hideMark/>
          </w:tcPr>
          <w:p w14:paraId="5D6613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2FFF9D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7C4590B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3CDADB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48D712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513C0B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77F645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D39D0F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E12B91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10BC464D" w14:textId="77777777" w:rsidTr="007A584C">
        <w:trPr>
          <w:trHeight w:val="284"/>
          <w:jc w:val="center"/>
        </w:trPr>
        <w:tc>
          <w:tcPr>
            <w:tcW w:w="876" w:type="dxa"/>
            <w:shd w:val="clear" w:color="auto" w:fill="BDD6EE" w:themeFill="accent1" w:themeFillTint="66"/>
            <w:vAlign w:val="center"/>
            <w:hideMark/>
          </w:tcPr>
          <w:p w14:paraId="2C60507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05FAFB9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Índice Nacional de Precios Productor</w:t>
            </w:r>
          </w:p>
        </w:tc>
        <w:tc>
          <w:tcPr>
            <w:tcW w:w="1140" w:type="dxa"/>
            <w:shd w:val="clear" w:color="auto" w:fill="BDD6EE" w:themeFill="accent1" w:themeFillTint="66"/>
            <w:vAlign w:val="center"/>
            <w:hideMark/>
          </w:tcPr>
          <w:p w14:paraId="089258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715EAF4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5876A5E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5AC8A0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DCC11A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78CD67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7B1863B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1B5FF9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E1AAF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48E57B8E" w14:textId="77777777" w:rsidTr="007A584C">
        <w:trPr>
          <w:trHeight w:val="284"/>
          <w:jc w:val="center"/>
        </w:trPr>
        <w:tc>
          <w:tcPr>
            <w:tcW w:w="876" w:type="dxa"/>
            <w:shd w:val="clear" w:color="auto" w:fill="BDD6EE" w:themeFill="accent1" w:themeFillTint="66"/>
            <w:vAlign w:val="center"/>
            <w:hideMark/>
          </w:tcPr>
          <w:p w14:paraId="21E1A0F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67E8BE8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Censo Nacional de Seguridad Pública Estatal </w:t>
            </w:r>
          </w:p>
        </w:tc>
        <w:tc>
          <w:tcPr>
            <w:tcW w:w="1140" w:type="dxa"/>
            <w:shd w:val="clear" w:color="auto" w:fill="BDD6EE" w:themeFill="accent1" w:themeFillTint="66"/>
            <w:vAlign w:val="center"/>
            <w:hideMark/>
          </w:tcPr>
          <w:p w14:paraId="66E3287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339490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6576C4E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86D8B9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D9020D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5D49299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ACDF40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A18814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92419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64C17885" w14:textId="77777777" w:rsidTr="007A584C">
        <w:trPr>
          <w:trHeight w:val="284"/>
          <w:jc w:val="center"/>
        </w:trPr>
        <w:tc>
          <w:tcPr>
            <w:tcW w:w="876" w:type="dxa"/>
            <w:shd w:val="clear" w:color="auto" w:fill="BDD6EE" w:themeFill="accent1" w:themeFillTint="66"/>
            <w:vAlign w:val="center"/>
            <w:hideMark/>
          </w:tcPr>
          <w:p w14:paraId="26C1CBA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73ADBF8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servicios y transportes</w:t>
            </w:r>
          </w:p>
        </w:tc>
        <w:tc>
          <w:tcPr>
            <w:tcW w:w="1140" w:type="dxa"/>
            <w:shd w:val="clear" w:color="auto" w:fill="BDD6EE" w:themeFill="accent1" w:themeFillTint="66"/>
            <w:vAlign w:val="center"/>
            <w:hideMark/>
          </w:tcPr>
          <w:p w14:paraId="6B9A327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158E68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13585B0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FA885A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F1CA3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48A9D5D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67D783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678B6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FFF6B3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4745CC3" w14:textId="77777777" w:rsidTr="007A584C">
        <w:trPr>
          <w:trHeight w:val="284"/>
          <w:jc w:val="center"/>
        </w:trPr>
        <w:tc>
          <w:tcPr>
            <w:tcW w:w="876" w:type="dxa"/>
            <w:shd w:val="clear" w:color="auto" w:fill="BDD6EE" w:themeFill="accent1" w:themeFillTint="66"/>
            <w:vAlign w:val="center"/>
            <w:hideMark/>
          </w:tcPr>
          <w:p w14:paraId="6D39681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4E5B627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Topografía</w:t>
            </w:r>
          </w:p>
        </w:tc>
        <w:tc>
          <w:tcPr>
            <w:tcW w:w="1140" w:type="dxa"/>
            <w:shd w:val="clear" w:color="auto" w:fill="BDD6EE" w:themeFill="accent1" w:themeFillTint="66"/>
            <w:vAlign w:val="center"/>
            <w:hideMark/>
          </w:tcPr>
          <w:p w14:paraId="22DE6CB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9FC91E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7975147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B9F0E1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FED7C8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4CF028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4A124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4F4B2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A748DE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F63CBCD" w14:textId="77777777" w:rsidTr="007A584C">
        <w:trPr>
          <w:trHeight w:val="284"/>
          <w:jc w:val="center"/>
        </w:trPr>
        <w:tc>
          <w:tcPr>
            <w:tcW w:w="876" w:type="dxa"/>
            <w:shd w:val="clear" w:color="auto" w:fill="BDD6EE" w:themeFill="accent1" w:themeFillTint="66"/>
            <w:vAlign w:val="center"/>
            <w:hideMark/>
          </w:tcPr>
          <w:p w14:paraId="6F17851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745ADFC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opinión empresarial</w:t>
            </w:r>
          </w:p>
        </w:tc>
        <w:tc>
          <w:tcPr>
            <w:tcW w:w="1140" w:type="dxa"/>
            <w:shd w:val="clear" w:color="auto" w:fill="BDD6EE" w:themeFill="accent1" w:themeFillTint="66"/>
            <w:vAlign w:val="center"/>
            <w:hideMark/>
          </w:tcPr>
          <w:p w14:paraId="5D470C1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09A796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7D45F65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hideMark/>
          </w:tcPr>
          <w:p w14:paraId="0008E7F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70B6A4C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9DD12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21142D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E11291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361F0E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5CBB4ADA" w14:textId="77777777" w:rsidTr="007A584C">
        <w:trPr>
          <w:trHeight w:val="284"/>
          <w:jc w:val="center"/>
        </w:trPr>
        <w:tc>
          <w:tcPr>
            <w:tcW w:w="876" w:type="dxa"/>
            <w:shd w:val="clear" w:color="auto" w:fill="BDD6EE" w:themeFill="accent1" w:themeFillTint="66"/>
            <w:vAlign w:val="center"/>
            <w:hideMark/>
          </w:tcPr>
          <w:p w14:paraId="228E30F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43F8739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Mapa Topográfico</w:t>
            </w:r>
          </w:p>
        </w:tc>
        <w:tc>
          <w:tcPr>
            <w:tcW w:w="1140" w:type="dxa"/>
            <w:shd w:val="clear" w:color="auto" w:fill="BDD6EE" w:themeFill="accent1" w:themeFillTint="66"/>
            <w:vAlign w:val="center"/>
            <w:hideMark/>
          </w:tcPr>
          <w:p w14:paraId="2D77C3E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66A3FA9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3BD071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6A314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7955B65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6840BA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16339F1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56A7B5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10B61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5993AF7D" w14:textId="77777777" w:rsidTr="007A584C">
        <w:trPr>
          <w:trHeight w:val="284"/>
          <w:jc w:val="center"/>
        </w:trPr>
        <w:tc>
          <w:tcPr>
            <w:tcW w:w="876" w:type="dxa"/>
            <w:shd w:val="clear" w:color="auto" w:fill="BDD6EE" w:themeFill="accent1" w:themeFillTint="66"/>
            <w:vAlign w:val="center"/>
            <w:hideMark/>
          </w:tcPr>
          <w:p w14:paraId="1833778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097CF97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Marco de referencia geodésico</w:t>
            </w:r>
          </w:p>
        </w:tc>
        <w:tc>
          <w:tcPr>
            <w:tcW w:w="1140" w:type="dxa"/>
            <w:shd w:val="clear" w:color="auto" w:fill="BDD6EE" w:themeFill="accent1" w:themeFillTint="66"/>
            <w:vAlign w:val="center"/>
            <w:hideMark/>
          </w:tcPr>
          <w:p w14:paraId="1A7C17E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25AD336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099213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0D9C73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46118A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9EC0E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5FFDE0B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9A2C2F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41D78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EC4B515" w14:textId="77777777" w:rsidTr="007A584C">
        <w:trPr>
          <w:trHeight w:val="284"/>
          <w:jc w:val="center"/>
        </w:trPr>
        <w:tc>
          <w:tcPr>
            <w:tcW w:w="876" w:type="dxa"/>
            <w:shd w:val="clear" w:color="auto" w:fill="BDD6EE" w:themeFill="accent1" w:themeFillTint="66"/>
            <w:vAlign w:val="center"/>
            <w:hideMark/>
          </w:tcPr>
          <w:p w14:paraId="11C038A9"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164A749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Registro Estadístico de Negocios de México</w:t>
            </w:r>
          </w:p>
        </w:tc>
        <w:tc>
          <w:tcPr>
            <w:tcW w:w="1140" w:type="dxa"/>
            <w:shd w:val="clear" w:color="auto" w:fill="BDD6EE" w:themeFill="accent1" w:themeFillTint="66"/>
            <w:vAlign w:val="center"/>
            <w:hideMark/>
          </w:tcPr>
          <w:p w14:paraId="4167FD2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D68A14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41FF28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4CB74C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C4B585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318828D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F92AA6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89FE80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995B16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28C6DF1C" w14:textId="77777777" w:rsidTr="007A584C">
        <w:trPr>
          <w:trHeight w:val="284"/>
          <w:jc w:val="center"/>
        </w:trPr>
        <w:tc>
          <w:tcPr>
            <w:tcW w:w="876" w:type="dxa"/>
            <w:shd w:val="clear" w:color="auto" w:fill="BDD6EE" w:themeFill="accent1" w:themeFillTint="66"/>
            <w:vAlign w:val="center"/>
            <w:hideMark/>
          </w:tcPr>
          <w:p w14:paraId="1B63C49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5D79A62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Encuestas de Viajeros Internacionales</w:t>
            </w:r>
          </w:p>
        </w:tc>
        <w:tc>
          <w:tcPr>
            <w:tcW w:w="1140" w:type="dxa"/>
            <w:shd w:val="clear" w:color="auto" w:fill="BDD6EE" w:themeFill="accent1" w:themeFillTint="66"/>
            <w:vAlign w:val="center"/>
            <w:hideMark/>
          </w:tcPr>
          <w:p w14:paraId="1EE8031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83" w:type="dxa"/>
            <w:shd w:val="clear" w:color="auto" w:fill="DEEAF6" w:themeFill="accent1" w:themeFillTint="33"/>
            <w:vAlign w:val="center"/>
            <w:hideMark/>
          </w:tcPr>
          <w:p w14:paraId="45CAF9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16C2FDF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5195A3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74BF9C7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75E226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7FD96ED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37E5D5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1D08D3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24AC694" w14:textId="77777777" w:rsidTr="007A584C">
        <w:trPr>
          <w:trHeight w:val="284"/>
          <w:jc w:val="center"/>
        </w:trPr>
        <w:tc>
          <w:tcPr>
            <w:tcW w:w="876" w:type="dxa"/>
            <w:shd w:val="clear" w:color="auto" w:fill="DEEAF6" w:themeFill="accent1" w:themeFillTint="33"/>
            <w:vAlign w:val="center"/>
            <w:hideMark/>
          </w:tcPr>
          <w:p w14:paraId="706A045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DEEAF6" w:themeFill="accent1" w:themeFillTint="33"/>
            <w:vAlign w:val="center"/>
            <w:hideMark/>
          </w:tcPr>
          <w:p w14:paraId="2E368A2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Marco geoestadístico</w:t>
            </w:r>
          </w:p>
        </w:tc>
        <w:tc>
          <w:tcPr>
            <w:tcW w:w="1140" w:type="dxa"/>
            <w:shd w:val="clear" w:color="auto" w:fill="DEEAF6" w:themeFill="accent1" w:themeFillTint="33"/>
            <w:vAlign w:val="center"/>
            <w:hideMark/>
          </w:tcPr>
          <w:p w14:paraId="7D5DD0C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31E61D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0F9D4EE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20E8B1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19FA2D6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2DAC0A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C2DF4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A138B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AD96D8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141EE6DD" w14:textId="77777777" w:rsidTr="007A584C">
        <w:trPr>
          <w:trHeight w:val="284"/>
          <w:jc w:val="center"/>
        </w:trPr>
        <w:tc>
          <w:tcPr>
            <w:tcW w:w="876" w:type="dxa"/>
            <w:shd w:val="clear" w:color="auto" w:fill="DEEAF6" w:themeFill="accent1" w:themeFillTint="33"/>
            <w:vAlign w:val="center"/>
            <w:hideMark/>
          </w:tcPr>
          <w:p w14:paraId="79B0F80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DEEAF6" w:themeFill="accent1" w:themeFillTint="33"/>
            <w:vAlign w:val="center"/>
            <w:hideMark/>
          </w:tcPr>
          <w:p w14:paraId="152708D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Impartición de Justicia Federal</w:t>
            </w:r>
          </w:p>
        </w:tc>
        <w:tc>
          <w:tcPr>
            <w:tcW w:w="1140" w:type="dxa"/>
            <w:shd w:val="clear" w:color="auto" w:fill="DEEAF6" w:themeFill="accent1" w:themeFillTint="33"/>
            <w:vAlign w:val="center"/>
            <w:hideMark/>
          </w:tcPr>
          <w:p w14:paraId="158B0F3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2D3E5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6625EE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584826E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6309A81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04814B7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F393CB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01DC326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787143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7211CF73" w14:textId="77777777" w:rsidTr="007A584C">
        <w:trPr>
          <w:trHeight w:val="284"/>
          <w:jc w:val="center"/>
        </w:trPr>
        <w:tc>
          <w:tcPr>
            <w:tcW w:w="876" w:type="dxa"/>
            <w:shd w:val="clear" w:color="auto" w:fill="DEEAF6" w:themeFill="accent1" w:themeFillTint="33"/>
            <w:vAlign w:val="center"/>
            <w:hideMark/>
          </w:tcPr>
          <w:p w14:paraId="008B59E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7D05579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Paridades de Poder de Compra</w:t>
            </w:r>
          </w:p>
        </w:tc>
        <w:tc>
          <w:tcPr>
            <w:tcW w:w="1140" w:type="dxa"/>
            <w:shd w:val="clear" w:color="auto" w:fill="DEEAF6" w:themeFill="accent1" w:themeFillTint="33"/>
            <w:vAlign w:val="center"/>
            <w:hideMark/>
          </w:tcPr>
          <w:p w14:paraId="50FE708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C2F0E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307" w:type="dxa"/>
            <w:shd w:val="clear" w:color="auto" w:fill="BDD6EE" w:themeFill="accent1" w:themeFillTint="66"/>
            <w:vAlign w:val="center"/>
            <w:hideMark/>
          </w:tcPr>
          <w:p w14:paraId="4440DF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07BA8AE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1A6ED5A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907EB9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2FE6045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640E9C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3543F6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3477911B" w14:textId="77777777" w:rsidTr="007A584C">
        <w:trPr>
          <w:trHeight w:val="284"/>
          <w:jc w:val="center"/>
        </w:trPr>
        <w:tc>
          <w:tcPr>
            <w:tcW w:w="876" w:type="dxa"/>
            <w:shd w:val="clear" w:color="auto" w:fill="BDD6EE" w:themeFill="accent1" w:themeFillTint="66"/>
            <w:vAlign w:val="center"/>
            <w:hideMark/>
          </w:tcPr>
          <w:p w14:paraId="305057F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154BEC9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Disponibilidad y Uso de Tecnologías de la Información en los Hogares</w:t>
            </w:r>
          </w:p>
        </w:tc>
        <w:tc>
          <w:tcPr>
            <w:tcW w:w="1140" w:type="dxa"/>
            <w:shd w:val="clear" w:color="auto" w:fill="BDD6EE" w:themeFill="accent1" w:themeFillTint="66"/>
            <w:vAlign w:val="center"/>
            <w:hideMark/>
          </w:tcPr>
          <w:p w14:paraId="1CBF02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66D0504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60A3A05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004ACB1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505E5F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4F7C5D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11FD2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6CE43E7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B3CBEF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087E7029" w14:textId="77777777" w:rsidTr="007A584C">
        <w:trPr>
          <w:trHeight w:val="284"/>
          <w:jc w:val="center"/>
        </w:trPr>
        <w:tc>
          <w:tcPr>
            <w:tcW w:w="876" w:type="dxa"/>
            <w:shd w:val="clear" w:color="auto" w:fill="BDD6EE" w:themeFill="accent1" w:themeFillTint="66"/>
            <w:vAlign w:val="center"/>
            <w:hideMark/>
          </w:tcPr>
          <w:p w14:paraId="6A067E3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1623FF49"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Uso del Tiempo</w:t>
            </w:r>
          </w:p>
        </w:tc>
        <w:tc>
          <w:tcPr>
            <w:tcW w:w="1140" w:type="dxa"/>
            <w:shd w:val="clear" w:color="auto" w:fill="BDD6EE" w:themeFill="accent1" w:themeFillTint="66"/>
            <w:vAlign w:val="center"/>
            <w:hideMark/>
          </w:tcPr>
          <w:p w14:paraId="7E0553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D50417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7AED26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6ED271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0301BA5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7456170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5BE8B0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19E8D63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46F2F8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33943C81" w14:textId="77777777" w:rsidTr="007A584C">
        <w:trPr>
          <w:trHeight w:val="284"/>
          <w:jc w:val="center"/>
        </w:trPr>
        <w:tc>
          <w:tcPr>
            <w:tcW w:w="876" w:type="dxa"/>
            <w:shd w:val="clear" w:color="auto" w:fill="BDD6EE" w:themeFill="accent1" w:themeFillTint="66"/>
            <w:vAlign w:val="center"/>
            <w:hideMark/>
          </w:tcPr>
          <w:p w14:paraId="75A197E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534C7B6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Información sobre Medio Ambiente</w:t>
            </w:r>
          </w:p>
        </w:tc>
        <w:tc>
          <w:tcPr>
            <w:tcW w:w="1140" w:type="dxa"/>
            <w:shd w:val="clear" w:color="auto" w:fill="BDD6EE" w:themeFill="accent1" w:themeFillTint="66"/>
            <w:vAlign w:val="center"/>
            <w:hideMark/>
          </w:tcPr>
          <w:p w14:paraId="382761E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59E3D74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14C76C8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419B62C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0129C0D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39D8C4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4BEB407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B1561D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054" w:type="dxa"/>
            <w:shd w:val="clear" w:color="auto" w:fill="BDD6EE" w:themeFill="accent1" w:themeFillTint="66"/>
            <w:vAlign w:val="center"/>
            <w:hideMark/>
          </w:tcPr>
          <w:p w14:paraId="1E58111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32A920C0" w14:textId="77777777" w:rsidTr="007A584C">
        <w:trPr>
          <w:trHeight w:val="284"/>
          <w:jc w:val="center"/>
        </w:trPr>
        <w:tc>
          <w:tcPr>
            <w:tcW w:w="876" w:type="dxa"/>
            <w:shd w:val="clear" w:color="auto" w:fill="BDD6EE" w:themeFill="accent1" w:themeFillTint="66"/>
            <w:vAlign w:val="center"/>
            <w:hideMark/>
          </w:tcPr>
          <w:p w14:paraId="58E1ED9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6E6493B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Módulo de Práctica Deportiva y Ejercicio Físico</w:t>
            </w:r>
          </w:p>
        </w:tc>
        <w:tc>
          <w:tcPr>
            <w:tcW w:w="1140" w:type="dxa"/>
            <w:shd w:val="clear" w:color="auto" w:fill="BDD6EE" w:themeFill="accent1" w:themeFillTint="66"/>
            <w:vAlign w:val="center"/>
            <w:hideMark/>
          </w:tcPr>
          <w:p w14:paraId="2382E5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6FA4EDC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2542EDD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13AA54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0889C8F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28EE97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4295F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237066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3FE024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5E0C9BD2" w14:textId="77777777" w:rsidTr="007A584C">
        <w:trPr>
          <w:trHeight w:val="284"/>
          <w:jc w:val="center"/>
        </w:trPr>
        <w:tc>
          <w:tcPr>
            <w:tcW w:w="876" w:type="dxa"/>
            <w:shd w:val="clear" w:color="auto" w:fill="BDD6EE" w:themeFill="accent1" w:themeFillTint="66"/>
            <w:vAlign w:val="center"/>
            <w:hideMark/>
          </w:tcPr>
          <w:p w14:paraId="1D5A34E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28AB480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Derechos Humanos Estatal</w:t>
            </w:r>
          </w:p>
        </w:tc>
        <w:tc>
          <w:tcPr>
            <w:tcW w:w="1140" w:type="dxa"/>
            <w:shd w:val="clear" w:color="auto" w:fill="BDD6EE" w:themeFill="accent1" w:themeFillTint="66"/>
            <w:vAlign w:val="center"/>
            <w:hideMark/>
          </w:tcPr>
          <w:p w14:paraId="4DF6CF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1072A4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191FAC3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F1E582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7A2997E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8B565F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52148D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97685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2DC07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37B4EA3E" w14:textId="77777777" w:rsidTr="007A584C">
        <w:trPr>
          <w:trHeight w:val="284"/>
          <w:jc w:val="center"/>
        </w:trPr>
        <w:tc>
          <w:tcPr>
            <w:tcW w:w="876" w:type="dxa"/>
            <w:shd w:val="clear" w:color="auto" w:fill="BDD6EE" w:themeFill="accent1" w:themeFillTint="66"/>
            <w:vAlign w:val="center"/>
            <w:hideMark/>
          </w:tcPr>
          <w:p w14:paraId="24C2A9E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5AFC918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Discriminación</w:t>
            </w:r>
          </w:p>
        </w:tc>
        <w:tc>
          <w:tcPr>
            <w:tcW w:w="1140" w:type="dxa"/>
            <w:shd w:val="clear" w:color="auto" w:fill="BDD6EE" w:themeFill="accent1" w:themeFillTint="66"/>
            <w:vAlign w:val="center"/>
            <w:hideMark/>
          </w:tcPr>
          <w:p w14:paraId="2667D1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77EFD0F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46308F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5009F0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2860668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154A9C1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6A53F88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2720D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C79621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1FCDA3DC" w14:textId="77777777" w:rsidTr="007A584C">
        <w:trPr>
          <w:trHeight w:val="284"/>
          <w:jc w:val="center"/>
        </w:trPr>
        <w:tc>
          <w:tcPr>
            <w:tcW w:w="876" w:type="dxa"/>
            <w:shd w:val="clear" w:color="auto" w:fill="BDD6EE" w:themeFill="accent1" w:themeFillTint="66"/>
            <w:vAlign w:val="center"/>
            <w:hideMark/>
          </w:tcPr>
          <w:p w14:paraId="328B16D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1CF88A3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Encuesta Nacional de Inclusión Financiera </w:t>
            </w:r>
          </w:p>
        </w:tc>
        <w:tc>
          <w:tcPr>
            <w:tcW w:w="1140" w:type="dxa"/>
            <w:shd w:val="clear" w:color="auto" w:fill="BDD6EE" w:themeFill="accent1" w:themeFillTint="66"/>
            <w:vAlign w:val="center"/>
            <w:hideMark/>
          </w:tcPr>
          <w:p w14:paraId="05DBB58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58CFC97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366FE63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DE0AB7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2F1EF75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5204331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06294C8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968C57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36BF61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7E898B17" w14:textId="77777777" w:rsidTr="007A584C">
        <w:trPr>
          <w:trHeight w:val="284"/>
          <w:jc w:val="center"/>
        </w:trPr>
        <w:tc>
          <w:tcPr>
            <w:tcW w:w="876" w:type="dxa"/>
            <w:shd w:val="clear" w:color="auto" w:fill="BDD6EE" w:themeFill="accent1" w:themeFillTint="66"/>
            <w:vAlign w:val="center"/>
            <w:hideMark/>
          </w:tcPr>
          <w:p w14:paraId="2F13E2E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28F553D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Agropecuaria</w:t>
            </w:r>
          </w:p>
        </w:tc>
        <w:tc>
          <w:tcPr>
            <w:tcW w:w="1140" w:type="dxa"/>
            <w:shd w:val="clear" w:color="auto" w:fill="BDD6EE" w:themeFill="accent1" w:themeFillTint="66"/>
            <w:vAlign w:val="center"/>
            <w:hideMark/>
          </w:tcPr>
          <w:p w14:paraId="669D823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39889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4DCD11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4F2749C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hideMark/>
          </w:tcPr>
          <w:p w14:paraId="3146454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6FDCF43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A927F2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12507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4AF277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7A584C" w:rsidRPr="009A501D" w14:paraId="6361E76D" w14:textId="77777777" w:rsidTr="007A584C">
        <w:trPr>
          <w:trHeight w:val="284"/>
          <w:jc w:val="center"/>
        </w:trPr>
        <w:tc>
          <w:tcPr>
            <w:tcW w:w="876" w:type="dxa"/>
            <w:shd w:val="clear" w:color="auto" w:fill="BDD6EE" w:themeFill="accent1" w:themeFillTint="66"/>
            <w:vAlign w:val="center"/>
            <w:hideMark/>
          </w:tcPr>
          <w:p w14:paraId="7DA9FE9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lastRenderedPageBreak/>
              <w:t>DGGMA</w:t>
            </w:r>
          </w:p>
        </w:tc>
        <w:tc>
          <w:tcPr>
            <w:tcW w:w="3936" w:type="dxa"/>
            <w:shd w:val="clear" w:color="auto" w:fill="BDD6EE" w:themeFill="accent1" w:themeFillTint="66"/>
            <w:vAlign w:val="center"/>
            <w:hideMark/>
          </w:tcPr>
          <w:p w14:paraId="7D98F63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Hidrología</w:t>
            </w:r>
          </w:p>
        </w:tc>
        <w:tc>
          <w:tcPr>
            <w:tcW w:w="1140" w:type="dxa"/>
            <w:shd w:val="clear" w:color="auto" w:fill="BDD6EE" w:themeFill="accent1" w:themeFillTint="66"/>
            <w:vAlign w:val="center"/>
            <w:hideMark/>
          </w:tcPr>
          <w:p w14:paraId="7029A2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083B78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6C8B09B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2CFF85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61AF3E7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AFBD26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9C30F8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B37C00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4CDB9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277F724A" w14:textId="77777777" w:rsidTr="007A584C">
        <w:trPr>
          <w:trHeight w:val="284"/>
          <w:jc w:val="center"/>
        </w:trPr>
        <w:tc>
          <w:tcPr>
            <w:tcW w:w="876" w:type="dxa"/>
            <w:shd w:val="clear" w:color="auto" w:fill="BDD6EE" w:themeFill="accent1" w:themeFillTint="66"/>
            <w:vAlign w:val="center"/>
            <w:hideMark/>
          </w:tcPr>
          <w:p w14:paraId="3DF81AE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722C4B9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Seguridad Pública Urbana</w:t>
            </w:r>
          </w:p>
        </w:tc>
        <w:tc>
          <w:tcPr>
            <w:tcW w:w="1140" w:type="dxa"/>
            <w:shd w:val="clear" w:color="auto" w:fill="BDD6EE" w:themeFill="accent1" w:themeFillTint="66"/>
            <w:vAlign w:val="center"/>
            <w:hideMark/>
          </w:tcPr>
          <w:p w14:paraId="285C7A2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7EC7211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384CE0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7842AA2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0872E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4CFEA16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F83EAB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62CFCAE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8A75B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3596F463" w14:textId="77777777" w:rsidTr="007A584C">
        <w:trPr>
          <w:trHeight w:val="284"/>
          <w:jc w:val="center"/>
        </w:trPr>
        <w:tc>
          <w:tcPr>
            <w:tcW w:w="876" w:type="dxa"/>
            <w:shd w:val="clear" w:color="auto" w:fill="BDD6EE" w:themeFill="accent1" w:themeFillTint="66"/>
            <w:vAlign w:val="center"/>
            <w:hideMark/>
          </w:tcPr>
          <w:p w14:paraId="5F5041C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DGIAI</w:t>
            </w:r>
          </w:p>
        </w:tc>
        <w:tc>
          <w:tcPr>
            <w:tcW w:w="3936" w:type="dxa"/>
            <w:shd w:val="clear" w:color="auto" w:fill="BDD6EE" w:themeFill="accent1" w:themeFillTint="66"/>
            <w:vAlign w:val="center"/>
            <w:hideMark/>
          </w:tcPr>
          <w:p w14:paraId="24F807F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Bienestar </w:t>
            </w:r>
            <w:proofErr w:type="spellStart"/>
            <w:r w:rsidRPr="009A501D">
              <w:rPr>
                <w:rFonts w:ascii="Century Gothic" w:eastAsia="Times New Roman" w:hAnsi="Century Gothic" w:cs="Arial"/>
                <w:sz w:val="16"/>
                <w:szCs w:val="16"/>
                <w:lang w:eastAsia="es-MX"/>
              </w:rPr>
              <w:t>Autorreportado</w:t>
            </w:r>
            <w:proofErr w:type="spellEnd"/>
          </w:p>
        </w:tc>
        <w:tc>
          <w:tcPr>
            <w:tcW w:w="1140" w:type="dxa"/>
            <w:shd w:val="clear" w:color="auto" w:fill="BDD6EE" w:themeFill="accent1" w:themeFillTint="66"/>
            <w:vAlign w:val="center"/>
            <w:hideMark/>
          </w:tcPr>
          <w:p w14:paraId="5A559F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1D635B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31D6A8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1318C66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88140E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51A2C6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C9A001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6B027EB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9C354B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36314296" w14:textId="77777777" w:rsidTr="007A584C">
        <w:trPr>
          <w:trHeight w:val="284"/>
          <w:jc w:val="center"/>
        </w:trPr>
        <w:tc>
          <w:tcPr>
            <w:tcW w:w="876" w:type="dxa"/>
            <w:shd w:val="clear" w:color="auto" w:fill="BDD6EE" w:themeFill="accent1" w:themeFillTint="66"/>
            <w:vAlign w:val="center"/>
            <w:hideMark/>
          </w:tcPr>
          <w:p w14:paraId="7B2A3B0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1E26625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Ingresos y Gastos de los Hogares Estacional</w:t>
            </w:r>
          </w:p>
        </w:tc>
        <w:tc>
          <w:tcPr>
            <w:tcW w:w="1140" w:type="dxa"/>
            <w:shd w:val="clear" w:color="auto" w:fill="BDD6EE" w:themeFill="accent1" w:themeFillTint="66"/>
            <w:vAlign w:val="center"/>
            <w:hideMark/>
          </w:tcPr>
          <w:p w14:paraId="419685E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69AFB6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42AA8EA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242EA0E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2BDEFB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24674CA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29F4EA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3C3DB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BD5051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1817A046" w14:textId="77777777" w:rsidTr="007A584C">
        <w:trPr>
          <w:trHeight w:val="284"/>
          <w:jc w:val="center"/>
        </w:trPr>
        <w:tc>
          <w:tcPr>
            <w:tcW w:w="876" w:type="dxa"/>
            <w:shd w:val="clear" w:color="auto" w:fill="BDD6EE" w:themeFill="accent1" w:themeFillTint="66"/>
            <w:vAlign w:val="center"/>
            <w:hideMark/>
          </w:tcPr>
          <w:p w14:paraId="1AD4387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5A868A5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Derechos Humanos Federal</w:t>
            </w:r>
          </w:p>
        </w:tc>
        <w:tc>
          <w:tcPr>
            <w:tcW w:w="1140" w:type="dxa"/>
            <w:shd w:val="clear" w:color="auto" w:fill="BDD6EE" w:themeFill="accent1" w:themeFillTint="66"/>
            <w:vAlign w:val="center"/>
            <w:hideMark/>
          </w:tcPr>
          <w:p w14:paraId="767506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0288B0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50D6CD5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5B9095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54B1A8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3E98102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6AAF9F5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6E80FF9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5DADB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0DA243E9" w14:textId="77777777" w:rsidTr="007A584C">
        <w:trPr>
          <w:trHeight w:val="284"/>
          <w:jc w:val="center"/>
        </w:trPr>
        <w:tc>
          <w:tcPr>
            <w:tcW w:w="876" w:type="dxa"/>
            <w:shd w:val="clear" w:color="auto" w:fill="BDD6EE" w:themeFill="accent1" w:themeFillTint="66"/>
            <w:vAlign w:val="center"/>
            <w:hideMark/>
          </w:tcPr>
          <w:p w14:paraId="5D6C5D1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213D30E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Transparencia, Acceso a la Información Pública y Protección de Datos Personales Estatal</w:t>
            </w:r>
          </w:p>
        </w:tc>
        <w:tc>
          <w:tcPr>
            <w:tcW w:w="1140" w:type="dxa"/>
            <w:shd w:val="clear" w:color="auto" w:fill="BDD6EE" w:themeFill="accent1" w:themeFillTint="66"/>
            <w:vAlign w:val="center"/>
            <w:hideMark/>
          </w:tcPr>
          <w:p w14:paraId="4388C7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714F212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03B8D54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4D9D5A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13E787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345256A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55D457C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E3876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71AE3C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517E3B3A" w14:textId="77777777" w:rsidTr="007A584C">
        <w:trPr>
          <w:trHeight w:val="284"/>
          <w:jc w:val="center"/>
        </w:trPr>
        <w:tc>
          <w:tcPr>
            <w:tcW w:w="876" w:type="dxa"/>
            <w:shd w:val="clear" w:color="auto" w:fill="BDD6EE" w:themeFill="accent1" w:themeFillTint="66"/>
            <w:vAlign w:val="center"/>
            <w:hideMark/>
          </w:tcPr>
          <w:p w14:paraId="2513EE9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08B5633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Transparencia, Acceso a la Información Pública y Protección de Datos Personales Federal</w:t>
            </w:r>
          </w:p>
        </w:tc>
        <w:tc>
          <w:tcPr>
            <w:tcW w:w="1140" w:type="dxa"/>
            <w:shd w:val="clear" w:color="auto" w:fill="BDD6EE" w:themeFill="accent1" w:themeFillTint="66"/>
            <w:vAlign w:val="center"/>
            <w:hideMark/>
          </w:tcPr>
          <w:p w14:paraId="31AAE8B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04AEFB9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47F5B4E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3829E9D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hideMark/>
          </w:tcPr>
          <w:p w14:paraId="3AFCDAD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16415A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479EFC8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949EF7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47402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7A584C" w:rsidRPr="009A501D" w14:paraId="2202355B" w14:textId="77777777" w:rsidTr="007A584C">
        <w:trPr>
          <w:trHeight w:val="284"/>
          <w:jc w:val="center"/>
        </w:trPr>
        <w:tc>
          <w:tcPr>
            <w:tcW w:w="876" w:type="dxa"/>
            <w:shd w:val="clear" w:color="auto" w:fill="BDD6EE" w:themeFill="accent1" w:themeFillTint="66"/>
            <w:vAlign w:val="center"/>
            <w:hideMark/>
          </w:tcPr>
          <w:p w14:paraId="72B30FD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5A746B6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para el Sistema de Cuidados</w:t>
            </w:r>
          </w:p>
        </w:tc>
        <w:tc>
          <w:tcPr>
            <w:tcW w:w="1140" w:type="dxa"/>
            <w:shd w:val="clear" w:color="auto" w:fill="BDD6EE" w:themeFill="accent1" w:themeFillTint="66"/>
            <w:vAlign w:val="center"/>
            <w:hideMark/>
          </w:tcPr>
          <w:p w14:paraId="3F49FBD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144FD06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54FBFDE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992" w:type="dxa"/>
            <w:shd w:val="clear" w:color="auto" w:fill="DEEAF6" w:themeFill="accent1" w:themeFillTint="33"/>
            <w:vAlign w:val="center"/>
            <w:hideMark/>
          </w:tcPr>
          <w:p w14:paraId="6249518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1C884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7494C1E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09DF4AE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64867B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054" w:type="dxa"/>
            <w:shd w:val="clear" w:color="auto" w:fill="BDD6EE" w:themeFill="accent1" w:themeFillTint="66"/>
            <w:vAlign w:val="center"/>
            <w:hideMark/>
          </w:tcPr>
          <w:p w14:paraId="32C09AD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5401F06E" w14:textId="77777777" w:rsidTr="007A584C">
        <w:trPr>
          <w:trHeight w:val="284"/>
          <w:jc w:val="center"/>
        </w:trPr>
        <w:tc>
          <w:tcPr>
            <w:tcW w:w="876" w:type="dxa"/>
            <w:shd w:val="clear" w:color="auto" w:fill="DEEAF6" w:themeFill="accent1" w:themeFillTint="33"/>
            <w:vAlign w:val="center"/>
            <w:hideMark/>
          </w:tcPr>
          <w:p w14:paraId="49C59D7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DEEAF6" w:themeFill="accent1" w:themeFillTint="33"/>
            <w:vAlign w:val="center"/>
            <w:hideMark/>
          </w:tcPr>
          <w:p w14:paraId="3D364A3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Población Privada de la Libertad</w:t>
            </w:r>
          </w:p>
        </w:tc>
        <w:tc>
          <w:tcPr>
            <w:tcW w:w="1140" w:type="dxa"/>
            <w:shd w:val="clear" w:color="auto" w:fill="DEEAF6" w:themeFill="accent1" w:themeFillTint="33"/>
            <w:vAlign w:val="center"/>
            <w:hideMark/>
          </w:tcPr>
          <w:p w14:paraId="66CA59C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BE3F94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73DF9AB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643E809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34" w:type="dxa"/>
            <w:shd w:val="clear" w:color="auto" w:fill="BDD6EE" w:themeFill="accent1" w:themeFillTint="66"/>
            <w:vAlign w:val="center"/>
            <w:hideMark/>
          </w:tcPr>
          <w:p w14:paraId="4CD830A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CCEF3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4A559DE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197C3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62351B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697562F" w14:textId="77777777" w:rsidTr="007A584C">
        <w:trPr>
          <w:trHeight w:val="284"/>
          <w:jc w:val="center"/>
        </w:trPr>
        <w:tc>
          <w:tcPr>
            <w:tcW w:w="876" w:type="dxa"/>
            <w:shd w:val="clear" w:color="auto" w:fill="BDD6EE" w:themeFill="accent1" w:themeFillTint="66"/>
            <w:vAlign w:val="center"/>
            <w:hideMark/>
          </w:tcPr>
          <w:p w14:paraId="697192D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451B04A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Financiamiento de las Empresas</w:t>
            </w:r>
          </w:p>
        </w:tc>
        <w:tc>
          <w:tcPr>
            <w:tcW w:w="1140" w:type="dxa"/>
            <w:shd w:val="clear" w:color="auto" w:fill="BDD6EE" w:themeFill="accent1" w:themeFillTint="66"/>
            <w:vAlign w:val="center"/>
            <w:hideMark/>
          </w:tcPr>
          <w:p w14:paraId="388DECC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37C283E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3C4A684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0D8ED98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C3B44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48B1F2D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DBE132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2FF25C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FD341F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496D65C" w14:textId="77777777" w:rsidTr="007A584C">
        <w:trPr>
          <w:trHeight w:val="284"/>
          <w:jc w:val="center"/>
        </w:trPr>
        <w:tc>
          <w:tcPr>
            <w:tcW w:w="876" w:type="dxa"/>
            <w:shd w:val="clear" w:color="auto" w:fill="BDD6EE" w:themeFill="accent1" w:themeFillTint="66"/>
            <w:vAlign w:val="center"/>
            <w:hideMark/>
          </w:tcPr>
          <w:p w14:paraId="56D229C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579AB0C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Gobierno Federal</w:t>
            </w:r>
          </w:p>
        </w:tc>
        <w:tc>
          <w:tcPr>
            <w:tcW w:w="1140" w:type="dxa"/>
            <w:shd w:val="clear" w:color="auto" w:fill="BDD6EE" w:themeFill="accent1" w:themeFillTint="66"/>
            <w:vAlign w:val="center"/>
            <w:hideMark/>
          </w:tcPr>
          <w:p w14:paraId="647CC68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1D98C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31FC5BB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39562B0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hideMark/>
          </w:tcPr>
          <w:p w14:paraId="39BD9F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3A95658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064BE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3FFCCA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75BB7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34881FE1" w14:textId="77777777" w:rsidTr="007A584C">
        <w:trPr>
          <w:trHeight w:val="284"/>
          <w:jc w:val="center"/>
        </w:trPr>
        <w:tc>
          <w:tcPr>
            <w:tcW w:w="876" w:type="dxa"/>
            <w:shd w:val="clear" w:color="auto" w:fill="BDD6EE" w:themeFill="accent1" w:themeFillTint="66"/>
            <w:vAlign w:val="center"/>
            <w:hideMark/>
          </w:tcPr>
          <w:p w14:paraId="09AA644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68D513D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 de Nacimientos Registrados</w:t>
            </w:r>
          </w:p>
        </w:tc>
        <w:tc>
          <w:tcPr>
            <w:tcW w:w="1140" w:type="dxa"/>
            <w:shd w:val="clear" w:color="auto" w:fill="BDD6EE" w:themeFill="accent1" w:themeFillTint="66"/>
            <w:vAlign w:val="center"/>
            <w:hideMark/>
          </w:tcPr>
          <w:p w14:paraId="5166ED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74A302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2C91522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5E09A85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38CDDD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vAlign w:val="center"/>
            <w:hideMark/>
          </w:tcPr>
          <w:p w14:paraId="3E2743B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35DAFA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C2964C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B0BF37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1C465D3" w14:textId="77777777" w:rsidTr="007A584C">
        <w:trPr>
          <w:trHeight w:val="284"/>
          <w:jc w:val="center"/>
        </w:trPr>
        <w:tc>
          <w:tcPr>
            <w:tcW w:w="876" w:type="dxa"/>
            <w:shd w:val="clear" w:color="auto" w:fill="BDD6EE" w:themeFill="accent1" w:themeFillTint="66"/>
            <w:vAlign w:val="center"/>
            <w:hideMark/>
          </w:tcPr>
          <w:p w14:paraId="653BDA0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BDD6EE" w:themeFill="accent1" w:themeFillTint="66"/>
            <w:vAlign w:val="center"/>
            <w:hideMark/>
          </w:tcPr>
          <w:p w14:paraId="4428D9F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Finanzas Públicas Estatales y Municipales</w:t>
            </w:r>
          </w:p>
        </w:tc>
        <w:tc>
          <w:tcPr>
            <w:tcW w:w="1140" w:type="dxa"/>
            <w:shd w:val="clear" w:color="auto" w:fill="BDD6EE" w:themeFill="accent1" w:themeFillTint="66"/>
            <w:vAlign w:val="center"/>
            <w:hideMark/>
          </w:tcPr>
          <w:p w14:paraId="6E3FEB1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52AE14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7911D1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3BA0661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13783FD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0736E9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09AB41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9FC92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98F19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277BE8E3" w14:textId="77777777" w:rsidTr="007A584C">
        <w:trPr>
          <w:trHeight w:val="284"/>
          <w:jc w:val="center"/>
        </w:trPr>
        <w:tc>
          <w:tcPr>
            <w:tcW w:w="876" w:type="dxa"/>
            <w:shd w:val="clear" w:color="auto" w:fill="BDD6EE" w:themeFill="accent1" w:themeFillTint="66"/>
            <w:vAlign w:val="center"/>
            <w:hideMark/>
          </w:tcPr>
          <w:p w14:paraId="4683312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3200CB4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Cartografía Urbana y Rural </w:t>
            </w:r>
          </w:p>
        </w:tc>
        <w:tc>
          <w:tcPr>
            <w:tcW w:w="1140" w:type="dxa"/>
            <w:shd w:val="clear" w:color="auto" w:fill="BDD6EE" w:themeFill="accent1" w:themeFillTint="66"/>
            <w:vAlign w:val="center"/>
            <w:hideMark/>
          </w:tcPr>
          <w:p w14:paraId="638257A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1A696FB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59F0B03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01A48F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211305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71BF5CE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55BC78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D031B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B542E2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156877F2" w14:textId="77777777" w:rsidTr="007A584C">
        <w:trPr>
          <w:trHeight w:val="284"/>
          <w:jc w:val="center"/>
        </w:trPr>
        <w:tc>
          <w:tcPr>
            <w:tcW w:w="876" w:type="dxa"/>
            <w:shd w:val="clear" w:color="auto" w:fill="BDD6EE" w:themeFill="accent1" w:themeFillTint="66"/>
            <w:vAlign w:val="center"/>
            <w:hideMark/>
          </w:tcPr>
          <w:p w14:paraId="57A207F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7E18246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Procuración de Justicia Federal</w:t>
            </w:r>
          </w:p>
        </w:tc>
        <w:tc>
          <w:tcPr>
            <w:tcW w:w="1140" w:type="dxa"/>
            <w:shd w:val="clear" w:color="auto" w:fill="BDD6EE" w:themeFill="accent1" w:themeFillTint="66"/>
            <w:vAlign w:val="center"/>
            <w:hideMark/>
          </w:tcPr>
          <w:p w14:paraId="7F38B06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3CD4090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2D6A3E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5FD9B9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3EC0913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7C8F222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A1DF6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0A8F1F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FACDB5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2D9617FC" w14:textId="77777777" w:rsidTr="007A584C">
        <w:trPr>
          <w:trHeight w:val="284"/>
          <w:jc w:val="center"/>
        </w:trPr>
        <w:tc>
          <w:tcPr>
            <w:tcW w:w="876" w:type="dxa"/>
            <w:shd w:val="clear" w:color="auto" w:fill="BDD6EE" w:themeFill="accent1" w:themeFillTint="66"/>
            <w:vAlign w:val="center"/>
            <w:hideMark/>
          </w:tcPr>
          <w:p w14:paraId="63CE4DB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7C8928C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Seguridad Pública Federal</w:t>
            </w:r>
          </w:p>
        </w:tc>
        <w:tc>
          <w:tcPr>
            <w:tcW w:w="1140" w:type="dxa"/>
            <w:shd w:val="clear" w:color="auto" w:fill="BDD6EE" w:themeFill="accent1" w:themeFillTint="66"/>
            <w:vAlign w:val="center"/>
            <w:hideMark/>
          </w:tcPr>
          <w:p w14:paraId="34EEEB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CCCB1B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63CA7FC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6A94443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5509CC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7402674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B40FF5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790597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7C5E2A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187578F9" w14:textId="77777777" w:rsidTr="007A584C">
        <w:trPr>
          <w:trHeight w:val="284"/>
          <w:jc w:val="center"/>
        </w:trPr>
        <w:tc>
          <w:tcPr>
            <w:tcW w:w="876" w:type="dxa"/>
            <w:shd w:val="clear" w:color="auto" w:fill="BDD6EE" w:themeFill="accent1" w:themeFillTint="66"/>
            <w:vAlign w:val="center"/>
            <w:hideMark/>
          </w:tcPr>
          <w:p w14:paraId="7222F22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41B12A5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Sistema Penitenciario Federal</w:t>
            </w:r>
          </w:p>
        </w:tc>
        <w:tc>
          <w:tcPr>
            <w:tcW w:w="1140" w:type="dxa"/>
            <w:shd w:val="clear" w:color="auto" w:fill="BDD6EE" w:themeFill="accent1" w:themeFillTint="66"/>
            <w:vAlign w:val="center"/>
            <w:hideMark/>
          </w:tcPr>
          <w:p w14:paraId="44B354C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EC74C9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2ED182C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36933B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496344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00464CD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3FDC19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8F9C67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1403D1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44167781" w14:textId="77777777" w:rsidTr="007A584C">
        <w:trPr>
          <w:trHeight w:val="284"/>
          <w:jc w:val="center"/>
        </w:trPr>
        <w:tc>
          <w:tcPr>
            <w:tcW w:w="876" w:type="dxa"/>
            <w:shd w:val="clear" w:color="auto" w:fill="BDD6EE" w:themeFill="accent1" w:themeFillTint="66"/>
            <w:vAlign w:val="center"/>
            <w:hideMark/>
          </w:tcPr>
          <w:p w14:paraId="6DAEB07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61B4998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Censo Nacional de Poderes Legislativos Estatales</w:t>
            </w:r>
          </w:p>
        </w:tc>
        <w:tc>
          <w:tcPr>
            <w:tcW w:w="1140" w:type="dxa"/>
            <w:shd w:val="clear" w:color="auto" w:fill="BDD6EE" w:themeFill="accent1" w:themeFillTint="66"/>
            <w:vAlign w:val="center"/>
            <w:hideMark/>
          </w:tcPr>
          <w:p w14:paraId="687400C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54DC4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538A94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0682BCE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6094A6B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57" w:type="dxa"/>
            <w:shd w:val="clear" w:color="auto" w:fill="DEEAF6" w:themeFill="accent1" w:themeFillTint="33"/>
            <w:noWrap/>
            <w:vAlign w:val="bottom"/>
            <w:hideMark/>
          </w:tcPr>
          <w:p w14:paraId="41CD27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7662021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8F7DB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79BEE6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0BA88013" w14:textId="77777777" w:rsidTr="007A584C">
        <w:trPr>
          <w:trHeight w:val="284"/>
          <w:jc w:val="center"/>
        </w:trPr>
        <w:tc>
          <w:tcPr>
            <w:tcW w:w="876" w:type="dxa"/>
            <w:shd w:val="clear" w:color="auto" w:fill="DEEAF6" w:themeFill="accent1" w:themeFillTint="33"/>
            <w:vAlign w:val="center"/>
            <w:hideMark/>
          </w:tcPr>
          <w:p w14:paraId="2CF37AA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13B492D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Industria </w:t>
            </w:r>
            <w:proofErr w:type="spellStart"/>
            <w:r w:rsidRPr="009A501D">
              <w:rPr>
                <w:rFonts w:ascii="Century Gothic" w:eastAsia="Times New Roman" w:hAnsi="Century Gothic" w:cs="Arial"/>
                <w:sz w:val="16"/>
                <w:szCs w:val="16"/>
                <w:lang w:eastAsia="es-MX"/>
              </w:rPr>
              <w:t>Minerometalúrgica</w:t>
            </w:r>
            <w:proofErr w:type="spellEnd"/>
          </w:p>
        </w:tc>
        <w:tc>
          <w:tcPr>
            <w:tcW w:w="1140" w:type="dxa"/>
            <w:shd w:val="clear" w:color="auto" w:fill="DEEAF6" w:themeFill="accent1" w:themeFillTint="33"/>
            <w:vAlign w:val="center"/>
            <w:hideMark/>
          </w:tcPr>
          <w:p w14:paraId="1171EA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5A3DB9F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0D13280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2F4118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58503D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95D0DC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1E6FCF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58255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404150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0D22B5E6" w14:textId="77777777" w:rsidTr="007A584C">
        <w:trPr>
          <w:trHeight w:val="284"/>
          <w:jc w:val="center"/>
        </w:trPr>
        <w:tc>
          <w:tcPr>
            <w:tcW w:w="876" w:type="dxa"/>
            <w:shd w:val="clear" w:color="auto" w:fill="DEEAF6" w:themeFill="accent1" w:themeFillTint="33"/>
            <w:vAlign w:val="center"/>
            <w:hideMark/>
          </w:tcPr>
          <w:p w14:paraId="5A45FF0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4A560DEE" w14:textId="33DFDA75"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Programa de la Industria Manufacturera, Maquiladora y de Servicios de Exportación</w:t>
            </w:r>
          </w:p>
        </w:tc>
        <w:tc>
          <w:tcPr>
            <w:tcW w:w="1140" w:type="dxa"/>
            <w:shd w:val="clear" w:color="auto" w:fill="DEEAF6" w:themeFill="accent1" w:themeFillTint="33"/>
            <w:vAlign w:val="center"/>
            <w:hideMark/>
          </w:tcPr>
          <w:p w14:paraId="626141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81A7D6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B49B1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52021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0CB0723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681AE40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AAB9D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4C2CB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0028E8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341EB0EF" w14:textId="77777777" w:rsidTr="007A584C">
        <w:trPr>
          <w:trHeight w:val="284"/>
          <w:jc w:val="center"/>
        </w:trPr>
        <w:tc>
          <w:tcPr>
            <w:tcW w:w="876" w:type="dxa"/>
            <w:shd w:val="clear" w:color="auto" w:fill="DEEAF6" w:themeFill="accent1" w:themeFillTint="33"/>
            <w:vAlign w:val="center"/>
            <w:hideMark/>
          </w:tcPr>
          <w:p w14:paraId="07A8FEC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7942603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Sacrificio de Ganado en Rastros Municipales</w:t>
            </w:r>
          </w:p>
        </w:tc>
        <w:tc>
          <w:tcPr>
            <w:tcW w:w="1140" w:type="dxa"/>
            <w:shd w:val="clear" w:color="auto" w:fill="DEEAF6" w:themeFill="accent1" w:themeFillTint="33"/>
            <w:vAlign w:val="center"/>
            <w:hideMark/>
          </w:tcPr>
          <w:p w14:paraId="02732FD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7FE6A8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16496B5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9A82FE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6443042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7A02B4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54D8D0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CB309F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B9166B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3E314063" w14:textId="77777777" w:rsidTr="007A584C">
        <w:trPr>
          <w:trHeight w:val="284"/>
          <w:jc w:val="center"/>
        </w:trPr>
        <w:tc>
          <w:tcPr>
            <w:tcW w:w="876" w:type="dxa"/>
            <w:shd w:val="clear" w:color="auto" w:fill="DEEAF6" w:themeFill="accent1" w:themeFillTint="33"/>
            <w:vAlign w:val="center"/>
            <w:hideMark/>
          </w:tcPr>
          <w:p w14:paraId="18767F9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150A8C1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Vinculación de Registros Administrativos</w:t>
            </w:r>
          </w:p>
        </w:tc>
        <w:tc>
          <w:tcPr>
            <w:tcW w:w="1140" w:type="dxa"/>
            <w:shd w:val="clear" w:color="auto" w:fill="DEEAF6" w:themeFill="accent1" w:themeFillTint="33"/>
            <w:vAlign w:val="center"/>
            <w:hideMark/>
          </w:tcPr>
          <w:p w14:paraId="50AE2BD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4D3F7B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12D3454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E15A32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2F214B1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B4A7A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33B6C5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79B7720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D9F955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4B3D187E" w14:textId="77777777" w:rsidTr="007A584C">
        <w:trPr>
          <w:trHeight w:val="284"/>
          <w:jc w:val="center"/>
        </w:trPr>
        <w:tc>
          <w:tcPr>
            <w:tcW w:w="876" w:type="dxa"/>
            <w:shd w:val="clear" w:color="auto" w:fill="DEEAF6" w:themeFill="accent1" w:themeFillTint="33"/>
            <w:vAlign w:val="center"/>
            <w:hideMark/>
          </w:tcPr>
          <w:p w14:paraId="027FF3A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01B21CE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Confianza del Consumidor</w:t>
            </w:r>
          </w:p>
        </w:tc>
        <w:tc>
          <w:tcPr>
            <w:tcW w:w="1140" w:type="dxa"/>
            <w:shd w:val="clear" w:color="auto" w:fill="DEEAF6" w:themeFill="accent1" w:themeFillTint="33"/>
            <w:vAlign w:val="center"/>
            <w:hideMark/>
          </w:tcPr>
          <w:p w14:paraId="290C040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D03EB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2A8029F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1D79EC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17F350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6C68C82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AD3DC6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7CBA6F7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7524C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6CD8C05E" w14:textId="77777777" w:rsidTr="007A584C">
        <w:trPr>
          <w:trHeight w:val="284"/>
          <w:jc w:val="center"/>
        </w:trPr>
        <w:tc>
          <w:tcPr>
            <w:tcW w:w="876" w:type="dxa"/>
            <w:shd w:val="clear" w:color="auto" w:fill="DEEAF6" w:themeFill="accent1" w:themeFillTint="33"/>
            <w:vAlign w:val="center"/>
            <w:hideMark/>
          </w:tcPr>
          <w:p w14:paraId="01E17E5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lastRenderedPageBreak/>
              <w:t>DGES</w:t>
            </w:r>
          </w:p>
        </w:tc>
        <w:tc>
          <w:tcPr>
            <w:tcW w:w="3936" w:type="dxa"/>
            <w:shd w:val="clear" w:color="auto" w:fill="DEEAF6" w:themeFill="accent1" w:themeFillTint="33"/>
            <w:vAlign w:val="center"/>
            <w:hideMark/>
          </w:tcPr>
          <w:p w14:paraId="42B82D3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Salud y Envejecimiento en México</w:t>
            </w:r>
          </w:p>
        </w:tc>
        <w:tc>
          <w:tcPr>
            <w:tcW w:w="1140" w:type="dxa"/>
            <w:shd w:val="clear" w:color="auto" w:fill="DEEAF6" w:themeFill="accent1" w:themeFillTint="33"/>
            <w:vAlign w:val="center"/>
            <w:hideMark/>
          </w:tcPr>
          <w:p w14:paraId="2EAB628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FEF09A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1052A2F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D41A57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6A7646C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568664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CC8DBB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40A27F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4F317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41FA77AE" w14:textId="77777777" w:rsidTr="007A584C">
        <w:trPr>
          <w:trHeight w:val="284"/>
          <w:jc w:val="center"/>
        </w:trPr>
        <w:tc>
          <w:tcPr>
            <w:tcW w:w="876" w:type="dxa"/>
            <w:shd w:val="clear" w:color="auto" w:fill="DEEAF6" w:themeFill="accent1" w:themeFillTint="33"/>
            <w:vAlign w:val="center"/>
            <w:hideMark/>
          </w:tcPr>
          <w:p w14:paraId="5258CB8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33861F1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Estadísticas de Salud en Establecimientos Particulares</w:t>
            </w:r>
          </w:p>
        </w:tc>
        <w:tc>
          <w:tcPr>
            <w:tcW w:w="1140" w:type="dxa"/>
            <w:shd w:val="clear" w:color="auto" w:fill="DEEAF6" w:themeFill="accent1" w:themeFillTint="33"/>
            <w:vAlign w:val="center"/>
            <w:hideMark/>
          </w:tcPr>
          <w:p w14:paraId="3B629B2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50E7080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4A2CAF3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2F4BB32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062543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5EA304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EDDED1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12DC4FF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8F45F5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34D6DB7A" w14:textId="77777777" w:rsidTr="007A584C">
        <w:trPr>
          <w:trHeight w:val="284"/>
          <w:jc w:val="center"/>
        </w:trPr>
        <w:tc>
          <w:tcPr>
            <w:tcW w:w="876" w:type="dxa"/>
            <w:shd w:val="clear" w:color="auto" w:fill="DEEAF6" w:themeFill="accent1" w:themeFillTint="33"/>
            <w:vAlign w:val="center"/>
            <w:hideMark/>
          </w:tcPr>
          <w:p w14:paraId="40CE175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3D62493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Productividad y Competitividad de las Micro, Pequeñas y Medianas Empresas</w:t>
            </w:r>
          </w:p>
        </w:tc>
        <w:tc>
          <w:tcPr>
            <w:tcW w:w="1140" w:type="dxa"/>
            <w:shd w:val="clear" w:color="auto" w:fill="DEEAF6" w:themeFill="accent1" w:themeFillTint="33"/>
            <w:vAlign w:val="center"/>
            <w:hideMark/>
          </w:tcPr>
          <w:p w14:paraId="7EA05A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68BB4EA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74C4A1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strike/>
                <w:color w:val="000000"/>
                <w:sz w:val="16"/>
                <w:szCs w:val="16"/>
                <w:lang w:eastAsia="es-MX"/>
              </w:rPr>
              <w:t> </w:t>
            </w:r>
          </w:p>
        </w:tc>
        <w:tc>
          <w:tcPr>
            <w:tcW w:w="992" w:type="dxa"/>
            <w:shd w:val="clear" w:color="auto" w:fill="DEEAF6" w:themeFill="accent1" w:themeFillTint="33"/>
            <w:vAlign w:val="center"/>
            <w:hideMark/>
          </w:tcPr>
          <w:p w14:paraId="36652CC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627388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055A27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6EB6970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6DCDBFE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94846F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54BDE9C4" w14:textId="77777777" w:rsidTr="007A584C">
        <w:trPr>
          <w:trHeight w:val="284"/>
          <w:jc w:val="center"/>
        </w:trPr>
        <w:tc>
          <w:tcPr>
            <w:tcW w:w="876" w:type="dxa"/>
            <w:shd w:val="clear" w:color="auto" w:fill="DEEAF6" w:themeFill="accent1" w:themeFillTint="33"/>
            <w:vAlign w:val="center"/>
            <w:hideMark/>
          </w:tcPr>
          <w:p w14:paraId="31AEB32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DEEAF6" w:themeFill="accent1" w:themeFillTint="33"/>
            <w:vAlign w:val="center"/>
            <w:hideMark/>
          </w:tcPr>
          <w:p w14:paraId="161CE014"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Calidad Regulatoria e Impacto Gubernamental en Empresas</w:t>
            </w:r>
          </w:p>
        </w:tc>
        <w:tc>
          <w:tcPr>
            <w:tcW w:w="1140" w:type="dxa"/>
            <w:shd w:val="clear" w:color="auto" w:fill="DEEAF6" w:themeFill="accent1" w:themeFillTint="33"/>
            <w:vAlign w:val="center"/>
            <w:hideMark/>
          </w:tcPr>
          <w:p w14:paraId="6CCD161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2D62EE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DD127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BDA024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1597535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bottom"/>
            <w:hideMark/>
          </w:tcPr>
          <w:p w14:paraId="6963E9E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910DB1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56B3017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C4B02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1A771C53" w14:textId="77777777" w:rsidTr="007A584C">
        <w:trPr>
          <w:trHeight w:val="284"/>
          <w:jc w:val="center"/>
        </w:trPr>
        <w:tc>
          <w:tcPr>
            <w:tcW w:w="876" w:type="dxa"/>
            <w:shd w:val="clear" w:color="auto" w:fill="DEEAF6" w:themeFill="accent1" w:themeFillTint="33"/>
            <w:vAlign w:val="center"/>
            <w:hideMark/>
          </w:tcPr>
          <w:p w14:paraId="14BDDFD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53411A9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 de Matrimonios</w:t>
            </w:r>
          </w:p>
        </w:tc>
        <w:tc>
          <w:tcPr>
            <w:tcW w:w="1140" w:type="dxa"/>
            <w:shd w:val="clear" w:color="auto" w:fill="DEEAF6" w:themeFill="accent1" w:themeFillTint="33"/>
            <w:vAlign w:val="center"/>
            <w:hideMark/>
          </w:tcPr>
          <w:p w14:paraId="03A4EFE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6993AEA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61A1338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0042DEF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206FAB0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7700FF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7C554AD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6F265AB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D72717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2C7B8E0F" w14:textId="77777777" w:rsidTr="007A584C">
        <w:trPr>
          <w:trHeight w:val="284"/>
          <w:jc w:val="center"/>
        </w:trPr>
        <w:tc>
          <w:tcPr>
            <w:tcW w:w="876" w:type="dxa"/>
            <w:shd w:val="clear" w:color="auto" w:fill="DEEAF6" w:themeFill="accent1" w:themeFillTint="33"/>
            <w:vAlign w:val="center"/>
            <w:hideMark/>
          </w:tcPr>
          <w:p w14:paraId="668663E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4CB4A21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Accidentes de Tránsito Terrestre</w:t>
            </w:r>
          </w:p>
        </w:tc>
        <w:tc>
          <w:tcPr>
            <w:tcW w:w="1140" w:type="dxa"/>
            <w:shd w:val="clear" w:color="auto" w:fill="DEEAF6" w:themeFill="accent1" w:themeFillTint="33"/>
            <w:vAlign w:val="center"/>
            <w:hideMark/>
          </w:tcPr>
          <w:p w14:paraId="48BC07A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07E78B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EE9152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0EDCBCD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4545C89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12C468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A9B944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D94F1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560F855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0CEEF7E3" w14:textId="77777777" w:rsidTr="007A584C">
        <w:trPr>
          <w:trHeight w:val="284"/>
          <w:jc w:val="center"/>
        </w:trPr>
        <w:tc>
          <w:tcPr>
            <w:tcW w:w="876" w:type="dxa"/>
            <w:shd w:val="clear" w:color="auto" w:fill="DEEAF6" w:themeFill="accent1" w:themeFillTint="33"/>
            <w:vAlign w:val="center"/>
            <w:hideMark/>
          </w:tcPr>
          <w:p w14:paraId="1B05B06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444D999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Transporte Urbano de Pasajeros</w:t>
            </w:r>
          </w:p>
        </w:tc>
        <w:tc>
          <w:tcPr>
            <w:tcW w:w="1140" w:type="dxa"/>
            <w:shd w:val="clear" w:color="auto" w:fill="DEEAF6" w:themeFill="accent1" w:themeFillTint="33"/>
            <w:vAlign w:val="center"/>
            <w:hideMark/>
          </w:tcPr>
          <w:p w14:paraId="700B045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1B22B1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5B2BCEB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AA660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1BBFD2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8FD406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69D108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28EF13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0C8A8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61E9AA58" w14:textId="77777777" w:rsidTr="007A584C">
        <w:trPr>
          <w:trHeight w:val="284"/>
          <w:jc w:val="center"/>
        </w:trPr>
        <w:tc>
          <w:tcPr>
            <w:tcW w:w="876" w:type="dxa"/>
            <w:shd w:val="clear" w:color="auto" w:fill="DEEAF6" w:themeFill="accent1" w:themeFillTint="33"/>
            <w:vAlign w:val="center"/>
            <w:hideMark/>
          </w:tcPr>
          <w:p w14:paraId="46A8709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DGEE</w:t>
            </w:r>
          </w:p>
        </w:tc>
        <w:tc>
          <w:tcPr>
            <w:tcW w:w="3936" w:type="dxa"/>
            <w:shd w:val="clear" w:color="auto" w:fill="DEEAF6" w:themeFill="accent1" w:themeFillTint="33"/>
            <w:vAlign w:val="center"/>
            <w:hideMark/>
          </w:tcPr>
          <w:p w14:paraId="46F53D3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Vehículos de Motor Registrados en Circulación</w:t>
            </w:r>
          </w:p>
        </w:tc>
        <w:tc>
          <w:tcPr>
            <w:tcW w:w="1140" w:type="dxa"/>
            <w:shd w:val="clear" w:color="auto" w:fill="DEEAF6" w:themeFill="accent1" w:themeFillTint="33"/>
            <w:vAlign w:val="center"/>
            <w:hideMark/>
          </w:tcPr>
          <w:p w14:paraId="493AE6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3A90C0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73F08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0823400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4B5BCC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BD4099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07F924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91AC99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3B56B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4767788C" w14:textId="77777777" w:rsidTr="007A584C">
        <w:trPr>
          <w:trHeight w:val="284"/>
          <w:jc w:val="center"/>
        </w:trPr>
        <w:tc>
          <w:tcPr>
            <w:tcW w:w="876" w:type="dxa"/>
            <w:shd w:val="clear" w:color="auto" w:fill="DEEAF6" w:themeFill="accent1" w:themeFillTint="33"/>
            <w:vAlign w:val="center"/>
            <w:hideMark/>
          </w:tcPr>
          <w:p w14:paraId="5C38EF8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0F4AB83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Empleo y Seguridad Social</w:t>
            </w:r>
          </w:p>
        </w:tc>
        <w:tc>
          <w:tcPr>
            <w:tcW w:w="1140" w:type="dxa"/>
            <w:shd w:val="clear" w:color="auto" w:fill="DEEAF6" w:themeFill="accent1" w:themeFillTint="33"/>
            <w:vAlign w:val="center"/>
            <w:hideMark/>
          </w:tcPr>
          <w:p w14:paraId="4088B33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57515F5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67C446B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strike/>
                <w:color w:val="000000"/>
                <w:sz w:val="16"/>
                <w:szCs w:val="16"/>
                <w:lang w:eastAsia="es-MX"/>
              </w:rPr>
              <w:t> </w:t>
            </w:r>
          </w:p>
        </w:tc>
        <w:tc>
          <w:tcPr>
            <w:tcW w:w="992" w:type="dxa"/>
            <w:shd w:val="clear" w:color="auto" w:fill="DEEAF6" w:themeFill="accent1" w:themeFillTint="33"/>
            <w:vAlign w:val="center"/>
            <w:hideMark/>
          </w:tcPr>
          <w:p w14:paraId="6FD952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7F2C292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5C32FAD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2ACE86F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01D732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14D841F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4A5D78FC" w14:textId="77777777" w:rsidTr="007A584C">
        <w:trPr>
          <w:trHeight w:val="284"/>
          <w:jc w:val="center"/>
        </w:trPr>
        <w:tc>
          <w:tcPr>
            <w:tcW w:w="876" w:type="dxa"/>
            <w:shd w:val="clear" w:color="auto" w:fill="DEEAF6" w:themeFill="accent1" w:themeFillTint="33"/>
            <w:vAlign w:val="center"/>
            <w:hideMark/>
          </w:tcPr>
          <w:p w14:paraId="6788683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7712687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 de Museos</w:t>
            </w:r>
          </w:p>
        </w:tc>
        <w:tc>
          <w:tcPr>
            <w:tcW w:w="1140" w:type="dxa"/>
            <w:shd w:val="clear" w:color="auto" w:fill="DEEAF6" w:themeFill="accent1" w:themeFillTint="33"/>
            <w:vAlign w:val="center"/>
            <w:hideMark/>
          </w:tcPr>
          <w:p w14:paraId="183E3AF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2669670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4A1779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174C63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67E55CA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6520A5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3069900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CC783B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D1499C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55C42632" w14:textId="77777777" w:rsidTr="007A584C">
        <w:trPr>
          <w:trHeight w:val="284"/>
          <w:jc w:val="center"/>
        </w:trPr>
        <w:tc>
          <w:tcPr>
            <w:tcW w:w="876" w:type="dxa"/>
            <w:shd w:val="clear" w:color="auto" w:fill="DEEAF6" w:themeFill="accent1" w:themeFillTint="33"/>
            <w:vAlign w:val="center"/>
            <w:hideMark/>
          </w:tcPr>
          <w:p w14:paraId="7EF72CD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DGIAI</w:t>
            </w:r>
          </w:p>
        </w:tc>
        <w:tc>
          <w:tcPr>
            <w:tcW w:w="3936" w:type="dxa"/>
            <w:shd w:val="clear" w:color="auto" w:fill="DEEAF6" w:themeFill="accent1" w:themeFillTint="33"/>
            <w:vAlign w:val="center"/>
            <w:hideMark/>
          </w:tcPr>
          <w:p w14:paraId="6B803761"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 xml:space="preserve">Encuesta Nacional de Bienestar </w:t>
            </w:r>
            <w:proofErr w:type="spellStart"/>
            <w:r w:rsidRPr="009A501D">
              <w:rPr>
                <w:rFonts w:ascii="Century Gothic" w:eastAsia="Times New Roman" w:hAnsi="Century Gothic" w:cs="Arial"/>
                <w:sz w:val="16"/>
                <w:szCs w:val="16"/>
                <w:lang w:eastAsia="es-MX"/>
              </w:rPr>
              <w:t>Autorreportado</w:t>
            </w:r>
            <w:proofErr w:type="spellEnd"/>
          </w:p>
        </w:tc>
        <w:tc>
          <w:tcPr>
            <w:tcW w:w="1140" w:type="dxa"/>
            <w:shd w:val="clear" w:color="auto" w:fill="DEEAF6" w:themeFill="accent1" w:themeFillTint="33"/>
            <w:vAlign w:val="center"/>
            <w:hideMark/>
          </w:tcPr>
          <w:p w14:paraId="30D967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F53E7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70E4B15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073B43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41D56D9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33D9D1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4648378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B87302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C500B0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7397FB10" w14:textId="77777777" w:rsidTr="007A584C">
        <w:trPr>
          <w:trHeight w:val="284"/>
          <w:jc w:val="center"/>
        </w:trPr>
        <w:tc>
          <w:tcPr>
            <w:tcW w:w="876" w:type="dxa"/>
            <w:shd w:val="clear" w:color="auto" w:fill="DEEAF6" w:themeFill="accent1" w:themeFillTint="33"/>
            <w:vAlign w:val="center"/>
            <w:hideMark/>
          </w:tcPr>
          <w:p w14:paraId="60FA226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DGIAI</w:t>
            </w:r>
          </w:p>
        </w:tc>
        <w:tc>
          <w:tcPr>
            <w:tcW w:w="3936" w:type="dxa"/>
            <w:shd w:val="clear" w:color="auto" w:fill="DEEAF6" w:themeFill="accent1" w:themeFillTint="33"/>
            <w:vAlign w:val="center"/>
            <w:hideMark/>
          </w:tcPr>
          <w:p w14:paraId="7706CC3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Estado de Ánimo de los Tuiteros</w:t>
            </w:r>
          </w:p>
        </w:tc>
        <w:tc>
          <w:tcPr>
            <w:tcW w:w="1140" w:type="dxa"/>
            <w:shd w:val="clear" w:color="auto" w:fill="DEEAF6" w:themeFill="accent1" w:themeFillTint="33"/>
            <w:vAlign w:val="center"/>
            <w:hideMark/>
          </w:tcPr>
          <w:p w14:paraId="5AD645E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6944B7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0C523AA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9A1BE5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5D0ED72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D60058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07C1AFA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C7CE48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E56D0E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1F116CEE" w14:textId="77777777" w:rsidTr="007A584C">
        <w:trPr>
          <w:trHeight w:val="284"/>
          <w:jc w:val="center"/>
        </w:trPr>
        <w:tc>
          <w:tcPr>
            <w:tcW w:w="876" w:type="dxa"/>
            <w:shd w:val="clear" w:color="auto" w:fill="DEEAF6" w:themeFill="accent1" w:themeFillTint="33"/>
            <w:vAlign w:val="center"/>
            <w:hideMark/>
          </w:tcPr>
          <w:p w14:paraId="28877EEA"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DGIAI</w:t>
            </w:r>
          </w:p>
        </w:tc>
        <w:tc>
          <w:tcPr>
            <w:tcW w:w="3936" w:type="dxa"/>
            <w:shd w:val="clear" w:color="auto" w:fill="DEEAF6" w:themeFill="accent1" w:themeFillTint="33"/>
            <w:vAlign w:val="center"/>
            <w:hideMark/>
          </w:tcPr>
          <w:p w14:paraId="711C9246"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Sistema de Indicadores Cíclicos</w:t>
            </w:r>
          </w:p>
        </w:tc>
        <w:tc>
          <w:tcPr>
            <w:tcW w:w="1140" w:type="dxa"/>
            <w:shd w:val="clear" w:color="auto" w:fill="DEEAF6" w:themeFill="accent1" w:themeFillTint="33"/>
            <w:vAlign w:val="center"/>
            <w:hideMark/>
          </w:tcPr>
          <w:p w14:paraId="70247B4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299D90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232724E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2FC073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052D725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3B895D5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145" w:type="dxa"/>
            <w:shd w:val="clear" w:color="auto" w:fill="BDD6EE" w:themeFill="accent1" w:themeFillTint="66"/>
            <w:vAlign w:val="center"/>
            <w:hideMark/>
          </w:tcPr>
          <w:p w14:paraId="1FCF6AC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733F9A9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6A1ABEA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B3B5BD7" w14:textId="77777777" w:rsidTr="007A584C">
        <w:trPr>
          <w:trHeight w:val="284"/>
          <w:jc w:val="center"/>
        </w:trPr>
        <w:tc>
          <w:tcPr>
            <w:tcW w:w="876" w:type="dxa"/>
            <w:shd w:val="clear" w:color="auto" w:fill="BDD6EE" w:themeFill="accent1" w:themeFillTint="66"/>
            <w:vAlign w:val="center"/>
            <w:hideMark/>
          </w:tcPr>
          <w:p w14:paraId="7A8CB2E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BDD6EE" w:themeFill="accent1" w:themeFillTint="66"/>
            <w:vAlign w:val="center"/>
            <w:hideMark/>
          </w:tcPr>
          <w:p w14:paraId="02B792C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Adolescentes en el Sistema de Justicia Penal</w:t>
            </w:r>
          </w:p>
        </w:tc>
        <w:tc>
          <w:tcPr>
            <w:tcW w:w="1140" w:type="dxa"/>
            <w:shd w:val="clear" w:color="auto" w:fill="BDD6EE" w:themeFill="accent1" w:themeFillTint="66"/>
            <w:vAlign w:val="center"/>
            <w:hideMark/>
          </w:tcPr>
          <w:p w14:paraId="578757F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7E46F0A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028C326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5776888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7960D7E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BDD6EE" w:themeFill="accent1" w:themeFillTint="66"/>
            <w:noWrap/>
            <w:vAlign w:val="bottom"/>
            <w:hideMark/>
          </w:tcPr>
          <w:p w14:paraId="134855A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590A7DC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287DE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17B88C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3020638A" w14:textId="77777777" w:rsidTr="007A584C">
        <w:trPr>
          <w:trHeight w:val="284"/>
          <w:jc w:val="center"/>
        </w:trPr>
        <w:tc>
          <w:tcPr>
            <w:tcW w:w="876" w:type="dxa"/>
            <w:shd w:val="clear" w:color="auto" w:fill="BDD6EE" w:themeFill="accent1" w:themeFillTint="66"/>
            <w:vAlign w:val="center"/>
            <w:hideMark/>
          </w:tcPr>
          <w:p w14:paraId="5F3F294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151EC76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sobre las Finanzas de los Hogares</w:t>
            </w:r>
          </w:p>
        </w:tc>
        <w:tc>
          <w:tcPr>
            <w:tcW w:w="1140" w:type="dxa"/>
            <w:shd w:val="clear" w:color="auto" w:fill="BDD6EE" w:themeFill="accent1" w:themeFillTint="66"/>
            <w:vAlign w:val="center"/>
            <w:hideMark/>
          </w:tcPr>
          <w:p w14:paraId="58D3BE7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E3F8A9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76B594A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2F13DE6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2847B6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BDD6EE" w:themeFill="accent1" w:themeFillTint="66"/>
            <w:vAlign w:val="center"/>
            <w:hideMark/>
          </w:tcPr>
          <w:p w14:paraId="6240E9E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6F5A13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6DBADF6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5198C1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4617966E" w14:textId="77777777" w:rsidTr="007A584C">
        <w:trPr>
          <w:trHeight w:val="284"/>
          <w:jc w:val="center"/>
        </w:trPr>
        <w:tc>
          <w:tcPr>
            <w:tcW w:w="876" w:type="dxa"/>
            <w:shd w:val="clear" w:color="auto" w:fill="BDD6EE" w:themeFill="accent1" w:themeFillTint="66"/>
            <w:vAlign w:val="center"/>
            <w:hideMark/>
          </w:tcPr>
          <w:p w14:paraId="6597716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7DE69F89"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 de Divorcios</w:t>
            </w:r>
          </w:p>
        </w:tc>
        <w:tc>
          <w:tcPr>
            <w:tcW w:w="1140" w:type="dxa"/>
            <w:shd w:val="clear" w:color="auto" w:fill="BDD6EE" w:themeFill="accent1" w:themeFillTint="66"/>
            <w:vAlign w:val="center"/>
            <w:hideMark/>
          </w:tcPr>
          <w:p w14:paraId="1383352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2B9B89C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0900E13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01CC0F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0C79E2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BDD6EE" w:themeFill="accent1" w:themeFillTint="66"/>
            <w:vAlign w:val="center"/>
            <w:hideMark/>
          </w:tcPr>
          <w:p w14:paraId="3AF72BC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3756549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05F8B6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17DE71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572AA3E0" w14:textId="77777777" w:rsidTr="007A584C">
        <w:trPr>
          <w:trHeight w:val="284"/>
          <w:jc w:val="center"/>
        </w:trPr>
        <w:tc>
          <w:tcPr>
            <w:tcW w:w="876" w:type="dxa"/>
            <w:shd w:val="clear" w:color="auto" w:fill="BDD6EE" w:themeFill="accent1" w:themeFillTint="66"/>
            <w:vAlign w:val="center"/>
            <w:hideMark/>
          </w:tcPr>
          <w:p w14:paraId="11F2C67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DGGMA</w:t>
            </w:r>
          </w:p>
        </w:tc>
        <w:tc>
          <w:tcPr>
            <w:tcW w:w="3936" w:type="dxa"/>
            <w:shd w:val="clear" w:color="auto" w:fill="BDD6EE" w:themeFill="accent1" w:themeFillTint="66"/>
            <w:vAlign w:val="center"/>
            <w:hideMark/>
          </w:tcPr>
          <w:p w14:paraId="29B4882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Información Catastral, Registral y Territorial</w:t>
            </w:r>
          </w:p>
        </w:tc>
        <w:tc>
          <w:tcPr>
            <w:tcW w:w="1140" w:type="dxa"/>
            <w:shd w:val="clear" w:color="auto" w:fill="BDD6EE" w:themeFill="accent1" w:themeFillTint="66"/>
            <w:vAlign w:val="center"/>
            <w:hideMark/>
          </w:tcPr>
          <w:p w14:paraId="0DD8914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484AC28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7714F46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79F0107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09B3ABC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BDD6EE" w:themeFill="accent1" w:themeFillTint="66"/>
            <w:noWrap/>
            <w:vAlign w:val="bottom"/>
            <w:hideMark/>
          </w:tcPr>
          <w:p w14:paraId="4CD193F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1F27083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681" w:type="dxa"/>
            <w:shd w:val="clear" w:color="auto" w:fill="DEEAF6" w:themeFill="accent1" w:themeFillTint="33"/>
            <w:vAlign w:val="center"/>
            <w:hideMark/>
          </w:tcPr>
          <w:p w14:paraId="3772B50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6982E0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E2E39AD" w14:textId="77777777" w:rsidTr="007A584C">
        <w:trPr>
          <w:trHeight w:val="284"/>
          <w:jc w:val="center"/>
        </w:trPr>
        <w:tc>
          <w:tcPr>
            <w:tcW w:w="876" w:type="dxa"/>
            <w:shd w:val="clear" w:color="auto" w:fill="DEEAF6" w:themeFill="accent1" w:themeFillTint="33"/>
            <w:vAlign w:val="center"/>
            <w:hideMark/>
          </w:tcPr>
          <w:p w14:paraId="19DDA05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665D0CE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Estadísticas sobre Relaciones Laborales de Jurisdicción Local</w:t>
            </w:r>
          </w:p>
        </w:tc>
        <w:tc>
          <w:tcPr>
            <w:tcW w:w="1140" w:type="dxa"/>
            <w:shd w:val="clear" w:color="auto" w:fill="DEEAF6" w:themeFill="accent1" w:themeFillTint="33"/>
            <w:vAlign w:val="center"/>
            <w:hideMark/>
          </w:tcPr>
          <w:p w14:paraId="1AC42D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731D899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4F34D66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3910FD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5BD68B7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50B2659F"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66F1607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50EE8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37F5DD0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00D9C428" w14:textId="77777777" w:rsidTr="007A584C">
        <w:trPr>
          <w:trHeight w:val="284"/>
          <w:jc w:val="center"/>
        </w:trPr>
        <w:tc>
          <w:tcPr>
            <w:tcW w:w="876" w:type="dxa"/>
            <w:shd w:val="clear" w:color="auto" w:fill="DEEAF6" w:themeFill="accent1" w:themeFillTint="33"/>
            <w:vAlign w:val="center"/>
            <w:hideMark/>
          </w:tcPr>
          <w:p w14:paraId="7E6788A5"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64F22A3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Módulo sobre Lectura</w:t>
            </w:r>
          </w:p>
        </w:tc>
        <w:tc>
          <w:tcPr>
            <w:tcW w:w="1140" w:type="dxa"/>
            <w:shd w:val="clear" w:color="auto" w:fill="DEEAF6" w:themeFill="accent1" w:themeFillTint="33"/>
            <w:vAlign w:val="center"/>
            <w:hideMark/>
          </w:tcPr>
          <w:p w14:paraId="394B293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37938F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2C8C0E1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14063D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4E83CE8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3196C17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7F88194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233F14C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460D21E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03A4341A" w14:textId="77777777" w:rsidTr="007A584C">
        <w:trPr>
          <w:trHeight w:val="284"/>
          <w:jc w:val="center"/>
        </w:trPr>
        <w:tc>
          <w:tcPr>
            <w:tcW w:w="876" w:type="dxa"/>
            <w:shd w:val="clear" w:color="auto" w:fill="DEEAF6" w:themeFill="accent1" w:themeFillTint="33"/>
            <w:vAlign w:val="center"/>
            <w:hideMark/>
          </w:tcPr>
          <w:p w14:paraId="3D46D8F8"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61FE82E7"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Módulo sobre Eventos Culturales Seleccionados</w:t>
            </w:r>
          </w:p>
        </w:tc>
        <w:tc>
          <w:tcPr>
            <w:tcW w:w="1140" w:type="dxa"/>
            <w:shd w:val="clear" w:color="auto" w:fill="DEEAF6" w:themeFill="accent1" w:themeFillTint="33"/>
            <w:vAlign w:val="center"/>
            <w:hideMark/>
          </w:tcPr>
          <w:p w14:paraId="7BF0B0E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5BC0929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05C3CB7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361B20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15F7A4E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587E6DD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054899D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D43751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2FEF1FD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21477E65" w14:textId="77777777" w:rsidTr="007A584C">
        <w:trPr>
          <w:trHeight w:val="284"/>
          <w:jc w:val="center"/>
        </w:trPr>
        <w:tc>
          <w:tcPr>
            <w:tcW w:w="876" w:type="dxa"/>
            <w:shd w:val="clear" w:color="auto" w:fill="DEEAF6" w:themeFill="accent1" w:themeFillTint="33"/>
            <w:vAlign w:val="center"/>
            <w:hideMark/>
          </w:tcPr>
          <w:p w14:paraId="4D6F6C2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DEEAF6" w:themeFill="accent1" w:themeFillTint="33"/>
            <w:vAlign w:val="center"/>
            <w:hideMark/>
          </w:tcPr>
          <w:p w14:paraId="4694586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Centros de Justicia para las Mujeres</w:t>
            </w:r>
          </w:p>
        </w:tc>
        <w:tc>
          <w:tcPr>
            <w:tcW w:w="1140" w:type="dxa"/>
            <w:shd w:val="clear" w:color="auto" w:fill="DEEAF6" w:themeFill="accent1" w:themeFillTint="33"/>
            <w:vAlign w:val="center"/>
            <w:hideMark/>
          </w:tcPr>
          <w:p w14:paraId="440F36A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16B0DEC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1A5FCCB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683D60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15A9D8B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2FEAF1F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6352622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6A8B896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623AA4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5CDDE887" w14:textId="77777777" w:rsidTr="007A584C">
        <w:trPr>
          <w:trHeight w:val="284"/>
          <w:jc w:val="center"/>
        </w:trPr>
        <w:tc>
          <w:tcPr>
            <w:tcW w:w="876" w:type="dxa"/>
            <w:shd w:val="clear" w:color="auto" w:fill="DEEAF6" w:themeFill="accent1" w:themeFillTint="33"/>
            <w:vAlign w:val="center"/>
            <w:hideMark/>
          </w:tcPr>
          <w:p w14:paraId="4EC8A90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DGEGSPJ</w:t>
            </w:r>
          </w:p>
        </w:tc>
        <w:tc>
          <w:tcPr>
            <w:tcW w:w="3936" w:type="dxa"/>
            <w:shd w:val="clear" w:color="auto" w:fill="DEEAF6" w:themeFill="accent1" w:themeFillTint="33"/>
            <w:vAlign w:val="center"/>
            <w:hideMark/>
          </w:tcPr>
          <w:p w14:paraId="030A590E"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Módulo sobre Ciberacoso</w:t>
            </w:r>
          </w:p>
        </w:tc>
        <w:tc>
          <w:tcPr>
            <w:tcW w:w="1140" w:type="dxa"/>
            <w:shd w:val="clear" w:color="auto" w:fill="DEEAF6" w:themeFill="accent1" w:themeFillTint="33"/>
            <w:vAlign w:val="center"/>
            <w:hideMark/>
          </w:tcPr>
          <w:p w14:paraId="3F070ED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0CD0C35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3FE1E54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5825890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33064F7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noWrap/>
            <w:vAlign w:val="bottom"/>
            <w:hideMark/>
          </w:tcPr>
          <w:p w14:paraId="14229EF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0F38EEF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1634BBB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001265F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6538143B" w14:textId="77777777" w:rsidTr="007A584C">
        <w:trPr>
          <w:trHeight w:val="284"/>
          <w:jc w:val="center"/>
        </w:trPr>
        <w:tc>
          <w:tcPr>
            <w:tcW w:w="876" w:type="dxa"/>
            <w:shd w:val="clear" w:color="auto" w:fill="DEEAF6" w:themeFill="accent1" w:themeFillTint="33"/>
            <w:vAlign w:val="center"/>
            <w:hideMark/>
          </w:tcPr>
          <w:p w14:paraId="482E674C"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373DB76F"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Encuesta Nacional de Acceso y Permanencia Escolar</w:t>
            </w:r>
          </w:p>
        </w:tc>
        <w:tc>
          <w:tcPr>
            <w:tcW w:w="1140" w:type="dxa"/>
            <w:shd w:val="clear" w:color="auto" w:fill="DEEAF6" w:themeFill="accent1" w:themeFillTint="33"/>
            <w:vAlign w:val="center"/>
            <w:hideMark/>
          </w:tcPr>
          <w:p w14:paraId="55B2FB9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4E6A704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6463066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45F95B6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0A33A0C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79AB0A5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31B9947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3781445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c>
          <w:tcPr>
            <w:tcW w:w="1054" w:type="dxa"/>
            <w:shd w:val="clear" w:color="auto" w:fill="BDD6EE" w:themeFill="accent1" w:themeFillTint="66"/>
            <w:vAlign w:val="center"/>
            <w:hideMark/>
          </w:tcPr>
          <w:p w14:paraId="75269BE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2203B0DD" w14:textId="77777777" w:rsidTr="007A584C">
        <w:trPr>
          <w:trHeight w:val="284"/>
          <w:jc w:val="center"/>
        </w:trPr>
        <w:tc>
          <w:tcPr>
            <w:tcW w:w="876" w:type="dxa"/>
            <w:shd w:val="clear" w:color="auto" w:fill="BDD6EE" w:themeFill="accent1" w:themeFillTint="66"/>
            <w:vAlign w:val="center"/>
            <w:hideMark/>
          </w:tcPr>
          <w:p w14:paraId="336D0C80"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BDD6EE" w:themeFill="accent1" w:themeFillTint="66"/>
            <w:vAlign w:val="center"/>
            <w:hideMark/>
          </w:tcPr>
          <w:p w14:paraId="79856802"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Marco Maestro de Muestreo</w:t>
            </w:r>
          </w:p>
        </w:tc>
        <w:tc>
          <w:tcPr>
            <w:tcW w:w="1140" w:type="dxa"/>
            <w:shd w:val="clear" w:color="auto" w:fill="BDD6EE" w:themeFill="accent1" w:themeFillTint="66"/>
            <w:vAlign w:val="center"/>
            <w:hideMark/>
          </w:tcPr>
          <w:p w14:paraId="0DF408F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BDD6EE" w:themeFill="accent1" w:themeFillTint="66"/>
            <w:vAlign w:val="center"/>
            <w:hideMark/>
          </w:tcPr>
          <w:p w14:paraId="6607D4E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BDD6EE" w:themeFill="accent1" w:themeFillTint="66"/>
            <w:vAlign w:val="center"/>
            <w:hideMark/>
          </w:tcPr>
          <w:p w14:paraId="557F631B"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BDD6EE" w:themeFill="accent1" w:themeFillTint="66"/>
            <w:vAlign w:val="center"/>
            <w:hideMark/>
          </w:tcPr>
          <w:p w14:paraId="1309DDB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BDD6EE" w:themeFill="accent1" w:themeFillTint="66"/>
            <w:vAlign w:val="center"/>
            <w:hideMark/>
          </w:tcPr>
          <w:p w14:paraId="7C8ADC2A"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BDD6EE" w:themeFill="accent1" w:themeFillTint="66"/>
            <w:vAlign w:val="center"/>
            <w:hideMark/>
          </w:tcPr>
          <w:p w14:paraId="762D23AD"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BDD6EE" w:themeFill="accent1" w:themeFillTint="66"/>
            <w:vAlign w:val="center"/>
            <w:hideMark/>
          </w:tcPr>
          <w:p w14:paraId="3CBE9DC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BDD6EE" w:themeFill="accent1" w:themeFillTint="66"/>
            <w:vAlign w:val="center"/>
            <w:hideMark/>
          </w:tcPr>
          <w:p w14:paraId="77B6E354"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054" w:type="dxa"/>
            <w:shd w:val="clear" w:color="auto" w:fill="BDD6EE" w:themeFill="accent1" w:themeFillTint="66"/>
            <w:vAlign w:val="center"/>
            <w:hideMark/>
          </w:tcPr>
          <w:p w14:paraId="3E3C1523"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X</w:t>
            </w:r>
          </w:p>
        </w:tc>
      </w:tr>
      <w:tr w:rsidR="000F54A5" w:rsidRPr="009A501D" w14:paraId="636A86E4" w14:textId="77777777" w:rsidTr="007A584C">
        <w:trPr>
          <w:trHeight w:val="284"/>
          <w:jc w:val="center"/>
        </w:trPr>
        <w:tc>
          <w:tcPr>
            <w:tcW w:w="876" w:type="dxa"/>
            <w:shd w:val="clear" w:color="auto" w:fill="DEEAF6" w:themeFill="accent1" w:themeFillTint="33"/>
            <w:vAlign w:val="center"/>
            <w:hideMark/>
          </w:tcPr>
          <w:p w14:paraId="02A4DD43"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09C9180D"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Estimación de Características Sociodemográficas en Áreas Pequeñas</w:t>
            </w:r>
          </w:p>
        </w:tc>
        <w:tc>
          <w:tcPr>
            <w:tcW w:w="1140" w:type="dxa"/>
            <w:shd w:val="clear" w:color="auto" w:fill="DEEAF6" w:themeFill="accent1" w:themeFillTint="33"/>
            <w:vAlign w:val="center"/>
            <w:hideMark/>
          </w:tcPr>
          <w:p w14:paraId="02AC73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2CE56DD2"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78B2D0A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7EFABB6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73F455A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7F85DB06"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4D3077C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576FFE35"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054" w:type="dxa"/>
            <w:shd w:val="clear" w:color="auto" w:fill="DEEAF6" w:themeFill="accent1" w:themeFillTint="33"/>
            <w:vAlign w:val="center"/>
            <w:hideMark/>
          </w:tcPr>
          <w:p w14:paraId="7E782D30"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r w:rsidR="000F54A5" w:rsidRPr="009A501D" w14:paraId="31A18DCF" w14:textId="77777777" w:rsidTr="007A584C">
        <w:trPr>
          <w:trHeight w:val="284"/>
          <w:jc w:val="center"/>
        </w:trPr>
        <w:tc>
          <w:tcPr>
            <w:tcW w:w="876" w:type="dxa"/>
            <w:shd w:val="clear" w:color="auto" w:fill="DEEAF6" w:themeFill="accent1" w:themeFillTint="33"/>
            <w:vAlign w:val="center"/>
            <w:hideMark/>
          </w:tcPr>
          <w:p w14:paraId="08C5CDC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DGES</w:t>
            </w:r>
          </w:p>
        </w:tc>
        <w:tc>
          <w:tcPr>
            <w:tcW w:w="3936" w:type="dxa"/>
            <w:shd w:val="clear" w:color="auto" w:fill="DEEAF6" w:themeFill="accent1" w:themeFillTint="33"/>
            <w:vAlign w:val="center"/>
            <w:hideMark/>
          </w:tcPr>
          <w:p w14:paraId="2774ACFB" w14:textId="77777777" w:rsidR="000F54A5" w:rsidRPr="009A501D" w:rsidRDefault="000F54A5" w:rsidP="00BE0B71">
            <w:pPr>
              <w:spacing w:after="0" w:line="240" w:lineRule="auto"/>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Evaluación Cognitiva para la ENASEM</w:t>
            </w:r>
          </w:p>
        </w:tc>
        <w:tc>
          <w:tcPr>
            <w:tcW w:w="1140" w:type="dxa"/>
            <w:shd w:val="clear" w:color="auto" w:fill="DEEAF6" w:themeFill="accent1" w:themeFillTint="33"/>
            <w:vAlign w:val="center"/>
            <w:hideMark/>
          </w:tcPr>
          <w:p w14:paraId="421CD08E"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83" w:type="dxa"/>
            <w:shd w:val="clear" w:color="auto" w:fill="DEEAF6" w:themeFill="accent1" w:themeFillTint="33"/>
            <w:vAlign w:val="center"/>
            <w:hideMark/>
          </w:tcPr>
          <w:p w14:paraId="6679BA57"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307" w:type="dxa"/>
            <w:shd w:val="clear" w:color="auto" w:fill="DEEAF6" w:themeFill="accent1" w:themeFillTint="33"/>
            <w:vAlign w:val="center"/>
            <w:hideMark/>
          </w:tcPr>
          <w:p w14:paraId="66EE84E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992" w:type="dxa"/>
            <w:shd w:val="clear" w:color="auto" w:fill="DEEAF6" w:themeFill="accent1" w:themeFillTint="33"/>
            <w:vAlign w:val="center"/>
            <w:hideMark/>
          </w:tcPr>
          <w:p w14:paraId="676C8D7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34" w:type="dxa"/>
            <w:shd w:val="clear" w:color="auto" w:fill="DEEAF6" w:themeFill="accent1" w:themeFillTint="33"/>
            <w:vAlign w:val="center"/>
            <w:hideMark/>
          </w:tcPr>
          <w:p w14:paraId="4A7B22DC"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57" w:type="dxa"/>
            <w:shd w:val="clear" w:color="auto" w:fill="DEEAF6" w:themeFill="accent1" w:themeFillTint="33"/>
            <w:vAlign w:val="center"/>
            <w:hideMark/>
          </w:tcPr>
          <w:p w14:paraId="70F5209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145" w:type="dxa"/>
            <w:shd w:val="clear" w:color="auto" w:fill="DEEAF6" w:themeFill="accent1" w:themeFillTint="33"/>
            <w:vAlign w:val="center"/>
            <w:hideMark/>
          </w:tcPr>
          <w:p w14:paraId="06F05CC9"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681" w:type="dxa"/>
            <w:shd w:val="clear" w:color="auto" w:fill="DEEAF6" w:themeFill="accent1" w:themeFillTint="33"/>
            <w:vAlign w:val="center"/>
            <w:hideMark/>
          </w:tcPr>
          <w:p w14:paraId="4E243E58"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c>
          <w:tcPr>
            <w:tcW w:w="1054" w:type="dxa"/>
            <w:shd w:val="clear" w:color="auto" w:fill="DEEAF6" w:themeFill="accent1" w:themeFillTint="33"/>
            <w:vAlign w:val="center"/>
            <w:hideMark/>
          </w:tcPr>
          <w:p w14:paraId="5F78A011" w14:textId="77777777" w:rsidR="000F54A5" w:rsidRPr="009A501D" w:rsidRDefault="000F54A5" w:rsidP="00BE0B71">
            <w:pPr>
              <w:spacing w:after="0" w:line="240" w:lineRule="auto"/>
              <w:jc w:val="center"/>
              <w:rPr>
                <w:rFonts w:ascii="Century Gothic" w:eastAsia="Times New Roman" w:hAnsi="Century Gothic" w:cs="Arial"/>
                <w:b/>
                <w:bCs/>
                <w:color w:val="000000"/>
                <w:sz w:val="16"/>
                <w:szCs w:val="16"/>
                <w:lang w:eastAsia="es-MX"/>
              </w:rPr>
            </w:pPr>
            <w:r w:rsidRPr="009A501D">
              <w:rPr>
                <w:rFonts w:ascii="Century Gothic" w:eastAsia="Times New Roman" w:hAnsi="Century Gothic" w:cs="Arial"/>
                <w:b/>
                <w:bCs/>
                <w:color w:val="000000"/>
                <w:sz w:val="16"/>
                <w:szCs w:val="16"/>
                <w:lang w:eastAsia="es-MX"/>
              </w:rPr>
              <w:t> </w:t>
            </w:r>
          </w:p>
        </w:tc>
      </w:tr>
    </w:tbl>
    <w:p w14:paraId="71956C49" w14:textId="58BAC52C" w:rsidR="00FD5C59" w:rsidRPr="009A501D" w:rsidRDefault="00FD5C59" w:rsidP="00664A1D">
      <w:pPr>
        <w:pStyle w:val="Ttulo2"/>
        <w:rPr>
          <w:rFonts w:ascii="Century Gothic" w:eastAsiaTheme="minorHAnsi" w:hAnsi="Century Gothic" w:cstheme="minorBidi"/>
          <w:bCs/>
          <w:color w:val="0079BF"/>
          <w:sz w:val="24"/>
          <w:szCs w:val="24"/>
        </w:rPr>
      </w:pPr>
      <w:bookmarkStart w:id="31" w:name="_Toc131161813"/>
      <w:r w:rsidRPr="009A501D">
        <w:rPr>
          <w:rFonts w:ascii="Century Gothic" w:eastAsiaTheme="minorHAnsi" w:hAnsi="Century Gothic" w:cstheme="minorBidi"/>
          <w:bCs/>
          <w:color w:val="0079BF"/>
          <w:sz w:val="24"/>
          <w:szCs w:val="24"/>
        </w:rPr>
        <w:lastRenderedPageBreak/>
        <w:t xml:space="preserve">Anexo 2: </w:t>
      </w:r>
      <w:r w:rsidR="00495D3C" w:rsidRPr="009A501D">
        <w:rPr>
          <w:rFonts w:ascii="Century Gothic" w:eastAsiaTheme="minorHAnsi" w:hAnsi="Century Gothic" w:cstheme="minorBidi"/>
          <w:bCs/>
          <w:color w:val="0079BF"/>
          <w:sz w:val="24"/>
          <w:szCs w:val="24"/>
        </w:rPr>
        <w:t xml:space="preserve">Matriz de </w:t>
      </w:r>
      <w:r w:rsidR="00332130" w:rsidRPr="009A501D">
        <w:rPr>
          <w:rFonts w:ascii="Century Gothic" w:eastAsiaTheme="minorHAnsi" w:hAnsi="Century Gothic" w:cstheme="minorBidi"/>
          <w:bCs/>
          <w:color w:val="0079BF"/>
          <w:sz w:val="24"/>
          <w:szCs w:val="24"/>
        </w:rPr>
        <w:t xml:space="preserve">parámetros de oportunidad </w:t>
      </w:r>
      <w:r w:rsidR="00495D3C" w:rsidRPr="009A501D">
        <w:rPr>
          <w:rFonts w:ascii="Century Gothic" w:eastAsiaTheme="minorHAnsi" w:hAnsi="Century Gothic" w:cstheme="minorBidi"/>
          <w:bCs/>
          <w:color w:val="0079BF"/>
          <w:sz w:val="24"/>
          <w:szCs w:val="24"/>
        </w:rPr>
        <w:t>202</w:t>
      </w:r>
      <w:r w:rsidR="00951728" w:rsidRPr="009A501D">
        <w:rPr>
          <w:rFonts w:ascii="Century Gothic" w:eastAsiaTheme="minorHAnsi" w:hAnsi="Century Gothic" w:cstheme="minorBidi"/>
          <w:bCs/>
          <w:color w:val="0079BF"/>
          <w:sz w:val="24"/>
          <w:szCs w:val="24"/>
        </w:rPr>
        <w:t>2</w:t>
      </w:r>
      <w:bookmarkEnd w:id="31"/>
    </w:p>
    <w:p w14:paraId="112A022B" w14:textId="1FD595BA" w:rsidR="004016C3" w:rsidRPr="009A501D" w:rsidRDefault="004016C3" w:rsidP="00664A1D">
      <w:pPr>
        <w:spacing w:before="240"/>
        <w:jc w:val="both"/>
        <w:rPr>
          <w:rFonts w:ascii="Century Gothic" w:hAnsi="Century Gothic"/>
          <w:sz w:val="19"/>
          <w:szCs w:val="19"/>
        </w:rPr>
      </w:pPr>
      <w:r w:rsidRPr="009A501D">
        <w:rPr>
          <w:rFonts w:ascii="Century Gothic" w:hAnsi="Century Gothic"/>
          <w:sz w:val="19"/>
          <w:szCs w:val="19"/>
        </w:rPr>
        <w:t>El insumo básico para el cálculo de estos indicadores es la Matriz de Parámetros de Oportuni</w:t>
      </w:r>
      <w:r w:rsidR="00343542" w:rsidRPr="009A501D">
        <w:rPr>
          <w:rFonts w:ascii="Century Gothic" w:hAnsi="Century Gothic"/>
          <w:sz w:val="19"/>
          <w:szCs w:val="19"/>
        </w:rPr>
        <w:t>d</w:t>
      </w:r>
      <w:r w:rsidRPr="009A501D">
        <w:rPr>
          <w:rFonts w:ascii="Century Gothic" w:hAnsi="Century Gothic"/>
          <w:sz w:val="19"/>
          <w:szCs w:val="19"/>
        </w:rPr>
        <w:t>ad</w:t>
      </w:r>
      <w:r w:rsidR="00074E2F" w:rsidRPr="009A501D">
        <w:rPr>
          <w:rFonts w:ascii="Century Gothic" w:hAnsi="Century Gothic"/>
          <w:sz w:val="19"/>
          <w:szCs w:val="19"/>
        </w:rPr>
        <w:t>.</w:t>
      </w:r>
      <w:r w:rsidR="00343542" w:rsidRPr="009A501D">
        <w:rPr>
          <w:rFonts w:ascii="Century Gothic" w:hAnsi="Century Gothic"/>
          <w:sz w:val="19"/>
          <w:szCs w:val="19"/>
        </w:rPr>
        <w:t xml:space="preserve">  En 2018 no existía un </w:t>
      </w:r>
      <w:r w:rsidR="00074E2F" w:rsidRPr="009A501D">
        <w:rPr>
          <w:rFonts w:ascii="Century Gothic" w:hAnsi="Century Gothic"/>
          <w:sz w:val="19"/>
          <w:szCs w:val="19"/>
        </w:rPr>
        <w:t>inventario</w:t>
      </w:r>
      <w:r w:rsidR="00343542" w:rsidRPr="009A501D">
        <w:rPr>
          <w:rFonts w:ascii="Century Gothic" w:hAnsi="Century Gothic"/>
          <w:sz w:val="19"/>
          <w:szCs w:val="19"/>
        </w:rPr>
        <w:t xml:space="preserve"> confiable de los </w:t>
      </w:r>
      <w:r w:rsidR="005F6B27" w:rsidRPr="009A501D">
        <w:rPr>
          <w:rFonts w:ascii="Century Gothic" w:hAnsi="Century Gothic"/>
          <w:sz w:val="19"/>
          <w:szCs w:val="19"/>
        </w:rPr>
        <w:t>procesos de producción</w:t>
      </w:r>
      <w:r w:rsidR="00343542" w:rsidRPr="009A501D">
        <w:rPr>
          <w:rFonts w:ascii="Century Gothic" w:hAnsi="Century Gothic"/>
          <w:sz w:val="19"/>
          <w:szCs w:val="19"/>
        </w:rPr>
        <w:t xml:space="preserve"> por lo que la matriz se construyó a partir de los productos de información establecidos en el </w:t>
      </w:r>
      <w:r w:rsidR="00661A43" w:rsidRPr="009A501D">
        <w:rPr>
          <w:rFonts w:ascii="Century Gothic" w:hAnsi="Century Gothic"/>
          <w:sz w:val="19"/>
          <w:szCs w:val="19"/>
        </w:rPr>
        <w:t>c</w:t>
      </w:r>
      <w:r w:rsidR="00343542" w:rsidRPr="009A501D">
        <w:rPr>
          <w:rFonts w:ascii="Century Gothic" w:hAnsi="Century Gothic"/>
          <w:sz w:val="19"/>
          <w:szCs w:val="19"/>
        </w:rPr>
        <w:t xml:space="preserve">alendario de </w:t>
      </w:r>
      <w:r w:rsidR="00661A43" w:rsidRPr="009A501D">
        <w:rPr>
          <w:rFonts w:ascii="Century Gothic" w:hAnsi="Century Gothic"/>
          <w:sz w:val="19"/>
          <w:szCs w:val="19"/>
        </w:rPr>
        <w:t>d</w:t>
      </w:r>
      <w:r w:rsidR="00343542" w:rsidRPr="009A501D">
        <w:rPr>
          <w:rFonts w:ascii="Century Gothic" w:hAnsi="Century Gothic"/>
          <w:sz w:val="19"/>
          <w:szCs w:val="19"/>
        </w:rPr>
        <w:t xml:space="preserve">ifusión. </w:t>
      </w:r>
      <w:r w:rsidR="00951728" w:rsidRPr="009A501D">
        <w:rPr>
          <w:rFonts w:ascii="Century Gothic" w:hAnsi="Century Gothic"/>
          <w:sz w:val="19"/>
          <w:szCs w:val="19"/>
        </w:rPr>
        <w:t>En 2022, el calendario de difusión identifica a qué proceso de producción corresponde cada producto</w:t>
      </w:r>
      <w:r w:rsidR="00343542" w:rsidRPr="009A501D">
        <w:rPr>
          <w:rFonts w:ascii="Century Gothic" w:hAnsi="Century Gothic"/>
          <w:sz w:val="19"/>
          <w:szCs w:val="19"/>
        </w:rPr>
        <w:t xml:space="preserve">. </w:t>
      </w:r>
      <w:r w:rsidR="000F55EC" w:rsidRPr="009A501D">
        <w:rPr>
          <w:rFonts w:ascii="Century Gothic" w:hAnsi="Century Gothic"/>
          <w:sz w:val="19"/>
          <w:szCs w:val="19"/>
        </w:rPr>
        <w:t>Adicionalmente</w:t>
      </w:r>
      <w:r w:rsidR="00C42523" w:rsidRPr="009A501D">
        <w:rPr>
          <w:rFonts w:ascii="Century Gothic" w:hAnsi="Century Gothic"/>
          <w:sz w:val="19"/>
          <w:szCs w:val="19"/>
        </w:rPr>
        <w:t>, se consultó con las unidades productoras algunos parámetros con los que no se contaban en la matriz original, generada en 2018 como parte del grupo de trabajo</w:t>
      </w:r>
      <w:r w:rsidR="00AD670E" w:rsidRPr="009A501D">
        <w:rPr>
          <w:rFonts w:ascii="Century Gothic" w:hAnsi="Century Gothic"/>
          <w:sz w:val="19"/>
          <w:szCs w:val="19"/>
        </w:rPr>
        <w:t>.</w:t>
      </w:r>
      <w:r w:rsidR="00C42523" w:rsidRPr="009A501D">
        <w:rPr>
          <w:rFonts w:ascii="Century Gothic" w:hAnsi="Century Gothic"/>
          <w:sz w:val="19"/>
          <w:szCs w:val="19"/>
        </w:rPr>
        <w:t xml:space="preserve"> </w:t>
      </w:r>
    </w:p>
    <w:p w14:paraId="47BB886E" w14:textId="5EFFFE0F" w:rsidR="00222726" w:rsidRPr="009A501D" w:rsidRDefault="00343542" w:rsidP="00664A1D">
      <w:pPr>
        <w:spacing w:before="240"/>
        <w:jc w:val="both"/>
        <w:rPr>
          <w:rFonts w:ascii="Century Gothic" w:hAnsi="Century Gothic"/>
          <w:sz w:val="19"/>
          <w:szCs w:val="19"/>
        </w:rPr>
      </w:pPr>
      <w:r w:rsidRPr="009A501D">
        <w:rPr>
          <w:rFonts w:ascii="Century Gothic" w:hAnsi="Century Gothic"/>
          <w:sz w:val="19"/>
          <w:szCs w:val="19"/>
        </w:rPr>
        <w:t xml:space="preserve">Los </w:t>
      </w:r>
      <w:r w:rsidR="001F4FB7" w:rsidRPr="009A501D">
        <w:rPr>
          <w:rFonts w:ascii="Century Gothic" w:hAnsi="Century Gothic"/>
          <w:sz w:val="19"/>
          <w:szCs w:val="19"/>
        </w:rPr>
        <w:t xml:space="preserve">parámetros de oportunidad pueden ser internacionales, nacionales o propuestas internas de las áreas responsables. Los </w:t>
      </w:r>
      <w:r w:rsidR="004016C3" w:rsidRPr="009A501D">
        <w:rPr>
          <w:rFonts w:ascii="Century Gothic" w:hAnsi="Century Gothic"/>
          <w:sz w:val="19"/>
          <w:szCs w:val="19"/>
        </w:rPr>
        <w:t>parámetro</w:t>
      </w:r>
      <w:r w:rsidR="001F4FB7" w:rsidRPr="009A501D">
        <w:rPr>
          <w:rFonts w:ascii="Century Gothic" w:hAnsi="Century Gothic"/>
          <w:sz w:val="19"/>
          <w:szCs w:val="19"/>
        </w:rPr>
        <w:t>s</w:t>
      </w:r>
      <w:r w:rsidR="004016C3" w:rsidRPr="009A501D">
        <w:rPr>
          <w:rFonts w:ascii="Century Gothic" w:hAnsi="Century Gothic"/>
          <w:sz w:val="19"/>
          <w:szCs w:val="19"/>
        </w:rPr>
        <w:t xml:space="preserve"> internacional</w:t>
      </w:r>
      <w:r w:rsidR="001F4FB7" w:rsidRPr="009A501D">
        <w:rPr>
          <w:rFonts w:ascii="Century Gothic" w:hAnsi="Century Gothic"/>
          <w:sz w:val="19"/>
          <w:szCs w:val="19"/>
        </w:rPr>
        <w:t>es son</w:t>
      </w:r>
      <w:r w:rsidR="004016C3" w:rsidRPr="009A501D">
        <w:rPr>
          <w:rFonts w:ascii="Century Gothic" w:hAnsi="Century Gothic"/>
          <w:sz w:val="19"/>
          <w:szCs w:val="19"/>
        </w:rPr>
        <w:t xml:space="preserve"> un referente de la oportunidad con la que se esperaría difundir la información con base en recomendaciones, normas o estándares de organizaciones internacionales (ONU, FMI, OCDE, etc.) o prácticas de otros países.</w:t>
      </w:r>
      <w:r w:rsidR="001F4FB7" w:rsidRPr="009A501D">
        <w:rPr>
          <w:rFonts w:ascii="Century Gothic" w:hAnsi="Century Gothic"/>
          <w:sz w:val="19"/>
          <w:szCs w:val="19"/>
        </w:rPr>
        <w:t xml:space="preserve"> Los</w:t>
      </w:r>
      <w:r w:rsidR="004016C3" w:rsidRPr="009A501D">
        <w:rPr>
          <w:rFonts w:ascii="Century Gothic" w:hAnsi="Century Gothic"/>
          <w:sz w:val="19"/>
          <w:szCs w:val="19"/>
        </w:rPr>
        <w:t xml:space="preserve"> parámetro</w:t>
      </w:r>
      <w:r w:rsidR="001F4FB7" w:rsidRPr="009A501D">
        <w:rPr>
          <w:rFonts w:ascii="Century Gothic" w:hAnsi="Century Gothic"/>
          <w:sz w:val="19"/>
          <w:szCs w:val="19"/>
        </w:rPr>
        <w:t>s</w:t>
      </w:r>
      <w:r w:rsidR="004016C3" w:rsidRPr="009A501D">
        <w:rPr>
          <w:rFonts w:ascii="Century Gothic" w:hAnsi="Century Gothic"/>
          <w:sz w:val="19"/>
          <w:szCs w:val="19"/>
        </w:rPr>
        <w:t xml:space="preserve"> nacional</w:t>
      </w:r>
      <w:r w:rsidR="001F4FB7" w:rsidRPr="009A501D">
        <w:rPr>
          <w:rFonts w:ascii="Century Gothic" w:hAnsi="Century Gothic"/>
          <w:sz w:val="19"/>
          <w:szCs w:val="19"/>
        </w:rPr>
        <w:t>es</w:t>
      </w:r>
      <w:r w:rsidR="004016C3" w:rsidRPr="009A501D">
        <w:rPr>
          <w:rFonts w:ascii="Century Gothic" w:hAnsi="Century Gothic"/>
          <w:sz w:val="19"/>
          <w:szCs w:val="19"/>
        </w:rPr>
        <w:t xml:space="preserve"> corresponde</w:t>
      </w:r>
      <w:r w:rsidR="001F4FB7" w:rsidRPr="009A501D">
        <w:rPr>
          <w:rFonts w:ascii="Century Gothic" w:hAnsi="Century Gothic"/>
          <w:sz w:val="19"/>
          <w:szCs w:val="19"/>
        </w:rPr>
        <w:t>n</w:t>
      </w:r>
      <w:r w:rsidR="004016C3" w:rsidRPr="009A501D">
        <w:rPr>
          <w:rFonts w:ascii="Century Gothic" w:hAnsi="Century Gothic"/>
          <w:sz w:val="19"/>
          <w:szCs w:val="19"/>
        </w:rPr>
        <w:t xml:space="preserve"> a un referente </w:t>
      </w:r>
      <w:r w:rsidR="001F4FB7" w:rsidRPr="009A501D">
        <w:rPr>
          <w:rFonts w:ascii="Century Gothic" w:hAnsi="Century Gothic"/>
          <w:sz w:val="19"/>
          <w:szCs w:val="19"/>
        </w:rPr>
        <w:t>basado</w:t>
      </w:r>
      <w:r w:rsidR="004016C3" w:rsidRPr="009A501D">
        <w:rPr>
          <w:rFonts w:ascii="Century Gothic" w:hAnsi="Century Gothic"/>
          <w:sz w:val="19"/>
          <w:szCs w:val="19"/>
        </w:rPr>
        <w:t xml:space="preserve"> en políticas o regulaciones nacionales (por ejemplo, el Código Fiscal de la Federación o alguna otra legislación que establezca la obligatoriedad de generar información dentro de cierto plazo o periodicidad), así como en normas o lineamientos del INEGI. En los casos que no existe un parámetro internacional o nacional, la "</w:t>
      </w:r>
      <w:r w:rsidR="00F10DBF" w:rsidRPr="009A501D">
        <w:rPr>
          <w:rFonts w:ascii="Century Gothic" w:hAnsi="Century Gothic"/>
          <w:sz w:val="19"/>
          <w:szCs w:val="19"/>
        </w:rPr>
        <w:t>p</w:t>
      </w:r>
      <w:r w:rsidR="004016C3" w:rsidRPr="009A501D">
        <w:rPr>
          <w:rFonts w:ascii="Century Gothic" w:hAnsi="Century Gothic"/>
          <w:sz w:val="19"/>
          <w:szCs w:val="19"/>
        </w:rPr>
        <w:t xml:space="preserve">ropuesta </w:t>
      </w:r>
      <w:r w:rsidR="00F10DBF" w:rsidRPr="009A501D">
        <w:rPr>
          <w:rFonts w:ascii="Century Gothic" w:hAnsi="Century Gothic"/>
          <w:sz w:val="19"/>
          <w:szCs w:val="19"/>
        </w:rPr>
        <w:t>i</w:t>
      </w:r>
      <w:r w:rsidR="004016C3" w:rsidRPr="009A501D">
        <w:rPr>
          <w:rFonts w:ascii="Century Gothic" w:hAnsi="Century Gothic"/>
          <w:sz w:val="19"/>
          <w:szCs w:val="19"/>
        </w:rPr>
        <w:t xml:space="preserve">nterna" es un referente de oportunidad que el área responsable propone como una </w:t>
      </w:r>
      <w:r w:rsidR="005C06D3" w:rsidRPr="009A501D">
        <w:rPr>
          <w:rFonts w:ascii="Century Gothic" w:hAnsi="Century Gothic"/>
          <w:sz w:val="19"/>
          <w:szCs w:val="19"/>
        </w:rPr>
        <w:t>meta para mejorar el proceso de producción</w:t>
      </w:r>
      <w:r w:rsidR="004016C3" w:rsidRPr="009A501D">
        <w:rPr>
          <w:rFonts w:ascii="Century Gothic" w:hAnsi="Century Gothic"/>
          <w:sz w:val="19"/>
          <w:szCs w:val="19"/>
        </w:rPr>
        <w:t>.</w:t>
      </w:r>
      <w:r w:rsidR="00333299" w:rsidRPr="009A501D">
        <w:rPr>
          <w:rFonts w:ascii="Century Gothic" w:hAnsi="Century Gothic"/>
          <w:sz w:val="19"/>
          <w:szCs w:val="19"/>
        </w:rPr>
        <w:t xml:space="preserve"> </w:t>
      </w:r>
      <w:r w:rsidR="00C42523" w:rsidRPr="009A501D">
        <w:rPr>
          <w:rFonts w:ascii="Century Gothic" w:hAnsi="Century Gothic"/>
          <w:sz w:val="19"/>
          <w:szCs w:val="19"/>
        </w:rPr>
        <w:t xml:space="preserve"> En el cuadro A.2.1. se describen los elementos para el cálculo del </w:t>
      </w:r>
      <w:r w:rsidR="00C42523" w:rsidRPr="009A501D">
        <w:rPr>
          <w:rFonts w:ascii="Century Gothic" w:hAnsi="Century Gothic"/>
          <w:i/>
          <w:iCs/>
          <w:sz w:val="19"/>
          <w:szCs w:val="19"/>
        </w:rPr>
        <w:t>Indicador de oportunidad</w:t>
      </w:r>
      <w:r w:rsidR="00C42523" w:rsidRPr="009A501D">
        <w:rPr>
          <w:rFonts w:ascii="Century Gothic" w:hAnsi="Century Gothic"/>
          <w:sz w:val="19"/>
          <w:szCs w:val="19"/>
        </w:rPr>
        <w:t xml:space="preserve"> (IDO) para cada proceso / producto.</w:t>
      </w:r>
    </w:p>
    <w:p w14:paraId="0D1A1305" w14:textId="4EAFA64C" w:rsidR="00F91016" w:rsidRPr="009A501D" w:rsidRDefault="00682415" w:rsidP="00664A1D">
      <w:pPr>
        <w:spacing w:before="240"/>
        <w:ind w:left="360"/>
        <w:jc w:val="center"/>
        <w:rPr>
          <w:rFonts w:ascii="Century Gothic" w:hAnsi="Century Gothic"/>
          <w:b/>
          <w:sz w:val="19"/>
          <w:szCs w:val="19"/>
        </w:rPr>
      </w:pPr>
      <w:r w:rsidRPr="009A501D">
        <w:rPr>
          <w:rFonts w:ascii="Century Gothic" w:hAnsi="Century Gothic"/>
          <w:b/>
          <w:sz w:val="19"/>
          <w:szCs w:val="19"/>
        </w:rPr>
        <w:t>A.2.</w:t>
      </w:r>
      <w:r w:rsidR="00495D3C" w:rsidRPr="009A501D">
        <w:rPr>
          <w:rFonts w:ascii="Century Gothic" w:hAnsi="Century Gothic"/>
          <w:b/>
          <w:sz w:val="19"/>
          <w:szCs w:val="19"/>
        </w:rPr>
        <w:t>1</w:t>
      </w:r>
      <w:r w:rsidRPr="009A501D">
        <w:rPr>
          <w:rFonts w:ascii="Century Gothic" w:hAnsi="Century Gothic"/>
          <w:b/>
          <w:sz w:val="19"/>
          <w:szCs w:val="19"/>
        </w:rPr>
        <w:t xml:space="preserve"> Matriz de Parámetros de Oportunidad 202</w:t>
      </w:r>
      <w:r w:rsidR="00951728" w:rsidRPr="009A501D">
        <w:rPr>
          <w:rFonts w:ascii="Century Gothic" w:hAnsi="Century Gothic"/>
          <w:b/>
          <w:sz w:val="19"/>
          <w:szCs w:val="19"/>
        </w:rPr>
        <w:t>2</w:t>
      </w:r>
    </w:p>
    <w:tbl>
      <w:tblPr>
        <w:tblW w:w="1414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020"/>
        <w:gridCol w:w="1265"/>
        <w:gridCol w:w="3749"/>
        <w:gridCol w:w="1276"/>
        <w:gridCol w:w="2977"/>
        <w:gridCol w:w="1559"/>
        <w:gridCol w:w="1276"/>
        <w:gridCol w:w="983"/>
        <w:gridCol w:w="35"/>
      </w:tblGrid>
      <w:tr w:rsidR="00E03A8B" w:rsidRPr="009A501D" w14:paraId="5E8BAE33" w14:textId="77777777" w:rsidTr="00664A1D">
        <w:trPr>
          <w:gridAfter w:val="1"/>
          <w:wAfter w:w="35" w:type="dxa"/>
          <w:trHeight w:val="284"/>
          <w:tblHeader/>
          <w:jc w:val="center"/>
        </w:trPr>
        <w:tc>
          <w:tcPr>
            <w:tcW w:w="1020" w:type="dxa"/>
            <w:shd w:val="clear" w:color="auto" w:fill="002060"/>
            <w:vAlign w:val="center"/>
            <w:hideMark/>
          </w:tcPr>
          <w:p w14:paraId="118C09F0" w14:textId="77777777" w:rsidR="00E03A8B" w:rsidRPr="009A501D" w:rsidRDefault="00E03A8B"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UA</w:t>
            </w:r>
          </w:p>
        </w:tc>
        <w:tc>
          <w:tcPr>
            <w:tcW w:w="1265" w:type="dxa"/>
            <w:shd w:val="clear" w:color="auto" w:fill="002060"/>
            <w:vAlign w:val="center"/>
            <w:hideMark/>
          </w:tcPr>
          <w:p w14:paraId="4465F894" w14:textId="519E0880"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Acrónimo del proceso</w:t>
            </w:r>
          </w:p>
        </w:tc>
        <w:tc>
          <w:tcPr>
            <w:tcW w:w="3749" w:type="dxa"/>
            <w:shd w:val="clear" w:color="auto" w:fill="002060"/>
            <w:vAlign w:val="center"/>
            <w:hideMark/>
          </w:tcPr>
          <w:p w14:paraId="16FE2F0B" w14:textId="1E49E054"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P</w:t>
            </w:r>
            <w:r w:rsidR="00747EF1" w:rsidRPr="009A501D">
              <w:rPr>
                <w:rFonts w:ascii="Century Gothic" w:eastAsia="Times New Roman" w:hAnsi="Century Gothic" w:cs="Arial"/>
                <w:b/>
                <w:bCs/>
                <w:color w:val="FFFFFF"/>
                <w:sz w:val="16"/>
                <w:szCs w:val="16"/>
                <w:lang w:eastAsia="es-MX"/>
              </w:rPr>
              <w:t>ublicación</w:t>
            </w:r>
            <w:r w:rsidRPr="009A501D">
              <w:rPr>
                <w:rFonts w:ascii="Century Gothic" w:eastAsia="Times New Roman" w:hAnsi="Century Gothic" w:cs="Arial"/>
                <w:b/>
                <w:bCs/>
                <w:color w:val="FFFFFF"/>
                <w:sz w:val="16"/>
                <w:szCs w:val="16"/>
                <w:lang w:eastAsia="es-MX"/>
              </w:rPr>
              <w:t xml:space="preserve"> en el calendario de difus</w:t>
            </w:r>
            <w:r w:rsidR="00C42523" w:rsidRPr="009A501D">
              <w:rPr>
                <w:rFonts w:ascii="Century Gothic" w:eastAsia="Times New Roman" w:hAnsi="Century Gothic" w:cs="Arial"/>
                <w:b/>
                <w:bCs/>
                <w:color w:val="FFFFFF"/>
                <w:sz w:val="16"/>
                <w:szCs w:val="16"/>
                <w:lang w:eastAsia="es-MX"/>
              </w:rPr>
              <w:t>ió</w:t>
            </w:r>
            <w:r w:rsidRPr="009A501D">
              <w:rPr>
                <w:rFonts w:ascii="Century Gothic" w:eastAsia="Times New Roman" w:hAnsi="Century Gothic" w:cs="Arial"/>
                <w:b/>
                <w:bCs/>
                <w:color w:val="FFFFFF"/>
                <w:sz w:val="16"/>
                <w:szCs w:val="16"/>
                <w:lang w:eastAsia="es-MX"/>
              </w:rPr>
              <w:t>n</w:t>
            </w:r>
          </w:p>
        </w:tc>
        <w:tc>
          <w:tcPr>
            <w:tcW w:w="1276" w:type="dxa"/>
            <w:shd w:val="clear" w:color="auto" w:fill="002060"/>
            <w:vAlign w:val="center"/>
            <w:hideMark/>
          </w:tcPr>
          <w:p w14:paraId="305F7457" w14:textId="3316EC68"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Periodicidad</w:t>
            </w:r>
          </w:p>
        </w:tc>
        <w:tc>
          <w:tcPr>
            <w:tcW w:w="2977" w:type="dxa"/>
            <w:shd w:val="clear" w:color="auto" w:fill="002060"/>
            <w:vAlign w:val="center"/>
            <w:hideMark/>
          </w:tcPr>
          <w:p w14:paraId="58FF020C" w14:textId="6EDEBC51"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Referencia del parámetro de oportunidad</w:t>
            </w:r>
            <w:r w:rsidR="00E03A8B" w:rsidRPr="009A501D">
              <w:rPr>
                <w:rFonts w:ascii="Century Gothic" w:eastAsia="Times New Roman" w:hAnsi="Century Gothic" w:cs="Arial"/>
                <w:b/>
                <w:bCs/>
                <w:color w:val="FFFFFF"/>
                <w:sz w:val="16"/>
                <w:szCs w:val="16"/>
                <w:lang w:eastAsia="es-MX"/>
              </w:rPr>
              <w:t xml:space="preserve"> </w:t>
            </w:r>
          </w:p>
        </w:tc>
        <w:tc>
          <w:tcPr>
            <w:tcW w:w="1559" w:type="dxa"/>
            <w:shd w:val="clear" w:color="auto" w:fill="002060"/>
            <w:vAlign w:val="center"/>
            <w:hideMark/>
          </w:tcPr>
          <w:p w14:paraId="49FE7B66" w14:textId="50B8A0DA"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Parámetro de oportunidad</w:t>
            </w:r>
          </w:p>
        </w:tc>
        <w:tc>
          <w:tcPr>
            <w:tcW w:w="1276" w:type="dxa"/>
            <w:shd w:val="clear" w:color="auto" w:fill="002060"/>
            <w:vAlign w:val="center"/>
            <w:hideMark/>
          </w:tcPr>
          <w:p w14:paraId="42D0C741" w14:textId="78DA8586" w:rsidR="00E03A8B" w:rsidRPr="009A501D" w:rsidRDefault="00951728"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 xml:space="preserve">Oportunidad </w:t>
            </w:r>
            <w:r w:rsidR="00E03A8B" w:rsidRPr="009A501D">
              <w:rPr>
                <w:rFonts w:ascii="Century Gothic" w:eastAsia="Times New Roman" w:hAnsi="Century Gothic" w:cs="Arial"/>
                <w:b/>
                <w:bCs/>
                <w:color w:val="FFFFFF"/>
                <w:sz w:val="16"/>
                <w:szCs w:val="16"/>
                <w:lang w:eastAsia="es-MX"/>
              </w:rPr>
              <w:t>2022</w:t>
            </w:r>
          </w:p>
        </w:tc>
        <w:tc>
          <w:tcPr>
            <w:tcW w:w="983" w:type="dxa"/>
            <w:shd w:val="clear" w:color="auto" w:fill="002060"/>
            <w:vAlign w:val="center"/>
            <w:hideMark/>
          </w:tcPr>
          <w:p w14:paraId="5E78E23A" w14:textId="77777777" w:rsidR="00E03A8B" w:rsidRPr="009A501D" w:rsidRDefault="00E03A8B" w:rsidP="005410D6">
            <w:pPr>
              <w:spacing w:after="0" w:line="240" w:lineRule="auto"/>
              <w:jc w:val="center"/>
              <w:rPr>
                <w:rFonts w:ascii="Century Gothic" w:eastAsia="Times New Roman" w:hAnsi="Century Gothic" w:cs="Arial"/>
                <w:b/>
                <w:bCs/>
                <w:color w:val="FFFFFF"/>
                <w:sz w:val="16"/>
                <w:szCs w:val="16"/>
                <w:lang w:eastAsia="es-MX"/>
              </w:rPr>
            </w:pPr>
            <w:r w:rsidRPr="009A501D">
              <w:rPr>
                <w:rFonts w:ascii="Century Gothic" w:eastAsia="Times New Roman" w:hAnsi="Century Gothic" w:cs="Arial"/>
                <w:b/>
                <w:bCs/>
                <w:color w:val="FFFFFF"/>
                <w:sz w:val="16"/>
                <w:szCs w:val="16"/>
                <w:lang w:eastAsia="es-MX"/>
              </w:rPr>
              <w:t>IDO 2022</w:t>
            </w:r>
          </w:p>
        </w:tc>
      </w:tr>
      <w:tr w:rsidR="00511C2C" w:rsidRPr="009A501D" w14:paraId="46723D65" w14:textId="77777777" w:rsidTr="00A42307">
        <w:trPr>
          <w:gridAfter w:val="1"/>
          <w:wAfter w:w="35" w:type="dxa"/>
          <w:trHeight w:val="284"/>
          <w:jc w:val="center"/>
        </w:trPr>
        <w:tc>
          <w:tcPr>
            <w:tcW w:w="1020" w:type="dxa"/>
            <w:shd w:val="clear" w:color="auto" w:fill="auto"/>
            <w:noWrap/>
            <w:vAlign w:val="center"/>
          </w:tcPr>
          <w:p w14:paraId="2FA6C048" w14:textId="0F4F051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DGGMA</w:t>
            </w:r>
          </w:p>
        </w:tc>
        <w:tc>
          <w:tcPr>
            <w:tcW w:w="1265" w:type="dxa"/>
            <w:shd w:val="clear" w:color="auto" w:fill="auto"/>
            <w:noWrap/>
            <w:vAlign w:val="center"/>
          </w:tcPr>
          <w:p w14:paraId="2B2B5742" w14:textId="6582B0E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TOPO</w:t>
            </w:r>
          </w:p>
        </w:tc>
        <w:tc>
          <w:tcPr>
            <w:tcW w:w="3749" w:type="dxa"/>
            <w:shd w:val="clear" w:color="auto" w:fill="auto"/>
            <w:vAlign w:val="center"/>
          </w:tcPr>
          <w:p w14:paraId="38BF554B" w14:textId="61CA33B6"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Estaciones de la Red Geodésica Nacional Pasiva.</w:t>
            </w:r>
          </w:p>
        </w:tc>
        <w:tc>
          <w:tcPr>
            <w:tcW w:w="1276" w:type="dxa"/>
            <w:shd w:val="clear" w:color="auto" w:fill="auto"/>
            <w:noWrap/>
            <w:vAlign w:val="center"/>
          </w:tcPr>
          <w:p w14:paraId="1F3801AE" w14:textId="252EAF2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42A5251C" w14:textId="0B01289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548D8627" w14:textId="467E9A5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7.0</w:t>
            </w:r>
          </w:p>
        </w:tc>
        <w:tc>
          <w:tcPr>
            <w:tcW w:w="1276" w:type="dxa"/>
            <w:shd w:val="clear" w:color="auto" w:fill="auto"/>
            <w:noWrap/>
            <w:vAlign w:val="bottom"/>
          </w:tcPr>
          <w:p w14:paraId="54605DFC" w14:textId="01F30C7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15.48</w:t>
            </w:r>
          </w:p>
        </w:tc>
        <w:tc>
          <w:tcPr>
            <w:tcW w:w="983" w:type="dxa"/>
            <w:shd w:val="clear" w:color="auto" w:fill="auto"/>
            <w:noWrap/>
            <w:vAlign w:val="center"/>
          </w:tcPr>
          <w:p w14:paraId="100261E5" w14:textId="6432E2F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-1.2</w:t>
            </w:r>
          </w:p>
        </w:tc>
      </w:tr>
      <w:tr w:rsidR="00511C2C" w:rsidRPr="009A501D" w14:paraId="148E6614" w14:textId="77777777" w:rsidTr="00A42307">
        <w:trPr>
          <w:gridAfter w:val="1"/>
          <w:wAfter w:w="35" w:type="dxa"/>
          <w:trHeight w:val="284"/>
          <w:jc w:val="center"/>
        </w:trPr>
        <w:tc>
          <w:tcPr>
            <w:tcW w:w="1020" w:type="dxa"/>
            <w:shd w:val="clear" w:color="auto" w:fill="F2F2F2" w:themeFill="background1" w:themeFillShade="F2"/>
            <w:noWrap/>
            <w:vAlign w:val="center"/>
          </w:tcPr>
          <w:p w14:paraId="27AA362B" w14:textId="0F38EEA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47ECC75E" w14:textId="16274E0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ENOE</w:t>
            </w:r>
          </w:p>
        </w:tc>
        <w:tc>
          <w:tcPr>
            <w:tcW w:w="3749" w:type="dxa"/>
            <w:shd w:val="clear" w:color="auto" w:fill="F2F2F2" w:themeFill="background1" w:themeFillShade="F2"/>
            <w:vAlign w:val="center"/>
          </w:tcPr>
          <w:p w14:paraId="61A94061" w14:textId="7CE8936A"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Nacional de Ocupación y Empleo</w:t>
            </w:r>
          </w:p>
        </w:tc>
        <w:tc>
          <w:tcPr>
            <w:tcW w:w="1276" w:type="dxa"/>
            <w:shd w:val="clear" w:color="auto" w:fill="F2F2F2" w:themeFill="background1" w:themeFillShade="F2"/>
            <w:noWrap/>
            <w:vAlign w:val="center"/>
          </w:tcPr>
          <w:p w14:paraId="3517C446" w14:textId="016C50E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6BD16EA5" w14:textId="3368907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5C8E9924" w14:textId="4D7A602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25.0</w:t>
            </w:r>
          </w:p>
        </w:tc>
        <w:tc>
          <w:tcPr>
            <w:tcW w:w="1276" w:type="dxa"/>
            <w:shd w:val="clear" w:color="auto" w:fill="F2F2F2" w:themeFill="background1" w:themeFillShade="F2"/>
            <w:noWrap/>
            <w:vAlign w:val="bottom"/>
          </w:tcPr>
          <w:p w14:paraId="6595D4D0" w14:textId="6AC7650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51</w:t>
            </w:r>
          </w:p>
        </w:tc>
        <w:tc>
          <w:tcPr>
            <w:tcW w:w="983" w:type="dxa"/>
            <w:shd w:val="clear" w:color="auto" w:fill="F2F2F2" w:themeFill="background1" w:themeFillShade="F2"/>
            <w:noWrap/>
            <w:vAlign w:val="center"/>
          </w:tcPr>
          <w:p w14:paraId="40122E7E" w14:textId="7E7B061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-1.0</w:t>
            </w:r>
          </w:p>
        </w:tc>
      </w:tr>
      <w:tr w:rsidR="00511C2C" w:rsidRPr="009A501D" w14:paraId="45671C20" w14:textId="77777777" w:rsidTr="00511C2C">
        <w:trPr>
          <w:gridAfter w:val="1"/>
          <w:wAfter w:w="35" w:type="dxa"/>
          <w:trHeight w:val="284"/>
          <w:jc w:val="center"/>
        </w:trPr>
        <w:tc>
          <w:tcPr>
            <w:tcW w:w="1020" w:type="dxa"/>
            <w:shd w:val="clear" w:color="auto" w:fill="auto"/>
            <w:noWrap/>
            <w:vAlign w:val="center"/>
          </w:tcPr>
          <w:p w14:paraId="35EEB9A0" w14:textId="50A5B70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2253F6FC" w14:textId="006BB8E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ENVE</w:t>
            </w:r>
          </w:p>
        </w:tc>
        <w:tc>
          <w:tcPr>
            <w:tcW w:w="3749" w:type="dxa"/>
            <w:shd w:val="clear" w:color="auto" w:fill="auto"/>
            <w:vAlign w:val="center"/>
          </w:tcPr>
          <w:p w14:paraId="0A36DC72" w14:textId="3FA12739"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Nacional de Victimización de Empresas (ENVE)</w:t>
            </w:r>
          </w:p>
        </w:tc>
        <w:tc>
          <w:tcPr>
            <w:tcW w:w="1276" w:type="dxa"/>
            <w:shd w:val="clear" w:color="auto" w:fill="auto"/>
            <w:noWrap/>
            <w:vAlign w:val="center"/>
          </w:tcPr>
          <w:p w14:paraId="75B3AC0C" w14:textId="246A7D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Bienal</w:t>
            </w:r>
          </w:p>
        </w:tc>
        <w:tc>
          <w:tcPr>
            <w:tcW w:w="2977" w:type="dxa"/>
            <w:shd w:val="clear" w:color="auto" w:fill="auto"/>
            <w:noWrap/>
            <w:vAlign w:val="center"/>
          </w:tcPr>
          <w:p w14:paraId="08DC2FC4" w14:textId="244EAA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022118CC" w14:textId="78FBA8E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154.0</w:t>
            </w:r>
          </w:p>
        </w:tc>
        <w:tc>
          <w:tcPr>
            <w:tcW w:w="1276" w:type="dxa"/>
            <w:shd w:val="clear" w:color="auto" w:fill="auto"/>
            <w:noWrap/>
            <w:vAlign w:val="center"/>
          </w:tcPr>
          <w:p w14:paraId="4AC0EC20" w14:textId="698BA0B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272</w:t>
            </w:r>
          </w:p>
        </w:tc>
        <w:tc>
          <w:tcPr>
            <w:tcW w:w="983" w:type="dxa"/>
            <w:shd w:val="clear" w:color="auto" w:fill="auto"/>
            <w:noWrap/>
            <w:vAlign w:val="center"/>
          </w:tcPr>
          <w:p w14:paraId="662F734C" w14:textId="2CA1CE5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-0.8</w:t>
            </w:r>
          </w:p>
        </w:tc>
      </w:tr>
      <w:tr w:rsidR="00511C2C" w:rsidRPr="009A501D" w14:paraId="2829CF77" w14:textId="77777777" w:rsidTr="00A42307">
        <w:trPr>
          <w:gridAfter w:val="1"/>
          <w:wAfter w:w="35" w:type="dxa"/>
          <w:trHeight w:val="284"/>
          <w:jc w:val="center"/>
        </w:trPr>
        <w:tc>
          <w:tcPr>
            <w:tcW w:w="1020" w:type="dxa"/>
            <w:shd w:val="clear" w:color="auto" w:fill="F2F2F2" w:themeFill="background1" w:themeFillShade="F2"/>
            <w:noWrap/>
            <w:vAlign w:val="center"/>
          </w:tcPr>
          <w:p w14:paraId="1FAED896" w14:textId="5674F5F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11B7A79F" w14:textId="600C8D7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ENCO</w:t>
            </w:r>
          </w:p>
        </w:tc>
        <w:tc>
          <w:tcPr>
            <w:tcW w:w="3749" w:type="dxa"/>
            <w:shd w:val="clear" w:color="auto" w:fill="F2F2F2" w:themeFill="background1" w:themeFillShade="F2"/>
            <w:vAlign w:val="center"/>
          </w:tcPr>
          <w:p w14:paraId="4DA629EB" w14:textId="5C9D24A4"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Confianza del Consumidor</w:t>
            </w:r>
          </w:p>
        </w:tc>
        <w:tc>
          <w:tcPr>
            <w:tcW w:w="1276" w:type="dxa"/>
            <w:shd w:val="clear" w:color="auto" w:fill="F2F2F2" w:themeFill="background1" w:themeFillShade="F2"/>
            <w:noWrap/>
            <w:vAlign w:val="center"/>
          </w:tcPr>
          <w:p w14:paraId="7AA30E2F" w14:textId="139389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5C641DE7" w14:textId="1E1AA91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07DC1870" w14:textId="7FD47CA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w:t>
            </w:r>
          </w:p>
        </w:tc>
        <w:tc>
          <w:tcPr>
            <w:tcW w:w="1276" w:type="dxa"/>
            <w:shd w:val="clear" w:color="auto" w:fill="F2F2F2" w:themeFill="background1" w:themeFillShade="F2"/>
            <w:noWrap/>
            <w:vAlign w:val="bottom"/>
          </w:tcPr>
          <w:p w14:paraId="21A23B49" w14:textId="15BE716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4.75</w:t>
            </w:r>
          </w:p>
        </w:tc>
        <w:tc>
          <w:tcPr>
            <w:tcW w:w="983" w:type="dxa"/>
            <w:shd w:val="clear" w:color="auto" w:fill="F2F2F2" w:themeFill="background1" w:themeFillShade="F2"/>
            <w:noWrap/>
            <w:vAlign w:val="center"/>
          </w:tcPr>
          <w:p w14:paraId="67C914A4" w14:textId="46113D6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-0.6</w:t>
            </w:r>
          </w:p>
        </w:tc>
      </w:tr>
      <w:tr w:rsidR="00511C2C" w:rsidRPr="009A501D" w14:paraId="3D4218D7" w14:textId="77777777" w:rsidTr="00A42307">
        <w:trPr>
          <w:gridAfter w:val="1"/>
          <w:wAfter w:w="35" w:type="dxa"/>
          <w:trHeight w:val="284"/>
          <w:jc w:val="center"/>
        </w:trPr>
        <w:tc>
          <w:tcPr>
            <w:tcW w:w="1020" w:type="dxa"/>
            <w:shd w:val="clear" w:color="auto" w:fill="auto"/>
            <w:noWrap/>
            <w:vAlign w:val="center"/>
          </w:tcPr>
          <w:p w14:paraId="6708D3AE" w14:textId="1E6C9E9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58ADB70A" w14:textId="480CACF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IMMEX</w:t>
            </w:r>
          </w:p>
        </w:tc>
        <w:tc>
          <w:tcPr>
            <w:tcW w:w="3749" w:type="dxa"/>
            <w:shd w:val="clear" w:color="auto" w:fill="auto"/>
            <w:vAlign w:val="center"/>
          </w:tcPr>
          <w:p w14:paraId="1B53EC00" w14:textId="29557793"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Establecimientos con Programa IMMEX (Estadística del Programa IMMEX)</w:t>
            </w:r>
          </w:p>
        </w:tc>
        <w:tc>
          <w:tcPr>
            <w:tcW w:w="1276" w:type="dxa"/>
            <w:shd w:val="clear" w:color="auto" w:fill="auto"/>
            <w:noWrap/>
            <w:vAlign w:val="center"/>
          </w:tcPr>
          <w:p w14:paraId="7D918F04" w14:textId="4ED8FA1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5428968C" w14:textId="74FE832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auto"/>
            <w:noWrap/>
            <w:vAlign w:val="center"/>
          </w:tcPr>
          <w:p w14:paraId="342449B5" w14:textId="62FAE16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auto"/>
            <w:noWrap/>
            <w:vAlign w:val="bottom"/>
          </w:tcPr>
          <w:p w14:paraId="6F2C7E37" w14:textId="4DA65C6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61.5</w:t>
            </w:r>
          </w:p>
        </w:tc>
        <w:tc>
          <w:tcPr>
            <w:tcW w:w="983" w:type="dxa"/>
            <w:shd w:val="clear" w:color="auto" w:fill="auto"/>
            <w:noWrap/>
            <w:vAlign w:val="center"/>
          </w:tcPr>
          <w:p w14:paraId="18F2FF8A" w14:textId="02348EE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10696306" w14:textId="77777777" w:rsidTr="00511C2C">
        <w:trPr>
          <w:gridAfter w:val="1"/>
          <w:wAfter w:w="35" w:type="dxa"/>
          <w:trHeight w:val="284"/>
          <w:jc w:val="center"/>
        </w:trPr>
        <w:tc>
          <w:tcPr>
            <w:tcW w:w="1020" w:type="dxa"/>
            <w:shd w:val="clear" w:color="auto" w:fill="F2F2F2" w:themeFill="background1" w:themeFillShade="F2"/>
            <w:noWrap/>
            <w:vAlign w:val="center"/>
          </w:tcPr>
          <w:p w14:paraId="2BBFC36D" w14:textId="355BDEF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76B905D6" w14:textId="2085341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ENOE</w:t>
            </w:r>
          </w:p>
        </w:tc>
        <w:tc>
          <w:tcPr>
            <w:tcW w:w="3749" w:type="dxa"/>
            <w:shd w:val="clear" w:color="auto" w:fill="F2F2F2" w:themeFill="background1" w:themeFillShade="F2"/>
            <w:vAlign w:val="center"/>
          </w:tcPr>
          <w:p w14:paraId="3321C965" w14:textId="312B89E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Ocupación y Empleo</w:t>
            </w:r>
          </w:p>
        </w:tc>
        <w:tc>
          <w:tcPr>
            <w:tcW w:w="1276" w:type="dxa"/>
            <w:shd w:val="clear" w:color="auto" w:fill="F2F2F2" w:themeFill="background1" w:themeFillShade="F2"/>
            <w:noWrap/>
            <w:vAlign w:val="center"/>
          </w:tcPr>
          <w:p w14:paraId="3237FBD6" w14:textId="6E573EC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28C519E9" w14:textId="241172C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2C7FB8F7" w14:textId="4C6C0AC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21.0</w:t>
            </w:r>
          </w:p>
        </w:tc>
        <w:tc>
          <w:tcPr>
            <w:tcW w:w="1276" w:type="dxa"/>
            <w:shd w:val="clear" w:color="auto" w:fill="F2F2F2" w:themeFill="background1" w:themeFillShade="F2"/>
            <w:noWrap/>
            <w:vAlign w:val="center"/>
          </w:tcPr>
          <w:p w14:paraId="3AE7B3D9" w14:textId="67E6B57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27.9</w:t>
            </w:r>
          </w:p>
        </w:tc>
        <w:tc>
          <w:tcPr>
            <w:tcW w:w="983" w:type="dxa"/>
            <w:shd w:val="clear" w:color="auto" w:fill="F2F2F2" w:themeFill="background1" w:themeFillShade="F2"/>
            <w:noWrap/>
            <w:vAlign w:val="center"/>
          </w:tcPr>
          <w:p w14:paraId="65EB56AF" w14:textId="18CC2DB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4DB4B928" w14:textId="77777777" w:rsidTr="00A42307">
        <w:trPr>
          <w:gridAfter w:val="1"/>
          <w:wAfter w:w="35" w:type="dxa"/>
          <w:trHeight w:val="284"/>
          <w:jc w:val="center"/>
        </w:trPr>
        <w:tc>
          <w:tcPr>
            <w:tcW w:w="1020" w:type="dxa"/>
            <w:shd w:val="clear" w:color="auto" w:fill="auto"/>
            <w:noWrap/>
            <w:vAlign w:val="center"/>
          </w:tcPr>
          <w:p w14:paraId="3608A2CA" w14:textId="6C0166C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0459EF69" w14:textId="0CD159E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EIMM</w:t>
            </w:r>
          </w:p>
        </w:tc>
        <w:tc>
          <w:tcPr>
            <w:tcW w:w="3749" w:type="dxa"/>
            <w:shd w:val="clear" w:color="auto" w:fill="auto"/>
            <w:vAlign w:val="center"/>
          </w:tcPr>
          <w:p w14:paraId="09424253" w14:textId="5671E860"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Indicadores de la Industria </w:t>
            </w:r>
            <w:proofErr w:type="spellStart"/>
            <w:r w:rsidRPr="009A501D">
              <w:rPr>
                <w:rFonts w:ascii="Century Gothic" w:hAnsi="Century Gothic" w:cs="Arial"/>
                <w:sz w:val="16"/>
                <w:szCs w:val="16"/>
              </w:rPr>
              <w:t>Minerometalúrgica</w:t>
            </w:r>
            <w:proofErr w:type="spellEnd"/>
          </w:p>
        </w:tc>
        <w:tc>
          <w:tcPr>
            <w:tcW w:w="1276" w:type="dxa"/>
            <w:shd w:val="clear" w:color="auto" w:fill="auto"/>
            <w:noWrap/>
            <w:vAlign w:val="center"/>
          </w:tcPr>
          <w:p w14:paraId="4DF71FF3" w14:textId="6AEC8A5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1C919727" w14:textId="0F83C87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auto"/>
            <w:noWrap/>
            <w:vAlign w:val="center"/>
          </w:tcPr>
          <w:p w14:paraId="18607FE6" w14:textId="4DADE16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auto"/>
            <w:noWrap/>
            <w:vAlign w:val="bottom"/>
          </w:tcPr>
          <w:p w14:paraId="49174E08" w14:textId="22AE2A4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59.2</w:t>
            </w:r>
          </w:p>
        </w:tc>
        <w:tc>
          <w:tcPr>
            <w:tcW w:w="983" w:type="dxa"/>
            <w:shd w:val="clear" w:color="auto" w:fill="auto"/>
            <w:noWrap/>
            <w:vAlign w:val="center"/>
          </w:tcPr>
          <w:p w14:paraId="1E195A95" w14:textId="0E97CBA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47533282" w14:textId="77777777" w:rsidTr="00511C2C">
        <w:trPr>
          <w:gridAfter w:val="1"/>
          <w:wAfter w:w="35" w:type="dxa"/>
          <w:trHeight w:val="284"/>
          <w:jc w:val="center"/>
        </w:trPr>
        <w:tc>
          <w:tcPr>
            <w:tcW w:w="1020" w:type="dxa"/>
            <w:shd w:val="clear" w:color="auto" w:fill="F2F2F2" w:themeFill="background1" w:themeFillShade="F2"/>
            <w:noWrap/>
            <w:vAlign w:val="center"/>
          </w:tcPr>
          <w:p w14:paraId="293001C2" w14:textId="706D209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31C03B3B" w14:textId="2588D11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ENEC</w:t>
            </w:r>
          </w:p>
        </w:tc>
        <w:tc>
          <w:tcPr>
            <w:tcW w:w="3749" w:type="dxa"/>
            <w:shd w:val="clear" w:color="auto" w:fill="F2F2F2" w:themeFill="background1" w:themeFillShade="F2"/>
            <w:vAlign w:val="center"/>
          </w:tcPr>
          <w:p w14:paraId="36AD1269" w14:textId="0CC975A3"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Empresas Constructoras</w:t>
            </w:r>
          </w:p>
        </w:tc>
        <w:tc>
          <w:tcPr>
            <w:tcW w:w="1276" w:type="dxa"/>
            <w:shd w:val="clear" w:color="auto" w:fill="F2F2F2" w:themeFill="background1" w:themeFillShade="F2"/>
            <w:noWrap/>
            <w:vAlign w:val="center"/>
          </w:tcPr>
          <w:p w14:paraId="28A82707" w14:textId="27B2966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55EE0C10" w14:textId="093FC88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28519775" w14:textId="6EFBB85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F2F2F2" w:themeFill="background1" w:themeFillShade="F2"/>
            <w:noWrap/>
            <w:vAlign w:val="center"/>
          </w:tcPr>
          <w:p w14:paraId="5D2C2E95" w14:textId="49DC5D7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53.3</w:t>
            </w:r>
          </w:p>
        </w:tc>
        <w:tc>
          <w:tcPr>
            <w:tcW w:w="983" w:type="dxa"/>
            <w:shd w:val="clear" w:color="auto" w:fill="F2F2F2" w:themeFill="background1" w:themeFillShade="F2"/>
            <w:noWrap/>
            <w:vAlign w:val="center"/>
          </w:tcPr>
          <w:p w14:paraId="0303E41F" w14:textId="25F97E8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46B41C54" w14:textId="77777777" w:rsidTr="00A42307">
        <w:trPr>
          <w:gridAfter w:val="1"/>
          <w:wAfter w:w="35" w:type="dxa"/>
          <w:trHeight w:val="284"/>
          <w:jc w:val="center"/>
        </w:trPr>
        <w:tc>
          <w:tcPr>
            <w:tcW w:w="1020" w:type="dxa"/>
            <w:shd w:val="clear" w:color="auto" w:fill="auto"/>
            <w:noWrap/>
            <w:vAlign w:val="center"/>
          </w:tcPr>
          <w:p w14:paraId="5DC57660" w14:textId="6F790AD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7B5B26D9" w14:textId="11A2B51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EMS</w:t>
            </w:r>
          </w:p>
        </w:tc>
        <w:tc>
          <w:tcPr>
            <w:tcW w:w="3749" w:type="dxa"/>
            <w:shd w:val="clear" w:color="auto" w:fill="auto"/>
            <w:vAlign w:val="center"/>
          </w:tcPr>
          <w:p w14:paraId="72EE5B33" w14:textId="2A0A60D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del Sector Servicios</w:t>
            </w:r>
          </w:p>
        </w:tc>
        <w:tc>
          <w:tcPr>
            <w:tcW w:w="1276" w:type="dxa"/>
            <w:shd w:val="clear" w:color="auto" w:fill="auto"/>
            <w:noWrap/>
            <w:vAlign w:val="center"/>
          </w:tcPr>
          <w:p w14:paraId="3D2DA3D8" w14:textId="6B30F88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1AF37A1A" w14:textId="50BA711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099FE8C0" w14:textId="1B922FF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auto"/>
            <w:noWrap/>
            <w:vAlign w:val="bottom"/>
          </w:tcPr>
          <w:p w14:paraId="56B0D528" w14:textId="5245F23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53.17</w:t>
            </w:r>
          </w:p>
        </w:tc>
        <w:tc>
          <w:tcPr>
            <w:tcW w:w="983" w:type="dxa"/>
            <w:shd w:val="clear" w:color="auto" w:fill="auto"/>
            <w:noWrap/>
            <w:vAlign w:val="center"/>
          </w:tcPr>
          <w:p w14:paraId="58EE3D57" w14:textId="6068F9C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0DD76D21" w14:textId="77777777" w:rsidTr="00A42307">
        <w:trPr>
          <w:gridAfter w:val="1"/>
          <w:wAfter w:w="35" w:type="dxa"/>
          <w:trHeight w:val="284"/>
          <w:jc w:val="center"/>
        </w:trPr>
        <w:tc>
          <w:tcPr>
            <w:tcW w:w="1020" w:type="dxa"/>
            <w:shd w:val="clear" w:color="auto" w:fill="F2F2F2" w:themeFill="background1" w:themeFillShade="F2"/>
            <w:noWrap/>
            <w:vAlign w:val="center"/>
          </w:tcPr>
          <w:p w14:paraId="06AFA7AC" w14:textId="3642EEB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1BC02D34" w14:textId="40CC5E0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EMEC</w:t>
            </w:r>
          </w:p>
        </w:tc>
        <w:tc>
          <w:tcPr>
            <w:tcW w:w="3749" w:type="dxa"/>
            <w:shd w:val="clear" w:color="auto" w:fill="F2F2F2" w:themeFill="background1" w:themeFillShade="F2"/>
            <w:vAlign w:val="center"/>
          </w:tcPr>
          <w:p w14:paraId="3692F4D0" w14:textId="7B414A26"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Empresas Comerciales</w:t>
            </w:r>
          </w:p>
        </w:tc>
        <w:tc>
          <w:tcPr>
            <w:tcW w:w="1276" w:type="dxa"/>
            <w:shd w:val="clear" w:color="auto" w:fill="F2F2F2" w:themeFill="background1" w:themeFillShade="F2"/>
            <w:noWrap/>
            <w:vAlign w:val="center"/>
          </w:tcPr>
          <w:p w14:paraId="3EC6AFFF" w14:textId="12C698C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675A9AB5" w14:textId="67E0DA3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19EE0020" w14:textId="381F955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F2F2F2" w:themeFill="background1" w:themeFillShade="F2"/>
            <w:noWrap/>
            <w:vAlign w:val="bottom"/>
          </w:tcPr>
          <w:p w14:paraId="5A879474" w14:textId="2EB0268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53.2</w:t>
            </w:r>
          </w:p>
        </w:tc>
        <w:tc>
          <w:tcPr>
            <w:tcW w:w="983" w:type="dxa"/>
            <w:shd w:val="clear" w:color="auto" w:fill="F2F2F2" w:themeFill="background1" w:themeFillShade="F2"/>
            <w:noWrap/>
            <w:vAlign w:val="center"/>
          </w:tcPr>
          <w:p w14:paraId="1E571543" w14:textId="36C21A2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4A4C4788" w14:textId="77777777" w:rsidTr="00A42307">
        <w:trPr>
          <w:gridAfter w:val="1"/>
          <w:wAfter w:w="35" w:type="dxa"/>
          <w:trHeight w:val="284"/>
          <w:jc w:val="center"/>
        </w:trPr>
        <w:tc>
          <w:tcPr>
            <w:tcW w:w="1020" w:type="dxa"/>
            <w:shd w:val="clear" w:color="auto" w:fill="auto"/>
            <w:noWrap/>
            <w:vAlign w:val="center"/>
          </w:tcPr>
          <w:p w14:paraId="1C8250E6" w14:textId="4F72043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4E664D16" w14:textId="6419693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ENVIPE</w:t>
            </w:r>
          </w:p>
        </w:tc>
        <w:tc>
          <w:tcPr>
            <w:tcW w:w="3749" w:type="dxa"/>
            <w:shd w:val="clear" w:color="auto" w:fill="auto"/>
            <w:vAlign w:val="center"/>
          </w:tcPr>
          <w:p w14:paraId="45A83469" w14:textId="3DE6EAC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Nacional de Victimización y Percepción sobre Seguridad Pública (ENVIPE)</w:t>
            </w:r>
          </w:p>
        </w:tc>
        <w:tc>
          <w:tcPr>
            <w:tcW w:w="1276" w:type="dxa"/>
            <w:shd w:val="clear" w:color="auto" w:fill="auto"/>
            <w:noWrap/>
            <w:vAlign w:val="center"/>
          </w:tcPr>
          <w:p w14:paraId="60EF7DCE" w14:textId="5ECAA9A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5EBA239F" w14:textId="1FDBCDE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25F57829" w14:textId="4E75F28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295.0</w:t>
            </w:r>
          </w:p>
        </w:tc>
        <w:tc>
          <w:tcPr>
            <w:tcW w:w="1276" w:type="dxa"/>
            <w:shd w:val="clear" w:color="auto" w:fill="auto"/>
            <w:noWrap/>
            <w:vAlign w:val="bottom"/>
          </w:tcPr>
          <w:p w14:paraId="550F77DD" w14:textId="1DE5EAF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343</w:t>
            </w:r>
          </w:p>
        </w:tc>
        <w:tc>
          <w:tcPr>
            <w:tcW w:w="983" w:type="dxa"/>
            <w:shd w:val="clear" w:color="auto" w:fill="auto"/>
            <w:noWrap/>
            <w:vAlign w:val="center"/>
          </w:tcPr>
          <w:p w14:paraId="4D763140" w14:textId="1873582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2998F83F" w14:textId="77777777" w:rsidTr="00511C2C">
        <w:trPr>
          <w:gridAfter w:val="1"/>
          <w:wAfter w:w="35" w:type="dxa"/>
          <w:trHeight w:val="284"/>
          <w:jc w:val="center"/>
        </w:trPr>
        <w:tc>
          <w:tcPr>
            <w:tcW w:w="1020" w:type="dxa"/>
            <w:shd w:val="clear" w:color="auto" w:fill="F2F2F2" w:themeFill="background1" w:themeFillShade="F2"/>
            <w:noWrap/>
            <w:vAlign w:val="center"/>
          </w:tcPr>
          <w:p w14:paraId="6B60F9BB" w14:textId="1C0A7F6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02596629" w14:textId="59C6701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CSI</w:t>
            </w:r>
          </w:p>
        </w:tc>
        <w:tc>
          <w:tcPr>
            <w:tcW w:w="3749" w:type="dxa"/>
            <w:shd w:val="clear" w:color="auto" w:fill="F2F2F2" w:themeFill="background1" w:themeFillShade="F2"/>
            <w:vAlign w:val="center"/>
          </w:tcPr>
          <w:p w14:paraId="3AB0E3AC" w14:textId="2CC68B0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Macroeconómicos del Sector Público</w:t>
            </w:r>
          </w:p>
        </w:tc>
        <w:tc>
          <w:tcPr>
            <w:tcW w:w="1276" w:type="dxa"/>
            <w:shd w:val="clear" w:color="auto" w:fill="F2F2F2" w:themeFill="background1" w:themeFillShade="F2"/>
            <w:noWrap/>
            <w:vAlign w:val="center"/>
          </w:tcPr>
          <w:p w14:paraId="2F1B20D8" w14:textId="57D15F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3EC7C367" w14:textId="163AE33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10A02475" w14:textId="6C2C266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300.0</w:t>
            </w:r>
          </w:p>
        </w:tc>
        <w:tc>
          <w:tcPr>
            <w:tcW w:w="1276" w:type="dxa"/>
            <w:shd w:val="clear" w:color="auto" w:fill="F2F2F2" w:themeFill="background1" w:themeFillShade="F2"/>
            <w:noWrap/>
            <w:vAlign w:val="center"/>
          </w:tcPr>
          <w:p w14:paraId="6AA34E67" w14:textId="74C9FA5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344.0</w:t>
            </w:r>
          </w:p>
        </w:tc>
        <w:tc>
          <w:tcPr>
            <w:tcW w:w="983" w:type="dxa"/>
            <w:shd w:val="clear" w:color="auto" w:fill="F2F2F2" w:themeFill="background1" w:themeFillShade="F2"/>
            <w:noWrap/>
            <w:vAlign w:val="center"/>
          </w:tcPr>
          <w:p w14:paraId="1603C493" w14:textId="039582A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4987E846" w14:textId="77777777" w:rsidTr="00511C2C">
        <w:trPr>
          <w:gridAfter w:val="1"/>
          <w:wAfter w:w="35" w:type="dxa"/>
          <w:trHeight w:val="284"/>
          <w:jc w:val="center"/>
        </w:trPr>
        <w:tc>
          <w:tcPr>
            <w:tcW w:w="1020" w:type="dxa"/>
            <w:shd w:val="clear" w:color="auto" w:fill="auto"/>
            <w:noWrap/>
            <w:vAlign w:val="center"/>
          </w:tcPr>
          <w:p w14:paraId="6C784F3E" w14:textId="19C1BFD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5E84ECDE" w14:textId="38E99B6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auto"/>
            <w:vAlign w:val="center"/>
          </w:tcPr>
          <w:p w14:paraId="2C7FD77E" w14:textId="74FAD73D"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 Indicador Mensual del Consumo Privado en el Mercado Interior</w:t>
            </w:r>
          </w:p>
        </w:tc>
        <w:tc>
          <w:tcPr>
            <w:tcW w:w="1276" w:type="dxa"/>
            <w:shd w:val="clear" w:color="auto" w:fill="auto"/>
            <w:noWrap/>
            <w:vAlign w:val="center"/>
          </w:tcPr>
          <w:p w14:paraId="3F7AC441" w14:textId="56203AC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63C7D664" w14:textId="2D7C4C7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auto"/>
            <w:noWrap/>
            <w:vAlign w:val="center"/>
          </w:tcPr>
          <w:p w14:paraId="04789FEF" w14:textId="148F7A4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60.0</w:t>
            </w:r>
          </w:p>
        </w:tc>
        <w:tc>
          <w:tcPr>
            <w:tcW w:w="1276" w:type="dxa"/>
            <w:shd w:val="clear" w:color="auto" w:fill="auto"/>
            <w:noWrap/>
            <w:vAlign w:val="center"/>
          </w:tcPr>
          <w:p w14:paraId="229C52FE" w14:textId="5F53D7D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67.0</w:t>
            </w:r>
          </w:p>
        </w:tc>
        <w:tc>
          <w:tcPr>
            <w:tcW w:w="983" w:type="dxa"/>
            <w:shd w:val="clear" w:color="auto" w:fill="auto"/>
            <w:noWrap/>
            <w:vAlign w:val="center"/>
          </w:tcPr>
          <w:p w14:paraId="62289278" w14:textId="2E8BC38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2BD6A668" w14:textId="77777777" w:rsidTr="00511C2C">
        <w:trPr>
          <w:gridAfter w:val="1"/>
          <w:wAfter w:w="35" w:type="dxa"/>
          <w:trHeight w:val="284"/>
          <w:jc w:val="center"/>
        </w:trPr>
        <w:tc>
          <w:tcPr>
            <w:tcW w:w="1020" w:type="dxa"/>
            <w:shd w:val="clear" w:color="auto" w:fill="F2F2F2" w:themeFill="background1" w:themeFillShade="F2"/>
            <w:noWrap/>
            <w:vAlign w:val="center"/>
          </w:tcPr>
          <w:p w14:paraId="7DE6A7BB" w14:textId="42D8A78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lastRenderedPageBreak/>
              <w:t>DGEE</w:t>
            </w:r>
          </w:p>
        </w:tc>
        <w:tc>
          <w:tcPr>
            <w:tcW w:w="1265" w:type="dxa"/>
            <w:shd w:val="clear" w:color="auto" w:fill="F2F2F2" w:themeFill="background1" w:themeFillShade="F2"/>
            <w:noWrap/>
            <w:vAlign w:val="center"/>
          </w:tcPr>
          <w:p w14:paraId="14BDBD21" w14:textId="0CA084B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CSI</w:t>
            </w:r>
          </w:p>
        </w:tc>
        <w:tc>
          <w:tcPr>
            <w:tcW w:w="3749" w:type="dxa"/>
            <w:shd w:val="clear" w:color="auto" w:fill="F2F2F2" w:themeFill="background1" w:themeFillShade="F2"/>
            <w:vAlign w:val="center"/>
          </w:tcPr>
          <w:p w14:paraId="4E0D48C5" w14:textId="05105F0A"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Gobiernos Estatales y Gobiernos Locales, Cuentas Corrientes y de Acumulación Cuentas de Producción por Finalidad, versión preliminar</w:t>
            </w:r>
          </w:p>
        </w:tc>
        <w:tc>
          <w:tcPr>
            <w:tcW w:w="1276" w:type="dxa"/>
            <w:shd w:val="clear" w:color="auto" w:fill="F2F2F2" w:themeFill="background1" w:themeFillShade="F2"/>
            <w:noWrap/>
            <w:vAlign w:val="center"/>
          </w:tcPr>
          <w:p w14:paraId="6EAD86BB" w14:textId="601AAE1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1216939F" w14:textId="7A958FA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0729EC98" w14:textId="56B5F28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330.0</w:t>
            </w:r>
          </w:p>
        </w:tc>
        <w:tc>
          <w:tcPr>
            <w:tcW w:w="1276" w:type="dxa"/>
            <w:shd w:val="clear" w:color="auto" w:fill="F2F2F2" w:themeFill="background1" w:themeFillShade="F2"/>
            <w:noWrap/>
            <w:vAlign w:val="center"/>
          </w:tcPr>
          <w:p w14:paraId="6E662EAD" w14:textId="1D27249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349.0</w:t>
            </w:r>
          </w:p>
        </w:tc>
        <w:tc>
          <w:tcPr>
            <w:tcW w:w="983" w:type="dxa"/>
            <w:shd w:val="clear" w:color="auto" w:fill="F2F2F2" w:themeFill="background1" w:themeFillShade="F2"/>
            <w:noWrap/>
            <w:vAlign w:val="center"/>
          </w:tcPr>
          <w:p w14:paraId="61198A2C" w14:textId="01B3FAD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6DE8E09A" w14:textId="77777777" w:rsidTr="00511C2C">
        <w:trPr>
          <w:gridAfter w:val="1"/>
          <w:wAfter w:w="35" w:type="dxa"/>
          <w:trHeight w:val="284"/>
          <w:jc w:val="center"/>
        </w:trPr>
        <w:tc>
          <w:tcPr>
            <w:tcW w:w="1020" w:type="dxa"/>
            <w:shd w:val="clear" w:color="auto" w:fill="auto"/>
            <w:noWrap/>
            <w:vAlign w:val="center"/>
          </w:tcPr>
          <w:p w14:paraId="64BAB740" w14:textId="70A9F9B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6A14F96D" w14:textId="43DDE0D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EMIM</w:t>
            </w:r>
          </w:p>
        </w:tc>
        <w:tc>
          <w:tcPr>
            <w:tcW w:w="3749" w:type="dxa"/>
            <w:shd w:val="clear" w:color="auto" w:fill="auto"/>
            <w:vAlign w:val="center"/>
          </w:tcPr>
          <w:p w14:paraId="41B1A902" w14:textId="320840BF"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del Sector Manufacturero</w:t>
            </w:r>
          </w:p>
        </w:tc>
        <w:tc>
          <w:tcPr>
            <w:tcW w:w="1276" w:type="dxa"/>
            <w:shd w:val="clear" w:color="auto" w:fill="auto"/>
            <w:noWrap/>
            <w:vAlign w:val="center"/>
          </w:tcPr>
          <w:p w14:paraId="57AD8678" w14:textId="01A8BDA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370C9425" w14:textId="4180501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789C0E27" w14:textId="728E34F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auto"/>
            <w:noWrap/>
            <w:vAlign w:val="center"/>
          </w:tcPr>
          <w:p w14:paraId="15D7EFA6" w14:textId="5492B12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47.1</w:t>
            </w:r>
          </w:p>
        </w:tc>
        <w:tc>
          <w:tcPr>
            <w:tcW w:w="983" w:type="dxa"/>
            <w:shd w:val="clear" w:color="auto" w:fill="auto"/>
            <w:noWrap/>
            <w:vAlign w:val="center"/>
          </w:tcPr>
          <w:p w14:paraId="181161FD" w14:textId="1AA34C0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D4FB766" w14:textId="77777777" w:rsidTr="00511C2C">
        <w:trPr>
          <w:gridAfter w:val="1"/>
          <w:wAfter w:w="35" w:type="dxa"/>
          <w:trHeight w:val="284"/>
          <w:jc w:val="center"/>
        </w:trPr>
        <w:tc>
          <w:tcPr>
            <w:tcW w:w="1020" w:type="dxa"/>
            <w:shd w:val="clear" w:color="auto" w:fill="F2F2F2" w:themeFill="background1" w:themeFillShade="F2"/>
            <w:noWrap/>
            <w:vAlign w:val="center"/>
          </w:tcPr>
          <w:p w14:paraId="19FD6EE8" w14:textId="05A8BC7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A94709B" w14:textId="3552770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F2F2F2" w:themeFill="background1" w:themeFillShade="F2"/>
            <w:vAlign w:val="center"/>
          </w:tcPr>
          <w:p w14:paraId="1BB0B83D" w14:textId="37ADD71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 Indicador Global de la Actividad Económica</w:t>
            </w:r>
          </w:p>
        </w:tc>
        <w:tc>
          <w:tcPr>
            <w:tcW w:w="1276" w:type="dxa"/>
            <w:shd w:val="clear" w:color="auto" w:fill="F2F2F2" w:themeFill="background1" w:themeFillShade="F2"/>
            <w:noWrap/>
            <w:vAlign w:val="center"/>
          </w:tcPr>
          <w:p w14:paraId="6598AC0A" w14:textId="232124A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2D0CD819" w14:textId="49882DA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60CAF01A" w14:textId="084D2E3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53.0</w:t>
            </w:r>
          </w:p>
        </w:tc>
        <w:tc>
          <w:tcPr>
            <w:tcW w:w="1276" w:type="dxa"/>
            <w:shd w:val="clear" w:color="auto" w:fill="F2F2F2" w:themeFill="background1" w:themeFillShade="F2"/>
            <w:noWrap/>
            <w:vAlign w:val="center"/>
          </w:tcPr>
          <w:p w14:paraId="6469F80D" w14:textId="13F31B8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55.0</w:t>
            </w:r>
          </w:p>
        </w:tc>
        <w:tc>
          <w:tcPr>
            <w:tcW w:w="983" w:type="dxa"/>
            <w:shd w:val="clear" w:color="auto" w:fill="F2F2F2" w:themeFill="background1" w:themeFillShade="F2"/>
            <w:noWrap/>
            <w:vAlign w:val="center"/>
          </w:tcPr>
          <w:p w14:paraId="505DE60F" w14:textId="70739CD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289DAE2C" w14:textId="77777777" w:rsidTr="00511C2C">
        <w:trPr>
          <w:gridAfter w:val="1"/>
          <w:wAfter w:w="35" w:type="dxa"/>
          <w:trHeight w:val="284"/>
          <w:jc w:val="center"/>
        </w:trPr>
        <w:tc>
          <w:tcPr>
            <w:tcW w:w="1020" w:type="dxa"/>
            <w:shd w:val="clear" w:color="auto" w:fill="auto"/>
            <w:noWrap/>
            <w:vAlign w:val="center"/>
          </w:tcPr>
          <w:p w14:paraId="363B97C0" w14:textId="1E55216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27397678" w14:textId="42EE331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CSI</w:t>
            </w:r>
          </w:p>
        </w:tc>
        <w:tc>
          <w:tcPr>
            <w:tcW w:w="3749" w:type="dxa"/>
            <w:shd w:val="clear" w:color="auto" w:fill="auto"/>
            <w:vAlign w:val="center"/>
          </w:tcPr>
          <w:p w14:paraId="6282ABA3" w14:textId="472BFE88"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Cuentas por Sectores Institucionales</w:t>
            </w:r>
          </w:p>
        </w:tc>
        <w:tc>
          <w:tcPr>
            <w:tcW w:w="1276" w:type="dxa"/>
            <w:shd w:val="clear" w:color="auto" w:fill="auto"/>
            <w:noWrap/>
            <w:vAlign w:val="center"/>
          </w:tcPr>
          <w:p w14:paraId="49FF8872" w14:textId="7DD0922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6B225D65" w14:textId="4584C25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auto"/>
            <w:noWrap/>
            <w:vAlign w:val="center"/>
          </w:tcPr>
          <w:p w14:paraId="2065DFAF" w14:textId="112005A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330.0</w:t>
            </w:r>
          </w:p>
        </w:tc>
        <w:tc>
          <w:tcPr>
            <w:tcW w:w="1276" w:type="dxa"/>
            <w:shd w:val="clear" w:color="auto" w:fill="auto"/>
            <w:noWrap/>
            <w:vAlign w:val="center"/>
          </w:tcPr>
          <w:p w14:paraId="7F42F6F1" w14:textId="1484C7A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334.0</w:t>
            </w:r>
          </w:p>
        </w:tc>
        <w:tc>
          <w:tcPr>
            <w:tcW w:w="983" w:type="dxa"/>
            <w:shd w:val="clear" w:color="auto" w:fill="auto"/>
            <w:noWrap/>
            <w:vAlign w:val="center"/>
          </w:tcPr>
          <w:p w14:paraId="4708687F" w14:textId="44EC4D8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6B597E5E" w14:textId="77777777" w:rsidTr="00A42307">
        <w:trPr>
          <w:gridAfter w:val="1"/>
          <w:wAfter w:w="35" w:type="dxa"/>
          <w:trHeight w:val="284"/>
          <w:jc w:val="center"/>
        </w:trPr>
        <w:tc>
          <w:tcPr>
            <w:tcW w:w="1020" w:type="dxa"/>
            <w:shd w:val="clear" w:color="auto" w:fill="F2F2F2" w:themeFill="background1" w:themeFillShade="F2"/>
            <w:noWrap/>
            <w:vAlign w:val="center"/>
          </w:tcPr>
          <w:p w14:paraId="442FA640" w14:textId="3866F12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7309BE0A" w14:textId="603F7A4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ERLAJUL</w:t>
            </w:r>
          </w:p>
        </w:tc>
        <w:tc>
          <w:tcPr>
            <w:tcW w:w="3749" w:type="dxa"/>
            <w:shd w:val="clear" w:color="auto" w:fill="F2F2F2" w:themeFill="background1" w:themeFillShade="F2"/>
            <w:vAlign w:val="center"/>
          </w:tcPr>
          <w:p w14:paraId="57CC68D6" w14:textId="7E43E13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Estadísticas sobre relaciones laborales de jurisdicción local</w:t>
            </w:r>
          </w:p>
        </w:tc>
        <w:tc>
          <w:tcPr>
            <w:tcW w:w="1276" w:type="dxa"/>
            <w:shd w:val="clear" w:color="auto" w:fill="F2F2F2" w:themeFill="background1" w:themeFillShade="F2"/>
            <w:noWrap/>
            <w:vAlign w:val="center"/>
          </w:tcPr>
          <w:p w14:paraId="57DEC676" w14:textId="0D23135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18708C37" w14:textId="15AA5BF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30BFCA4F" w14:textId="43968DE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180.0</w:t>
            </w:r>
          </w:p>
        </w:tc>
        <w:tc>
          <w:tcPr>
            <w:tcW w:w="1276" w:type="dxa"/>
            <w:shd w:val="clear" w:color="auto" w:fill="F2F2F2" w:themeFill="background1" w:themeFillShade="F2"/>
            <w:noWrap/>
            <w:vAlign w:val="bottom"/>
          </w:tcPr>
          <w:p w14:paraId="48C1189B" w14:textId="01CFF20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180</w:t>
            </w:r>
          </w:p>
        </w:tc>
        <w:tc>
          <w:tcPr>
            <w:tcW w:w="983" w:type="dxa"/>
            <w:shd w:val="clear" w:color="auto" w:fill="F2F2F2" w:themeFill="background1" w:themeFillShade="F2"/>
            <w:noWrap/>
            <w:vAlign w:val="center"/>
          </w:tcPr>
          <w:p w14:paraId="32D9DF55" w14:textId="2185A99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53B8C6EB" w14:textId="77777777" w:rsidTr="00A42307">
        <w:trPr>
          <w:gridAfter w:val="1"/>
          <w:wAfter w:w="35" w:type="dxa"/>
          <w:trHeight w:val="284"/>
          <w:jc w:val="center"/>
        </w:trPr>
        <w:tc>
          <w:tcPr>
            <w:tcW w:w="1020" w:type="dxa"/>
            <w:shd w:val="clear" w:color="auto" w:fill="auto"/>
            <w:noWrap/>
            <w:vAlign w:val="center"/>
          </w:tcPr>
          <w:p w14:paraId="6351C8B8" w14:textId="1FC83A5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538E1C53" w14:textId="5F73BBD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CNIJE</w:t>
            </w:r>
          </w:p>
        </w:tc>
        <w:tc>
          <w:tcPr>
            <w:tcW w:w="3749" w:type="dxa"/>
            <w:shd w:val="clear" w:color="auto" w:fill="auto"/>
            <w:vAlign w:val="center"/>
          </w:tcPr>
          <w:p w14:paraId="0DE1820F" w14:textId="75FA91A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Censo Nacional de Impartición de Justicia Estatal</w:t>
            </w:r>
          </w:p>
        </w:tc>
        <w:tc>
          <w:tcPr>
            <w:tcW w:w="1276" w:type="dxa"/>
            <w:shd w:val="clear" w:color="auto" w:fill="auto"/>
            <w:noWrap/>
            <w:vAlign w:val="center"/>
          </w:tcPr>
          <w:p w14:paraId="1F472E20" w14:textId="28B1BBD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08C14FB4" w14:textId="4580AFD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auto"/>
            <w:noWrap/>
            <w:vAlign w:val="center"/>
          </w:tcPr>
          <w:p w14:paraId="7B1B6A34" w14:textId="74E627B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300.0</w:t>
            </w:r>
          </w:p>
        </w:tc>
        <w:tc>
          <w:tcPr>
            <w:tcW w:w="1276" w:type="dxa"/>
            <w:shd w:val="clear" w:color="auto" w:fill="auto"/>
            <w:noWrap/>
            <w:vAlign w:val="bottom"/>
          </w:tcPr>
          <w:p w14:paraId="65C64779" w14:textId="3C8F61B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300</w:t>
            </w:r>
          </w:p>
        </w:tc>
        <w:tc>
          <w:tcPr>
            <w:tcW w:w="983" w:type="dxa"/>
            <w:shd w:val="clear" w:color="auto" w:fill="auto"/>
            <w:noWrap/>
            <w:vAlign w:val="center"/>
          </w:tcPr>
          <w:p w14:paraId="02B0CD18" w14:textId="63A389A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99D3DE1" w14:textId="77777777" w:rsidTr="00511C2C">
        <w:trPr>
          <w:gridAfter w:val="1"/>
          <w:wAfter w:w="35" w:type="dxa"/>
          <w:trHeight w:val="284"/>
          <w:jc w:val="center"/>
        </w:trPr>
        <w:tc>
          <w:tcPr>
            <w:tcW w:w="1020" w:type="dxa"/>
            <w:shd w:val="clear" w:color="auto" w:fill="F2F2F2" w:themeFill="background1" w:themeFillShade="F2"/>
            <w:noWrap/>
            <w:vAlign w:val="center"/>
          </w:tcPr>
          <w:p w14:paraId="72B3FDDC" w14:textId="13E4E16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7E1EE59E" w14:textId="4EA6F69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F2F2F2" w:themeFill="background1" w:themeFillShade="F2"/>
            <w:vAlign w:val="center"/>
          </w:tcPr>
          <w:p w14:paraId="025BD29E" w14:textId="764DF89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 Estimación Oportuna del Producto Interno Bruto</w:t>
            </w:r>
          </w:p>
        </w:tc>
        <w:tc>
          <w:tcPr>
            <w:tcW w:w="1276" w:type="dxa"/>
            <w:shd w:val="clear" w:color="auto" w:fill="F2F2F2" w:themeFill="background1" w:themeFillShade="F2"/>
            <w:noWrap/>
            <w:vAlign w:val="center"/>
          </w:tcPr>
          <w:p w14:paraId="17ABA063" w14:textId="2846592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2E34B728" w14:textId="2DD6EBB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F2F2F2" w:themeFill="background1" w:themeFillShade="F2"/>
            <w:noWrap/>
            <w:vAlign w:val="center"/>
          </w:tcPr>
          <w:p w14:paraId="3763450F" w14:textId="291E587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w:t>
            </w:r>
          </w:p>
        </w:tc>
        <w:tc>
          <w:tcPr>
            <w:tcW w:w="1276" w:type="dxa"/>
            <w:shd w:val="clear" w:color="auto" w:fill="F2F2F2" w:themeFill="background1" w:themeFillShade="F2"/>
            <w:noWrap/>
            <w:vAlign w:val="center"/>
          </w:tcPr>
          <w:p w14:paraId="765D2DE2" w14:textId="0C34F73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w:t>
            </w:r>
          </w:p>
        </w:tc>
        <w:tc>
          <w:tcPr>
            <w:tcW w:w="983" w:type="dxa"/>
            <w:shd w:val="clear" w:color="auto" w:fill="F2F2F2" w:themeFill="background1" w:themeFillShade="F2"/>
            <w:noWrap/>
            <w:vAlign w:val="center"/>
          </w:tcPr>
          <w:p w14:paraId="6FB62458" w14:textId="66FDE4D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0C3ED239" w14:textId="77777777" w:rsidTr="00511C2C">
        <w:trPr>
          <w:gridAfter w:val="1"/>
          <w:wAfter w:w="35" w:type="dxa"/>
          <w:trHeight w:val="284"/>
          <w:jc w:val="center"/>
        </w:trPr>
        <w:tc>
          <w:tcPr>
            <w:tcW w:w="1020" w:type="dxa"/>
            <w:shd w:val="clear" w:color="auto" w:fill="auto"/>
            <w:noWrap/>
            <w:vAlign w:val="center"/>
          </w:tcPr>
          <w:p w14:paraId="605BA898" w14:textId="35409B0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375FB07A" w14:textId="0A87C7E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ATUS</w:t>
            </w:r>
          </w:p>
        </w:tc>
        <w:tc>
          <w:tcPr>
            <w:tcW w:w="3749" w:type="dxa"/>
            <w:shd w:val="clear" w:color="auto" w:fill="auto"/>
            <w:vAlign w:val="center"/>
          </w:tcPr>
          <w:p w14:paraId="6D020951" w14:textId="160D1F39"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 de Accidentes de Tránsito Terrestre en Zonas Urbanas y Suburbanas</w:t>
            </w:r>
          </w:p>
        </w:tc>
        <w:tc>
          <w:tcPr>
            <w:tcW w:w="1276" w:type="dxa"/>
            <w:shd w:val="clear" w:color="auto" w:fill="auto"/>
            <w:noWrap/>
            <w:vAlign w:val="center"/>
          </w:tcPr>
          <w:p w14:paraId="022C4FD5" w14:textId="10737E9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78FF44F7" w14:textId="39CB1E4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7405A679" w14:textId="4055339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210.0</w:t>
            </w:r>
          </w:p>
        </w:tc>
        <w:tc>
          <w:tcPr>
            <w:tcW w:w="1276" w:type="dxa"/>
            <w:shd w:val="clear" w:color="auto" w:fill="auto"/>
            <w:noWrap/>
            <w:vAlign w:val="center"/>
          </w:tcPr>
          <w:p w14:paraId="17D072B6" w14:textId="1FA9826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209.0</w:t>
            </w:r>
          </w:p>
        </w:tc>
        <w:tc>
          <w:tcPr>
            <w:tcW w:w="983" w:type="dxa"/>
            <w:shd w:val="clear" w:color="auto" w:fill="auto"/>
            <w:noWrap/>
            <w:vAlign w:val="center"/>
          </w:tcPr>
          <w:p w14:paraId="32CD623F" w14:textId="44FD3D2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45A7A59" w14:textId="77777777" w:rsidTr="00A42307">
        <w:trPr>
          <w:gridAfter w:val="1"/>
          <w:wAfter w:w="35" w:type="dxa"/>
          <w:trHeight w:val="284"/>
          <w:jc w:val="center"/>
        </w:trPr>
        <w:tc>
          <w:tcPr>
            <w:tcW w:w="1020" w:type="dxa"/>
            <w:shd w:val="clear" w:color="auto" w:fill="F2F2F2" w:themeFill="background1" w:themeFillShade="F2"/>
            <w:noWrap/>
            <w:vAlign w:val="center"/>
          </w:tcPr>
          <w:p w14:paraId="6113852F" w14:textId="421FEBC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44E949EB" w14:textId="5DA5906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CR</w:t>
            </w:r>
          </w:p>
        </w:tc>
        <w:tc>
          <w:tcPr>
            <w:tcW w:w="3749" w:type="dxa"/>
            <w:shd w:val="clear" w:color="auto" w:fill="F2F2F2" w:themeFill="background1" w:themeFillShade="F2"/>
            <w:vAlign w:val="center"/>
          </w:tcPr>
          <w:p w14:paraId="44C5A126" w14:textId="33A2A2F4"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 Indicador Trimestral de la Actividad Económica Estatal</w:t>
            </w:r>
          </w:p>
        </w:tc>
        <w:tc>
          <w:tcPr>
            <w:tcW w:w="1276" w:type="dxa"/>
            <w:shd w:val="clear" w:color="auto" w:fill="F2F2F2" w:themeFill="background1" w:themeFillShade="F2"/>
            <w:noWrap/>
            <w:vAlign w:val="center"/>
          </w:tcPr>
          <w:p w14:paraId="6CC41468" w14:textId="0152401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394FBF4F" w14:textId="4B705BF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436B1855" w14:textId="3085B8E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120.0</w:t>
            </w:r>
          </w:p>
        </w:tc>
        <w:tc>
          <w:tcPr>
            <w:tcW w:w="1276" w:type="dxa"/>
            <w:shd w:val="clear" w:color="auto" w:fill="F2F2F2" w:themeFill="background1" w:themeFillShade="F2"/>
            <w:noWrap/>
            <w:vAlign w:val="bottom"/>
          </w:tcPr>
          <w:p w14:paraId="7E915E86" w14:textId="1513398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119.25</w:t>
            </w:r>
          </w:p>
        </w:tc>
        <w:tc>
          <w:tcPr>
            <w:tcW w:w="983" w:type="dxa"/>
            <w:shd w:val="clear" w:color="auto" w:fill="F2F2F2" w:themeFill="background1" w:themeFillShade="F2"/>
            <w:noWrap/>
            <w:vAlign w:val="center"/>
          </w:tcPr>
          <w:p w14:paraId="29E43F3B" w14:textId="1D91DD9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8D1EE70" w14:textId="77777777" w:rsidTr="00A42307">
        <w:trPr>
          <w:gridAfter w:val="1"/>
          <w:wAfter w:w="35" w:type="dxa"/>
          <w:trHeight w:val="284"/>
          <w:jc w:val="center"/>
        </w:trPr>
        <w:tc>
          <w:tcPr>
            <w:tcW w:w="1020" w:type="dxa"/>
            <w:shd w:val="clear" w:color="auto" w:fill="auto"/>
            <w:noWrap/>
            <w:vAlign w:val="center"/>
          </w:tcPr>
          <w:p w14:paraId="0E147FDA" w14:textId="7FED8CA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437987AA" w14:textId="573A4E2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ESGRM</w:t>
            </w:r>
          </w:p>
        </w:tc>
        <w:tc>
          <w:tcPr>
            <w:tcW w:w="3749" w:type="dxa"/>
            <w:shd w:val="clear" w:color="auto" w:fill="auto"/>
            <w:vAlign w:val="center"/>
          </w:tcPr>
          <w:p w14:paraId="28566AD0" w14:textId="72D59D90"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 de Sacrificio de Ganado en Rastros Municipales (ESGRM) (mensual)</w:t>
            </w:r>
          </w:p>
        </w:tc>
        <w:tc>
          <w:tcPr>
            <w:tcW w:w="1276" w:type="dxa"/>
            <w:shd w:val="clear" w:color="auto" w:fill="auto"/>
            <w:noWrap/>
            <w:vAlign w:val="center"/>
          </w:tcPr>
          <w:p w14:paraId="164C702D" w14:textId="080A844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0D78342F" w14:textId="1680EE5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5776ADA3" w14:textId="6B45081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60.0</w:t>
            </w:r>
          </w:p>
        </w:tc>
        <w:tc>
          <w:tcPr>
            <w:tcW w:w="1276" w:type="dxa"/>
            <w:shd w:val="clear" w:color="auto" w:fill="auto"/>
            <w:noWrap/>
            <w:vAlign w:val="bottom"/>
          </w:tcPr>
          <w:p w14:paraId="7EF039C0" w14:textId="5254AEA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59.4</w:t>
            </w:r>
          </w:p>
        </w:tc>
        <w:tc>
          <w:tcPr>
            <w:tcW w:w="983" w:type="dxa"/>
            <w:shd w:val="clear" w:color="auto" w:fill="auto"/>
            <w:noWrap/>
            <w:vAlign w:val="center"/>
          </w:tcPr>
          <w:p w14:paraId="60E47E66" w14:textId="15BC209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054B8991" w14:textId="77777777" w:rsidTr="00A42307">
        <w:trPr>
          <w:gridAfter w:val="1"/>
          <w:wAfter w:w="35" w:type="dxa"/>
          <w:trHeight w:val="284"/>
          <w:jc w:val="center"/>
        </w:trPr>
        <w:tc>
          <w:tcPr>
            <w:tcW w:w="1020" w:type="dxa"/>
            <w:shd w:val="clear" w:color="auto" w:fill="F2F2F2" w:themeFill="background1" w:themeFillShade="F2"/>
            <w:noWrap/>
            <w:vAlign w:val="center"/>
          </w:tcPr>
          <w:p w14:paraId="68B5214A" w14:textId="6D3B335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07CB1596" w14:textId="132DA5C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CNDHE</w:t>
            </w:r>
          </w:p>
        </w:tc>
        <w:tc>
          <w:tcPr>
            <w:tcW w:w="3749" w:type="dxa"/>
            <w:shd w:val="clear" w:color="auto" w:fill="F2F2F2" w:themeFill="background1" w:themeFillShade="F2"/>
            <w:vAlign w:val="center"/>
          </w:tcPr>
          <w:p w14:paraId="1507DF15" w14:textId="593E02BC"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Censo Nacional de Derechos Humanos Estatal</w:t>
            </w:r>
          </w:p>
        </w:tc>
        <w:tc>
          <w:tcPr>
            <w:tcW w:w="1276" w:type="dxa"/>
            <w:shd w:val="clear" w:color="auto" w:fill="F2F2F2" w:themeFill="background1" w:themeFillShade="F2"/>
            <w:noWrap/>
            <w:vAlign w:val="center"/>
          </w:tcPr>
          <w:p w14:paraId="6A05D5F5" w14:textId="3AFBC3A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7CEE1415" w14:textId="678DEA4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F2F2F2" w:themeFill="background1" w:themeFillShade="F2"/>
            <w:noWrap/>
            <w:vAlign w:val="center"/>
          </w:tcPr>
          <w:p w14:paraId="5485620A" w14:textId="4A62B03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347.0</w:t>
            </w:r>
          </w:p>
        </w:tc>
        <w:tc>
          <w:tcPr>
            <w:tcW w:w="1276" w:type="dxa"/>
            <w:shd w:val="clear" w:color="auto" w:fill="F2F2F2" w:themeFill="background1" w:themeFillShade="F2"/>
            <w:noWrap/>
            <w:vAlign w:val="bottom"/>
          </w:tcPr>
          <w:p w14:paraId="1C0EEF94" w14:textId="470F0D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343</w:t>
            </w:r>
          </w:p>
        </w:tc>
        <w:tc>
          <w:tcPr>
            <w:tcW w:w="983" w:type="dxa"/>
            <w:shd w:val="clear" w:color="auto" w:fill="F2F2F2" w:themeFill="background1" w:themeFillShade="F2"/>
            <w:noWrap/>
            <w:vAlign w:val="center"/>
          </w:tcPr>
          <w:p w14:paraId="0409C15C" w14:textId="2791CA9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5D9EEA6A" w14:textId="77777777" w:rsidTr="00A42307">
        <w:trPr>
          <w:gridAfter w:val="1"/>
          <w:wAfter w:w="35" w:type="dxa"/>
          <w:trHeight w:val="284"/>
          <w:jc w:val="center"/>
        </w:trPr>
        <w:tc>
          <w:tcPr>
            <w:tcW w:w="1020" w:type="dxa"/>
            <w:shd w:val="clear" w:color="auto" w:fill="auto"/>
            <w:noWrap/>
            <w:vAlign w:val="center"/>
          </w:tcPr>
          <w:p w14:paraId="3DE93A6C" w14:textId="1F16D20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3773044C" w14:textId="498382E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CNDHF</w:t>
            </w:r>
          </w:p>
        </w:tc>
        <w:tc>
          <w:tcPr>
            <w:tcW w:w="3749" w:type="dxa"/>
            <w:shd w:val="clear" w:color="auto" w:fill="auto"/>
            <w:vAlign w:val="center"/>
          </w:tcPr>
          <w:p w14:paraId="5278A0E3" w14:textId="55427CA9"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Censo Nacional de Derechos Humanos Federal</w:t>
            </w:r>
          </w:p>
        </w:tc>
        <w:tc>
          <w:tcPr>
            <w:tcW w:w="1276" w:type="dxa"/>
            <w:shd w:val="clear" w:color="auto" w:fill="auto"/>
            <w:noWrap/>
            <w:vAlign w:val="center"/>
          </w:tcPr>
          <w:p w14:paraId="78C11707" w14:textId="72B552E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229D5D55" w14:textId="313B781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auto"/>
            <w:noWrap/>
            <w:vAlign w:val="center"/>
          </w:tcPr>
          <w:p w14:paraId="0A124E0A" w14:textId="517BA98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347.0</w:t>
            </w:r>
          </w:p>
        </w:tc>
        <w:tc>
          <w:tcPr>
            <w:tcW w:w="1276" w:type="dxa"/>
            <w:shd w:val="clear" w:color="auto" w:fill="auto"/>
            <w:noWrap/>
            <w:vAlign w:val="bottom"/>
          </w:tcPr>
          <w:p w14:paraId="7B488608" w14:textId="10248F3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343</w:t>
            </w:r>
          </w:p>
        </w:tc>
        <w:tc>
          <w:tcPr>
            <w:tcW w:w="983" w:type="dxa"/>
            <w:shd w:val="clear" w:color="auto" w:fill="auto"/>
            <w:noWrap/>
            <w:vAlign w:val="center"/>
          </w:tcPr>
          <w:p w14:paraId="284AEE26" w14:textId="6596262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12444464" w14:textId="77777777" w:rsidTr="00511C2C">
        <w:trPr>
          <w:gridAfter w:val="1"/>
          <w:wAfter w:w="35" w:type="dxa"/>
          <w:trHeight w:val="284"/>
          <w:jc w:val="center"/>
        </w:trPr>
        <w:tc>
          <w:tcPr>
            <w:tcW w:w="1020" w:type="dxa"/>
            <w:shd w:val="clear" w:color="auto" w:fill="F2F2F2" w:themeFill="background1" w:themeFillShade="F2"/>
            <w:noWrap/>
            <w:vAlign w:val="center"/>
          </w:tcPr>
          <w:p w14:paraId="3493D0B5" w14:textId="4C41F6A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5BA6E52" w14:textId="19A0AB7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F2F2F2" w:themeFill="background1" w:themeFillShade="F2"/>
            <w:vAlign w:val="center"/>
          </w:tcPr>
          <w:p w14:paraId="7C270CF6" w14:textId="43DE56DC"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del Trabajo no Remunerado de los Hogares de México</w:t>
            </w:r>
          </w:p>
        </w:tc>
        <w:tc>
          <w:tcPr>
            <w:tcW w:w="1276" w:type="dxa"/>
            <w:shd w:val="clear" w:color="auto" w:fill="F2F2F2" w:themeFill="background1" w:themeFillShade="F2"/>
            <w:noWrap/>
            <w:vAlign w:val="center"/>
          </w:tcPr>
          <w:p w14:paraId="01293D05" w14:textId="43B707F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2616A1D7" w14:textId="5FB98AF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4D4B7159" w14:textId="6C14DF5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345.0</w:t>
            </w:r>
          </w:p>
        </w:tc>
        <w:tc>
          <w:tcPr>
            <w:tcW w:w="1276" w:type="dxa"/>
            <w:shd w:val="clear" w:color="auto" w:fill="F2F2F2" w:themeFill="background1" w:themeFillShade="F2"/>
            <w:noWrap/>
            <w:vAlign w:val="center"/>
          </w:tcPr>
          <w:p w14:paraId="62484A2B" w14:textId="77C94D5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339.0</w:t>
            </w:r>
          </w:p>
        </w:tc>
        <w:tc>
          <w:tcPr>
            <w:tcW w:w="983" w:type="dxa"/>
            <w:shd w:val="clear" w:color="auto" w:fill="F2F2F2" w:themeFill="background1" w:themeFillShade="F2"/>
            <w:noWrap/>
            <w:vAlign w:val="center"/>
          </w:tcPr>
          <w:p w14:paraId="0A524C42" w14:textId="00A8238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60FED7D5" w14:textId="77777777" w:rsidTr="00A42307">
        <w:trPr>
          <w:gridAfter w:val="1"/>
          <w:wAfter w:w="35" w:type="dxa"/>
          <w:trHeight w:val="284"/>
          <w:jc w:val="center"/>
        </w:trPr>
        <w:tc>
          <w:tcPr>
            <w:tcW w:w="1020" w:type="dxa"/>
            <w:shd w:val="clear" w:color="auto" w:fill="auto"/>
            <w:noWrap/>
            <w:vAlign w:val="center"/>
          </w:tcPr>
          <w:p w14:paraId="60005D95" w14:textId="4D67925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0913123F" w14:textId="1965D21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CNSPF</w:t>
            </w:r>
          </w:p>
        </w:tc>
        <w:tc>
          <w:tcPr>
            <w:tcW w:w="3749" w:type="dxa"/>
            <w:shd w:val="clear" w:color="auto" w:fill="auto"/>
            <w:vAlign w:val="bottom"/>
          </w:tcPr>
          <w:p w14:paraId="3BAFAAB1" w14:textId="7239DAC0"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Calibri"/>
                <w:color w:val="000000"/>
                <w:sz w:val="16"/>
                <w:szCs w:val="16"/>
              </w:rPr>
              <w:t>Censo Nacional de Seguridad Pública federal</w:t>
            </w:r>
          </w:p>
        </w:tc>
        <w:tc>
          <w:tcPr>
            <w:tcW w:w="1276" w:type="dxa"/>
            <w:shd w:val="clear" w:color="auto" w:fill="auto"/>
            <w:noWrap/>
            <w:vAlign w:val="center"/>
          </w:tcPr>
          <w:p w14:paraId="5D341DCB" w14:textId="3089F78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Sin periodicidad definida</w:t>
            </w:r>
          </w:p>
        </w:tc>
        <w:tc>
          <w:tcPr>
            <w:tcW w:w="2977" w:type="dxa"/>
            <w:shd w:val="clear" w:color="auto" w:fill="auto"/>
            <w:noWrap/>
            <w:vAlign w:val="center"/>
          </w:tcPr>
          <w:p w14:paraId="3367D841" w14:textId="37E8DE2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31DFF17B" w14:textId="7B9FC3F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729.0</w:t>
            </w:r>
          </w:p>
        </w:tc>
        <w:tc>
          <w:tcPr>
            <w:tcW w:w="1276" w:type="dxa"/>
            <w:shd w:val="clear" w:color="auto" w:fill="auto"/>
            <w:noWrap/>
            <w:vAlign w:val="center"/>
          </w:tcPr>
          <w:p w14:paraId="773FDA8A" w14:textId="3B2E3C0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715.0</w:t>
            </w:r>
          </w:p>
        </w:tc>
        <w:tc>
          <w:tcPr>
            <w:tcW w:w="983" w:type="dxa"/>
            <w:shd w:val="clear" w:color="auto" w:fill="auto"/>
            <w:noWrap/>
            <w:vAlign w:val="center"/>
          </w:tcPr>
          <w:p w14:paraId="67AFDEAF" w14:textId="77C22CF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6808058" w14:textId="77777777" w:rsidTr="00A42307">
        <w:trPr>
          <w:gridAfter w:val="1"/>
          <w:wAfter w:w="35" w:type="dxa"/>
          <w:trHeight w:val="284"/>
          <w:jc w:val="center"/>
        </w:trPr>
        <w:tc>
          <w:tcPr>
            <w:tcW w:w="1020" w:type="dxa"/>
            <w:shd w:val="clear" w:color="auto" w:fill="F2F2F2" w:themeFill="background1" w:themeFillShade="F2"/>
            <w:noWrap/>
            <w:vAlign w:val="center"/>
          </w:tcPr>
          <w:p w14:paraId="2BAAF4AD" w14:textId="6F43D7B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587952B5" w14:textId="18B6AB1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CNIJF</w:t>
            </w:r>
          </w:p>
        </w:tc>
        <w:tc>
          <w:tcPr>
            <w:tcW w:w="3749" w:type="dxa"/>
            <w:shd w:val="clear" w:color="auto" w:fill="F2F2F2" w:themeFill="background1" w:themeFillShade="F2"/>
            <w:vAlign w:val="center"/>
          </w:tcPr>
          <w:p w14:paraId="4166DCFE" w14:textId="32CE930F"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Censo Nacional de Impartición de Justicia Federal</w:t>
            </w:r>
          </w:p>
        </w:tc>
        <w:tc>
          <w:tcPr>
            <w:tcW w:w="1276" w:type="dxa"/>
            <w:shd w:val="clear" w:color="auto" w:fill="F2F2F2" w:themeFill="background1" w:themeFillShade="F2"/>
            <w:noWrap/>
            <w:vAlign w:val="center"/>
          </w:tcPr>
          <w:p w14:paraId="2238E40D" w14:textId="39EC6A0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7B919026" w14:textId="3DACAEF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F2F2F2" w:themeFill="background1" w:themeFillShade="F2"/>
            <w:noWrap/>
            <w:vAlign w:val="center"/>
          </w:tcPr>
          <w:p w14:paraId="1A54024F" w14:textId="24C10F7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187.0</w:t>
            </w:r>
          </w:p>
        </w:tc>
        <w:tc>
          <w:tcPr>
            <w:tcW w:w="1276" w:type="dxa"/>
            <w:shd w:val="clear" w:color="auto" w:fill="F2F2F2" w:themeFill="background1" w:themeFillShade="F2"/>
            <w:noWrap/>
            <w:vAlign w:val="bottom"/>
          </w:tcPr>
          <w:p w14:paraId="23E957F5" w14:textId="1D7A80D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182</w:t>
            </w:r>
          </w:p>
        </w:tc>
        <w:tc>
          <w:tcPr>
            <w:tcW w:w="983" w:type="dxa"/>
            <w:shd w:val="clear" w:color="auto" w:fill="F2F2F2" w:themeFill="background1" w:themeFillShade="F2"/>
            <w:noWrap/>
            <w:vAlign w:val="center"/>
          </w:tcPr>
          <w:p w14:paraId="49E021E1" w14:textId="7FACF48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494113AD" w14:textId="77777777" w:rsidTr="00A42307">
        <w:trPr>
          <w:gridAfter w:val="1"/>
          <w:wAfter w:w="35" w:type="dxa"/>
          <w:trHeight w:val="284"/>
          <w:jc w:val="center"/>
        </w:trPr>
        <w:tc>
          <w:tcPr>
            <w:tcW w:w="1020" w:type="dxa"/>
            <w:shd w:val="clear" w:color="auto" w:fill="auto"/>
            <w:noWrap/>
            <w:vAlign w:val="center"/>
          </w:tcPr>
          <w:p w14:paraId="7AC86E02" w14:textId="292D724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76312BD9" w14:textId="4F86C1A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ETUP</w:t>
            </w:r>
          </w:p>
        </w:tc>
        <w:tc>
          <w:tcPr>
            <w:tcW w:w="3749" w:type="dxa"/>
            <w:shd w:val="clear" w:color="auto" w:fill="auto"/>
            <w:vAlign w:val="center"/>
          </w:tcPr>
          <w:p w14:paraId="576C1E0A" w14:textId="7FC0CB2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 de Transporte Urbano de Pasajeros</w:t>
            </w:r>
          </w:p>
        </w:tc>
        <w:tc>
          <w:tcPr>
            <w:tcW w:w="1276" w:type="dxa"/>
            <w:shd w:val="clear" w:color="auto" w:fill="auto"/>
            <w:noWrap/>
            <w:vAlign w:val="center"/>
          </w:tcPr>
          <w:p w14:paraId="69C9495C" w14:textId="223FB2E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6A10458E" w14:textId="00BEFFE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0D495173" w14:textId="3A6B9B9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40.0</w:t>
            </w:r>
          </w:p>
        </w:tc>
        <w:tc>
          <w:tcPr>
            <w:tcW w:w="1276" w:type="dxa"/>
            <w:shd w:val="clear" w:color="auto" w:fill="auto"/>
            <w:noWrap/>
            <w:vAlign w:val="bottom"/>
          </w:tcPr>
          <w:p w14:paraId="50C65BBA" w14:textId="4D3D519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38.8</w:t>
            </w:r>
          </w:p>
        </w:tc>
        <w:tc>
          <w:tcPr>
            <w:tcW w:w="983" w:type="dxa"/>
            <w:shd w:val="clear" w:color="auto" w:fill="auto"/>
            <w:noWrap/>
            <w:vAlign w:val="center"/>
          </w:tcPr>
          <w:p w14:paraId="64B9DC30" w14:textId="4470E43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48C4356E" w14:textId="77777777" w:rsidTr="00A42307">
        <w:trPr>
          <w:gridAfter w:val="1"/>
          <w:wAfter w:w="35" w:type="dxa"/>
          <w:trHeight w:val="284"/>
          <w:jc w:val="center"/>
        </w:trPr>
        <w:tc>
          <w:tcPr>
            <w:tcW w:w="1020" w:type="dxa"/>
            <w:shd w:val="clear" w:color="auto" w:fill="F2F2F2" w:themeFill="background1" w:themeFillShade="F2"/>
            <w:noWrap/>
            <w:vAlign w:val="center"/>
          </w:tcPr>
          <w:p w14:paraId="609C9F73" w14:textId="39EF758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739DE32E" w14:textId="327BD52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w:t>
            </w:r>
          </w:p>
        </w:tc>
        <w:tc>
          <w:tcPr>
            <w:tcW w:w="3749" w:type="dxa"/>
            <w:shd w:val="clear" w:color="auto" w:fill="F2F2F2" w:themeFill="background1" w:themeFillShade="F2"/>
            <w:vAlign w:val="center"/>
          </w:tcPr>
          <w:p w14:paraId="0B2144D7" w14:textId="53AD9D66"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Estadísticas sobre Museos </w:t>
            </w:r>
          </w:p>
        </w:tc>
        <w:tc>
          <w:tcPr>
            <w:tcW w:w="1276" w:type="dxa"/>
            <w:shd w:val="clear" w:color="auto" w:fill="F2F2F2" w:themeFill="background1" w:themeFillShade="F2"/>
            <w:noWrap/>
            <w:vAlign w:val="center"/>
          </w:tcPr>
          <w:p w14:paraId="165A9997" w14:textId="467C368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2CC2F326" w14:textId="2644EF8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4DF6C29C" w14:textId="3DA4D12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180.0</w:t>
            </w:r>
          </w:p>
        </w:tc>
        <w:tc>
          <w:tcPr>
            <w:tcW w:w="1276" w:type="dxa"/>
            <w:shd w:val="clear" w:color="auto" w:fill="F2F2F2" w:themeFill="background1" w:themeFillShade="F2"/>
            <w:noWrap/>
            <w:vAlign w:val="bottom"/>
          </w:tcPr>
          <w:p w14:paraId="0E94B14B" w14:textId="76F87BD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173</w:t>
            </w:r>
          </w:p>
        </w:tc>
        <w:tc>
          <w:tcPr>
            <w:tcW w:w="983" w:type="dxa"/>
            <w:shd w:val="clear" w:color="auto" w:fill="F2F2F2" w:themeFill="background1" w:themeFillShade="F2"/>
            <w:noWrap/>
            <w:vAlign w:val="center"/>
          </w:tcPr>
          <w:p w14:paraId="79623CD2" w14:textId="35B4BE0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28FB2671" w14:textId="77777777" w:rsidTr="00A42307">
        <w:trPr>
          <w:gridAfter w:val="1"/>
          <w:wAfter w:w="35" w:type="dxa"/>
          <w:trHeight w:val="284"/>
          <w:jc w:val="center"/>
        </w:trPr>
        <w:tc>
          <w:tcPr>
            <w:tcW w:w="1020" w:type="dxa"/>
            <w:shd w:val="clear" w:color="auto" w:fill="auto"/>
            <w:noWrap/>
            <w:vAlign w:val="center"/>
          </w:tcPr>
          <w:p w14:paraId="2A42A197" w14:textId="71EBE0C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593DF585" w14:textId="011BD76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CNPJE</w:t>
            </w:r>
          </w:p>
        </w:tc>
        <w:tc>
          <w:tcPr>
            <w:tcW w:w="3749" w:type="dxa"/>
            <w:shd w:val="clear" w:color="auto" w:fill="auto"/>
            <w:vAlign w:val="center"/>
          </w:tcPr>
          <w:p w14:paraId="3900DD16" w14:textId="2423C72A"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Censo Nacional de Procuración de Justicia Estatal</w:t>
            </w:r>
          </w:p>
        </w:tc>
        <w:tc>
          <w:tcPr>
            <w:tcW w:w="1276" w:type="dxa"/>
            <w:shd w:val="clear" w:color="auto" w:fill="auto"/>
            <w:noWrap/>
            <w:vAlign w:val="center"/>
          </w:tcPr>
          <w:p w14:paraId="712E72CD" w14:textId="0B9C5EF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1DF70C33" w14:textId="08F309E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auto"/>
            <w:noWrap/>
            <w:vAlign w:val="center"/>
          </w:tcPr>
          <w:p w14:paraId="299BBF65" w14:textId="6ECE88B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300.0</w:t>
            </w:r>
          </w:p>
        </w:tc>
        <w:tc>
          <w:tcPr>
            <w:tcW w:w="1276" w:type="dxa"/>
            <w:shd w:val="clear" w:color="auto" w:fill="auto"/>
            <w:noWrap/>
            <w:vAlign w:val="bottom"/>
          </w:tcPr>
          <w:p w14:paraId="570A4860" w14:textId="045EB3E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286</w:t>
            </w:r>
          </w:p>
        </w:tc>
        <w:tc>
          <w:tcPr>
            <w:tcW w:w="983" w:type="dxa"/>
            <w:shd w:val="clear" w:color="auto" w:fill="auto"/>
            <w:noWrap/>
            <w:vAlign w:val="center"/>
          </w:tcPr>
          <w:p w14:paraId="40877E0A" w14:textId="402751D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3838D2F9" w14:textId="77777777" w:rsidTr="00A42307">
        <w:trPr>
          <w:gridAfter w:val="1"/>
          <w:wAfter w:w="35" w:type="dxa"/>
          <w:trHeight w:val="284"/>
          <w:jc w:val="center"/>
        </w:trPr>
        <w:tc>
          <w:tcPr>
            <w:tcW w:w="1020" w:type="dxa"/>
            <w:shd w:val="clear" w:color="auto" w:fill="F2F2F2" w:themeFill="background1" w:themeFillShade="F2"/>
            <w:noWrap/>
            <w:vAlign w:val="center"/>
          </w:tcPr>
          <w:p w14:paraId="45FE8A9A" w14:textId="3F7BB18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51180FB5" w14:textId="0756244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CNPJF</w:t>
            </w:r>
          </w:p>
        </w:tc>
        <w:tc>
          <w:tcPr>
            <w:tcW w:w="3749" w:type="dxa"/>
            <w:shd w:val="clear" w:color="auto" w:fill="F2F2F2" w:themeFill="background1" w:themeFillShade="F2"/>
            <w:vAlign w:val="bottom"/>
          </w:tcPr>
          <w:p w14:paraId="231F83D3" w14:textId="0EBB171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Calibri"/>
                <w:color w:val="000000"/>
                <w:sz w:val="16"/>
                <w:szCs w:val="16"/>
              </w:rPr>
              <w:t>Censo Nacional de Procuración de Justicia Federal 2022</w:t>
            </w:r>
          </w:p>
        </w:tc>
        <w:tc>
          <w:tcPr>
            <w:tcW w:w="1276" w:type="dxa"/>
            <w:shd w:val="clear" w:color="auto" w:fill="F2F2F2" w:themeFill="background1" w:themeFillShade="F2"/>
            <w:noWrap/>
            <w:vAlign w:val="center"/>
          </w:tcPr>
          <w:p w14:paraId="0B10ECCE" w14:textId="3A713F3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Sin periodicidad definida</w:t>
            </w:r>
          </w:p>
        </w:tc>
        <w:tc>
          <w:tcPr>
            <w:tcW w:w="2977" w:type="dxa"/>
            <w:shd w:val="clear" w:color="auto" w:fill="F2F2F2" w:themeFill="background1" w:themeFillShade="F2"/>
            <w:noWrap/>
            <w:vAlign w:val="center"/>
          </w:tcPr>
          <w:p w14:paraId="23594253" w14:textId="25922E5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3252396D" w14:textId="74089CE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300.0</w:t>
            </w:r>
          </w:p>
        </w:tc>
        <w:tc>
          <w:tcPr>
            <w:tcW w:w="1276" w:type="dxa"/>
            <w:shd w:val="clear" w:color="auto" w:fill="F2F2F2" w:themeFill="background1" w:themeFillShade="F2"/>
            <w:noWrap/>
            <w:vAlign w:val="center"/>
          </w:tcPr>
          <w:p w14:paraId="1771EB2F" w14:textId="0977B62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286.0</w:t>
            </w:r>
          </w:p>
        </w:tc>
        <w:tc>
          <w:tcPr>
            <w:tcW w:w="983" w:type="dxa"/>
            <w:shd w:val="clear" w:color="auto" w:fill="F2F2F2" w:themeFill="background1" w:themeFillShade="F2"/>
            <w:noWrap/>
            <w:vAlign w:val="center"/>
          </w:tcPr>
          <w:p w14:paraId="085822B9" w14:textId="5093385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0.0</w:t>
            </w:r>
          </w:p>
        </w:tc>
      </w:tr>
      <w:tr w:rsidR="00511C2C" w:rsidRPr="009A501D" w14:paraId="4F77FE3F" w14:textId="77777777" w:rsidTr="00511C2C">
        <w:trPr>
          <w:gridAfter w:val="1"/>
          <w:wAfter w:w="35" w:type="dxa"/>
          <w:trHeight w:val="284"/>
          <w:jc w:val="center"/>
        </w:trPr>
        <w:tc>
          <w:tcPr>
            <w:tcW w:w="1020" w:type="dxa"/>
            <w:shd w:val="clear" w:color="auto" w:fill="auto"/>
            <w:noWrap/>
            <w:vAlign w:val="center"/>
          </w:tcPr>
          <w:p w14:paraId="77026409" w14:textId="3AE5B42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31C49559" w14:textId="193D25B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CBSPR</w:t>
            </w:r>
          </w:p>
        </w:tc>
        <w:tc>
          <w:tcPr>
            <w:tcW w:w="3749" w:type="dxa"/>
            <w:shd w:val="clear" w:color="auto" w:fill="auto"/>
            <w:vAlign w:val="center"/>
          </w:tcPr>
          <w:p w14:paraId="5DA23658" w14:textId="59DDC13D"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Cuentas de Bienes y </w:t>
            </w:r>
            <w:proofErr w:type="spellStart"/>
            <w:r w:rsidRPr="009A501D">
              <w:rPr>
                <w:rFonts w:ascii="Century Gothic" w:hAnsi="Century Gothic" w:cs="Arial"/>
                <w:sz w:val="16"/>
                <w:szCs w:val="16"/>
              </w:rPr>
              <w:t>Servicios.Preliminar</w:t>
            </w:r>
            <w:proofErr w:type="spellEnd"/>
          </w:p>
        </w:tc>
        <w:tc>
          <w:tcPr>
            <w:tcW w:w="1276" w:type="dxa"/>
            <w:shd w:val="clear" w:color="auto" w:fill="auto"/>
            <w:noWrap/>
            <w:vAlign w:val="center"/>
          </w:tcPr>
          <w:p w14:paraId="330BC4F5" w14:textId="2B4B2B7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658FAF90" w14:textId="7DD0043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auto"/>
            <w:noWrap/>
            <w:vAlign w:val="center"/>
          </w:tcPr>
          <w:p w14:paraId="544F08DE" w14:textId="303EBFD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300.0</w:t>
            </w:r>
          </w:p>
        </w:tc>
        <w:tc>
          <w:tcPr>
            <w:tcW w:w="1276" w:type="dxa"/>
            <w:shd w:val="clear" w:color="auto" w:fill="auto"/>
            <w:noWrap/>
            <w:vAlign w:val="center"/>
          </w:tcPr>
          <w:p w14:paraId="77141984" w14:textId="7251AF4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276.0</w:t>
            </w:r>
          </w:p>
        </w:tc>
        <w:tc>
          <w:tcPr>
            <w:tcW w:w="983" w:type="dxa"/>
            <w:shd w:val="clear" w:color="auto" w:fill="auto"/>
            <w:noWrap/>
            <w:vAlign w:val="center"/>
          </w:tcPr>
          <w:p w14:paraId="5923DA3B" w14:textId="42BE4EB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66336900" w14:textId="77777777" w:rsidTr="00A42307">
        <w:trPr>
          <w:gridAfter w:val="1"/>
          <w:wAfter w:w="35" w:type="dxa"/>
          <w:trHeight w:val="284"/>
          <w:jc w:val="center"/>
        </w:trPr>
        <w:tc>
          <w:tcPr>
            <w:tcW w:w="1020" w:type="dxa"/>
            <w:shd w:val="clear" w:color="auto" w:fill="F2F2F2" w:themeFill="background1" w:themeFillShade="F2"/>
            <w:noWrap/>
            <w:vAlign w:val="center"/>
          </w:tcPr>
          <w:p w14:paraId="4961978B" w14:textId="19DFDD5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3FFF9579" w14:textId="3C3A1D6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INPP</w:t>
            </w:r>
          </w:p>
        </w:tc>
        <w:tc>
          <w:tcPr>
            <w:tcW w:w="3749" w:type="dxa"/>
            <w:shd w:val="clear" w:color="auto" w:fill="F2F2F2" w:themeFill="background1" w:themeFillShade="F2"/>
            <w:vAlign w:val="center"/>
          </w:tcPr>
          <w:p w14:paraId="4B1624F6" w14:textId="1C87D6DC"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Índice Nacional de Precios Productor</w:t>
            </w:r>
          </w:p>
        </w:tc>
        <w:tc>
          <w:tcPr>
            <w:tcW w:w="1276" w:type="dxa"/>
            <w:shd w:val="clear" w:color="auto" w:fill="F2F2F2" w:themeFill="background1" w:themeFillShade="F2"/>
            <w:noWrap/>
            <w:vAlign w:val="center"/>
          </w:tcPr>
          <w:p w14:paraId="2B94E1B0" w14:textId="224A7DD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09A2DB22" w14:textId="1ECAFC6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47BD51B0" w14:textId="6C42881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w:t>
            </w:r>
          </w:p>
        </w:tc>
        <w:tc>
          <w:tcPr>
            <w:tcW w:w="1276" w:type="dxa"/>
            <w:shd w:val="clear" w:color="auto" w:fill="F2F2F2" w:themeFill="background1" w:themeFillShade="F2"/>
            <w:noWrap/>
            <w:vAlign w:val="bottom"/>
          </w:tcPr>
          <w:p w14:paraId="44F39877" w14:textId="4F6C81F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8.3</w:t>
            </w:r>
          </w:p>
        </w:tc>
        <w:tc>
          <w:tcPr>
            <w:tcW w:w="983" w:type="dxa"/>
            <w:shd w:val="clear" w:color="auto" w:fill="F2F2F2" w:themeFill="background1" w:themeFillShade="F2"/>
            <w:noWrap/>
            <w:vAlign w:val="center"/>
          </w:tcPr>
          <w:p w14:paraId="502CEAAA" w14:textId="10C210C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32835A09" w14:textId="77777777" w:rsidTr="00511C2C">
        <w:trPr>
          <w:gridAfter w:val="1"/>
          <w:wAfter w:w="35" w:type="dxa"/>
          <w:trHeight w:val="284"/>
          <w:jc w:val="center"/>
        </w:trPr>
        <w:tc>
          <w:tcPr>
            <w:tcW w:w="1020" w:type="dxa"/>
            <w:shd w:val="clear" w:color="auto" w:fill="auto"/>
            <w:noWrap/>
            <w:vAlign w:val="center"/>
          </w:tcPr>
          <w:p w14:paraId="5D501EC2" w14:textId="000AA9C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65B8D8AF" w14:textId="341F874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auto"/>
            <w:vAlign w:val="center"/>
          </w:tcPr>
          <w:p w14:paraId="7F5D941A" w14:textId="389504FC"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Oferta y Utilización Trimestral (OUT). Precios Constantes y Corrientes</w:t>
            </w:r>
          </w:p>
        </w:tc>
        <w:tc>
          <w:tcPr>
            <w:tcW w:w="1276" w:type="dxa"/>
            <w:shd w:val="clear" w:color="auto" w:fill="auto"/>
            <w:noWrap/>
            <w:vAlign w:val="center"/>
          </w:tcPr>
          <w:p w14:paraId="4407A42E" w14:textId="47ED116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auto"/>
            <w:noWrap/>
            <w:vAlign w:val="center"/>
          </w:tcPr>
          <w:p w14:paraId="74324090" w14:textId="6CC0D4A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auto"/>
            <w:noWrap/>
            <w:vAlign w:val="center"/>
          </w:tcPr>
          <w:p w14:paraId="46E3DBEF" w14:textId="3CAA4A9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90.0</w:t>
            </w:r>
          </w:p>
        </w:tc>
        <w:tc>
          <w:tcPr>
            <w:tcW w:w="1276" w:type="dxa"/>
            <w:shd w:val="clear" w:color="auto" w:fill="auto"/>
            <w:noWrap/>
            <w:vAlign w:val="center"/>
          </w:tcPr>
          <w:p w14:paraId="2E7930F9" w14:textId="6BFCEA9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82.0</w:t>
            </w:r>
          </w:p>
        </w:tc>
        <w:tc>
          <w:tcPr>
            <w:tcW w:w="983" w:type="dxa"/>
            <w:shd w:val="clear" w:color="auto" w:fill="auto"/>
            <w:noWrap/>
            <w:vAlign w:val="center"/>
          </w:tcPr>
          <w:p w14:paraId="7A588F6E" w14:textId="60C1356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7AD833EA" w14:textId="77777777" w:rsidTr="00511C2C">
        <w:trPr>
          <w:gridAfter w:val="1"/>
          <w:wAfter w:w="35" w:type="dxa"/>
          <w:trHeight w:val="284"/>
          <w:jc w:val="center"/>
        </w:trPr>
        <w:tc>
          <w:tcPr>
            <w:tcW w:w="1020" w:type="dxa"/>
            <w:shd w:val="clear" w:color="auto" w:fill="F2F2F2" w:themeFill="background1" w:themeFillShade="F2"/>
            <w:noWrap/>
            <w:vAlign w:val="center"/>
          </w:tcPr>
          <w:p w14:paraId="7421D479" w14:textId="6F2A2B8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50E1118E" w14:textId="3FD57B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F2F2F2" w:themeFill="background1" w:themeFillShade="F2"/>
            <w:vAlign w:val="center"/>
          </w:tcPr>
          <w:p w14:paraId="656B4821" w14:textId="7BE0FF0B"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 Trimestral de Ahorro Bruto (ITAB) Año base 2013</w:t>
            </w:r>
          </w:p>
        </w:tc>
        <w:tc>
          <w:tcPr>
            <w:tcW w:w="1276" w:type="dxa"/>
            <w:shd w:val="clear" w:color="auto" w:fill="F2F2F2" w:themeFill="background1" w:themeFillShade="F2"/>
            <w:noWrap/>
            <w:vAlign w:val="center"/>
          </w:tcPr>
          <w:p w14:paraId="5FBB0822" w14:textId="01A53E5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2533DAA4" w14:textId="3B552E1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F2F2F2" w:themeFill="background1" w:themeFillShade="F2"/>
            <w:noWrap/>
            <w:vAlign w:val="center"/>
          </w:tcPr>
          <w:p w14:paraId="51579AB2" w14:textId="4DD6728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90.0</w:t>
            </w:r>
          </w:p>
        </w:tc>
        <w:tc>
          <w:tcPr>
            <w:tcW w:w="1276" w:type="dxa"/>
            <w:shd w:val="clear" w:color="auto" w:fill="F2F2F2" w:themeFill="background1" w:themeFillShade="F2"/>
            <w:noWrap/>
            <w:vAlign w:val="center"/>
          </w:tcPr>
          <w:p w14:paraId="28D685B1" w14:textId="36F3F37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82.0</w:t>
            </w:r>
          </w:p>
        </w:tc>
        <w:tc>
          <w:tcPr>
            <w:tcW w:w="983" w:type="dxa"/>
            <w:shd w:val="clear" w:color="auto" w:fill="F2F2F2" w:themeFill="background1" w:themeFillShade="F2"/>
            <w:noWrap/>
            <w:vAlign w:val="center"/>
          </w:tcPr>
          <w:p w14:paraId="48D3A7C6" w14:textId="47CF067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71E9A8D5" w14:textId="77777777" w:rsidTr="00A42307">
        <w:trPr>
          <w:gridAfter w:val="1"/>
          <w:wAfter w:w="35" w:type="dxa"/>
          <w:trHeight w:val="284"/>
          <w:jc w:val="center"/>
        </w:trPr>
        <w:tc>
          <w:tcPr>
            <w:tcW w:w="1020" w:type="dxa"/>
            <w:shd w:val="clear" w:color="auto" w:fill="auto"/>
            <w:noWrap/>
            <w:vAlign w:val="center"/>
          </w:tcPr>
          <w:p w14:paraId="534C81CE" w14:textId="6C373FC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lastRenderedPageBreak/>
              <w:t>DGEGSPJ</w:t>
            </w:r>
          </w:p>
        </w:tc>
        <w:tc>
          <w:tcPr>
            <w:tcW w:w="1265" w:type="dxa"/>
            <w:shd w:val="clear" w:color="auto" w:fill="auto"/>
            <w:noWrap/>
            <w:vAlign w:val="center"/>
          </w:tcPr>
          <w:p w14:paraId="391CA7F5" w14:textId="1E973CA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ENSU</w:t>
            </w:r>
          </w:p>
        </w:tc>
        <w:tc>
          <w:tcPr>
            <w:tcW w:w="3749" w:type="dxa"/>
            <w:shd w:val="clear" w:color="auto" w:fill="auto"/>
            <w:vAlign w:val="center"/>
          </w:tcPr>
          <w:p w14:paraId="1B643FF7" w14:textId="2AFF319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Nacional de Seguridad Pública Urbana (ENSU)</w:t>
            </w:r>
          </w:p>
        </w:tc>
        <w:tc>
          <w:tcPr>
            <w:tcW w:w="1276" w:type="dxa"/>
            <w:shd w:val="clear" w:color="auto" w:fill="auto"/>
            <w:noWrap/>
            <w:vAlign w:val="center"/>
          </w:tcPr>
          <w:p w14:paraId="6FF6B806" w14:textId="1B1DE33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auto"/>
            <w:noWrap/>
            <w:vAlign w:val="center"/>
          </w:tcPr>
          <w:p w14:paraId="66FEC174" w14:textId="64A296C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565061F8" w14:textId="4C7E924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21.0</w:t>
            </w:r>
          </w:p>
        </w:tc>
        <w:tc>
          <w:tcPr>
            <w:tcW w:w="1276" w:type="dxa"/>
            <w:shd w:val="clear" w:color="auto" w:fill="auto"/>
            <w:noWrap/>
            <w:vAlign w:val="bottom"/>
          </w:tcPr>
          <w:p w14:paraId="64CB5756" w14:textId="2EBD922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18.8</w:t>
            </w:r>
          </w:p>
        </w:tc>
        <w:tc>
          <w:tcPr>
            <w:tcW w:w="983" w:type="dxa"/>
            <w:shd w:val="clear" w:color="auto" w:fill="auto"/>
            <w:noWrap/>
            <w:vAlign w:val="center"/>
          </w:tcPr>
          <w:p w14:paraId="67E25BD3" w14:textId="399D4B3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2570EF92" w14:textId="77777777" w:rsidTr="00A42307">
        <w:trPr>
          <w:gridAfter w:val="1"/>
          <w:wAfter w:w="35" w:type="dxa"/>
          <w:trHeight w:val="284"/>
          <w:jc w:val="center"/>
        </w:trPr>
        <w:tc>
          <w:tcPr>
            <w:tcW w:w="1020" w:type="dxa"/>
            <w:shd w:val="clear" w:color="auto" w:fill="F2F2F2" w:themeFill="background1" w:themeFillShade="F2"/>
            <w:noWrap/>
            <w:vAlign w:val="center"/>
          </w:tcPr>
          <w:p w14:paraId="2BFEE4E6" w14:textId="625A934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DGIAI</w:t>
            </w:r>
          </w:p>
        </w:tc>
        <w:tc>
          <w:tcPr>
            <w:tcW w:w="1265" w:type="dxa"/>
            <w:shd w:val="clear" w:color="auto" w:fill="F2F2F2" w:themeFill="background1" w:themeFillShade="F2"/>
            <w:noWrap/>
            <w:vAlign w:val="center"/>
          </w:tcPr>
          <w:p w14:paraId="6CA00639" w14:textId="47D0198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SIC</w:t>
            </w:r>
          </w:p>
        </w:tc>
        <w:tc>
          <w:tcPr>
            <w:tcW w:w="3749" w:type="dxa"/>
            <w:shd w:val="clear" w:color="auto" w:fill="F2F2F2" w:themeFill="background1" w:themeFillShade="F2"/>
            <w:vAlign w:val="center"/>
          </w:tcPr>
          <w:p w14:paraId="521B9B29" w14:textId="156F2B2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Sistema de Indicadores Cíclicos</w:t>
            </w:r>
          </w:p>
        </w:tc>
        <w:tc>
          <w:tcPr>
            <w:tcW w:w="1276" w:type="dxa"/>
            <w:shd w:val="clear" w:color="auto" w:fill="F2F2F2" w:themeFill="background1" w:themeFillShade="F2"/>
            <w:noWrap/>
            <w:vAlign w:val="center"/>
          </w:tcPr>
          <w:p w14:paraId="081C67D0" w14:textId="64D64C7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44C749F7" w14:textId="0C40ED1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O - Otro</w:t>
            </w:r>
          </w:p>
        </w:tc>
        <w:tc>
          <w:tcPr>
            <w:tcW w:w="1559" w:type="dxa"/>
            <w:shd w:val="clear" w:color="auto" w:fill="F2F2F2" w:themeFill="background1" w:themeFillShade="F2"/>
            <w:noWrap/>
            <w:vAlign w:val="center"/>
          </w:tcPr>
          <w:p w14:paraId="2C6D536F" w14:textId="31D36B9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60.0</w:t>
            </w:r>
          </w:p>
        </w:tc>
        <w:tc>
          <w:tcPr>
            <w:tcW w:w="1276" w:type="dxa"/>
            <w:shd w:val="clear" w:color="auto" w:fill="F2F2F2" w:themeFill="background1" w:themeFillShade="F2"/>
            <w:noWrap/>
            <w:vAlign w:val="bottom"/>
          </w:tcPr>
          <w:p w14:paraId="7926A6D5" w14:textId="16D40FA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53.3</w:t>
            </w:r>
          </w:p>
        </w:tc>
        <w:tc>
          <w:tcPr>
            <w:tcW w:w="983" w:type="dxa"/>
            <w:shd w:val="clear" w:color="auto" w:fill="F2F2F2" w:themeFill="background1" w:themeFillShade="F2"/>
            <w:noWrap/>
            <w:vAlign w:val="center"/>
          </w:tcPr>
          <w:p w14:paraId="5ADB2D97" w14:textId="6068195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0.1</w:t>
            </w:r>
          </w:p>
        </w:tc>
      </w:tr>
      <w:tr w:rsidR="00511C2C" w:rsidRPr="009A501D" w14:paraId="0A87439A" w14:textId="77777777" w:rsidTr="00511C2C">
        <w:trPr>
          <w:gridAfter w:val="1"/>
          <w:wAfter w:w="35" w:type="dxa"/>
          <w:trHeight w:val="284"/>
          <w:jc w:val="center"/>
        </w:trPr>
        <w:tc>
          <w:tcPr>
            <w:tcW w:w="1020" w:type="dxa"/>
            <w:shd w:val="clear" w:color="auto" w:fill="auto"/>
            <w:noWrap/>
            <w:vAlign w:val="center"/>
          </w:tcPr>
          <w:p w14:paraId="78A37539" w14:textId="14A0B22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31D50CF6" w14:textId="73DFB86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EMOE</w:t>
            </w:r>
          </w:p>
        </w:tc>
        <w:tc>
          <w:tcPr>
            <w:tcW w:w="3749" w:type="dxa"/>
            <w:shd w:val="clear" w:color="auto" w:fill="auto"/>
            <w:vAlign w:val="center"/>
          </w:tcPr>
          <w:p w14:paraId="555EF994" w14:textId="68B1CAF0"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 de Pedidos Manufactureros</w:t>
            </w:r>
          </w:p>
        </w:tc>
        <w:tc>
          <w:tcPr>
            <w:tcW w:w="1276" w:type="dxa"/>
            <w:shd w:val="clear" w:color="auto" w:fill="auto"/>
            <w:noWrap/>
            <w:vAlign w:val="center"/>
          </w:tcPr>
          <w:p w14:paraId="37999628" w14:textId="07C347B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1A224BE2" w14:textId="69A2C18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30C5DE4A" w14:textId="23E6F23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2.0</w:t>
            </w:r>
          </w:p>
        </w:tc>
        <w:tc>
          <w:tcPr>
            <w:tcW w:w="1276" w:type="dxa"/>
            <w:shd w:val="clear" w:color="auto" w:fill="auto"/>
            <w:noWrap/>
            <w:vAlign w:val="center"/>
          </w:tcPr>
          <w:p w14:paraId="31ED97C6" w14:textId="6DE62AB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1.7</w:t>
            </w:r>
          </w:p>
        </w:tc>
        <w:tc>
          <w:tcPr>
            <w:tcW w:w="983" w:type="dxa"/>
            <w:shd w:val="clear" w:color="auto" w:fill="auto"/>
            <w:noWrap/>
            <w:vAlign w:val="center"/>
          </w:tcPr>
          <w:p w14:paraId="02E44713" w14:textId="3200FA4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1C6F27F3" w14:textId="77777777" w:rsidTr="00A42307">
        <w:trPr>
          <w:gridAfter w:val="1"/>
          <w:wAfter w:w="35" w:type="dxa"/>
          <w:trHeight w:val="284"/>
          <w:jc w:val="center"/>
        </w:trPr>
        <w:tc>
          <w:tcPr>
            <w:tcW w:w="1020" w:type="dxa"/>
            <w:shd w:val="clear" w:color="auto" w:fill="F2F2F2" w:themeFill="background1" w:themeFillShade="F2"/>
            <w:noWrap/>
            <w:vAlign w:val="center"/>
          </w:tcPr>
          <w:p w14:paraId="0239180F" w14:textId="6A8D78B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635CA8E4" w14:textId="505DBE6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EMOE</w:t>
            </w:r>
          </w:p>
        </w:tc>
        <w:tc>
          <w:tcPr>
            <w:tcW w:w="3749" w:type="dxa"/>
            <w:shd w:val="clear" w:color="auto" w:fill="F2F2F2" w:themeFill="background1" w:themeFillShade="F2"/>
            <w:vAlign w:val="center"/>
          </w:tcPr>
          <w:p w14:paraId="74C81F47" w14:textId="375F5EA6"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Confianza Empresarial</w:t>
            </w:r>
          </w:p>
        </w:tc>
        <w:tc>
          <w:tcPr>
            <w:tcW w:w="1276" w:type="dxa"/>
            <w:shd w:val="clear" w:color="auto" w:fill="F2F2F2" w:themeFill="background1" w:themeFillShade="F2"/>
            <w:noWrap/>
            <w:vAlign w:val="center"/>
          </w:tcPr>
          <w:p w14:paraId="3C64D8AF" w14:textId="60BED43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03D98F04" w14:textId="13E0B1A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4C502CF9" w14:textId="2E0D165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2.0</w:t>
            </w:r>
          </w:p>
        </w:tc>
        <w:tc>
          <w:tcPr>
            <w:tcW w:w="1276" w:type="dxa"/>
            <w:shd w:val="clear" w:color="auto" w:fill="F2F2F2" w:themeFill="background1" w:themeFillShade="F2"/>
            <w:noWrap/>
            <w:vAlign w:val="bottom"/>
          </w:tcPr>
          <w:p w14:paraId="3ADA1FDA" w14:textId="471DB41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1.67</w:t>
            </w:r>
          </w:p>
        </w:tc>
        <w:tc>
          <w:tcPr>
            <w:tcW w:w="983" w:type="dxa"/>
            <w:shd w:val="clear" w:color="auto" w:fill="F2F2F2" w:themeFill="background1" w:themeFillShade="F2"/>
            <w:noWrap/>
            <w:vAlign w:val="center"/>
          </w:tcPr>
          <w:p w14:paraId="5D04CE67" w14:textId="59926C3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40F32F34" w14:textId="77777777" w:rsidTr="00A42307">
        <w:trPr>
          <w:gridAfter w:val="1"/>
          <w:wAfter w:w="35" w:type="dxa"/>
          <w:trHeight w:val="284"/>
          <w:jc w:val="center"/>
        </w:trPr>
        <w:tc>
          <w:tcPr>
            <w:tcW w:w="1020" w:type="dxa"/>
            <w:shd w:val="clear" w:color="auto" w:fill="auto"/>
            <w:noWrap/>
            <w:vAlign w:val="center"/>
          </w:tcPr>
          <w:p w14:paraId="6F5C69A5" w14:textId="614F152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474DCD03" w14:textId="31EAA34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INPC</w:t>
            </w:r>
          </w:p>
        </w:tc>
        <w:tc>
          <w:tcPr>
            <w:tcW w:w="3749" w:type="dxa"/>
            <w:shd w:val="clear" w:color="auto" w:fill="auto"/>
            <w:vAlign w:val="center"/>
          </w:tcPr>
          <w:p w14:paraId="0EBEBF7D" w14:textId="118794AC"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Índice Nacional de Precios al Consumidor, 2ª quincena y mensual</w:t>
            </w:r>
          </w:p>
        </w:tc>
        <w:tc>
          <w:tcPr>
            <w:tcW w:w="1276" w:type="dxa"/>
            <w:shd w:val="clear" w:color="auto" w:fill="auto"/>
            <w:noWrap/>
            <w:vAlign w:val="center"/>
          </w:tcPr>
          <w:p w14:paraId="46C4D841" w14:textId="195F39D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 xml:space="preserve">Mensual </w:t>
            </w:r>
          </w:p>
        </w:tc>
        <w:tc>
          <w:tcPr>
            <w:tcW w:w="2977" w:type="dxa"/>
            <w:shd w:val="clear" w:color="auto" w:fill="auto"/>
            <w:noWrap/>
            <w:vAlign w:val="center"/>
          </w:tcPr>
          <w:p w14:paraId="08A91826" w14:textId="753ABF2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P - Política/Regulación nacional</w:t>
            </w:r>
          </w:p>
        </w:tc>
        <w:tc>
          <w:tcPr>
            <w:tcW w:w="1559" w:type="dxa"/>
            <w:shd w:val="clear" w:color="auto" w:fill="auto"/>
            <w:noWrap/>
            <w:vAlign w:val="center"/>
          </w:tcPr>
          <w:p w14:paraId="5A1017CF" w14:textId="69C4110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10.0</w:t>
            </w:r>
          </w:p>
        </w:tc>
        <w:tc>
          <w:tcPr>
            <w:tcW w:w="1276" w:type="dxa"/>
            <w:shd w:val="clear" w:color="auto" w:fill="auto"/>
            <w:noWrap/>
            <w:vAlign w:val="bottom"/>
          </w:tcPr>
          <w:p w14:paraId="366E4E45" w14:textId="21CE666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8.3</w:t>
            </w:r>
          </w:p>
        </w:tc>
        <w:tc>
          <w:tcPr>
            <w:tcW w:w="983" w:type="dxa"/>
            <w:shd w:val="clear" w:color="auto" w:fill="auto"/>
            <w:noWrap/>
            <w:vAlign w:val="center"/>
          </w:tcPr>
          <w:p w14:paraId="40BD8063" w14:textId="063B58F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775338DC" w14:textId="77777777" w:rsidTr="00A42307">
        <w:trPr>
          <w:gridAfter w:val="1"/>
          <w:wAfter w:w="35" w:type="dxa"/>
          <w:trHeight w:val="284"/>
          <w:jc w:val="center"/>
        </w:trPr>
        <w:tc>
          <w:tcPr>
            <w:tcW w:w="1020" w:type="dxa"/>
            <w:shd w:val="clear" w:color="auto" w:fill="F2F2F2" w:themeFill="background1" w:themeFillShade="F2"/>
            <w:noWrap/>
            <w:vAlign w:val="center"/>
          </w:tcPr>
          <w:p w14:paraId="4C66C48B" w14:textId="2DD16DA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1D8EDC7E" w14:textId="56694D2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ENCIG</w:t>
            </w:r>
          </w:p>
        </w:tc>
        <w:tc>
          <w:tcPr>
            <w:tcW w:w="3749" w:type="dxa"/>
            <w:shd w:val="clear" w:color="auto" w:fill="F2F2F2" w:themeFill="background1" w:themeFillShade="F2"/>
            <w:vAlign w:val="center"/>
          </w:tcPr>
          <w:p w14:paraId="0CAD9901" w14:textId="20C2B48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Nacional de Calidad e Impacto Gubernamental (ENCIG)</w:t>
            </w:r>
          </w:p>
        </w:tc>
        <w:tc>
          <w:tcPr>
            <w:tcW w:w="1276" w:type="dxa"/>
            <w:shd w:val="clear" w:color="auto" w:fill="F2F2F2" w:themeFill="background1" w:themeFillShade="F2"/>
            <w:noWrap/>
            <w:vAlign w:val="center"/>
          </w:tcPr>
          <w:p w14:paraId="7AD37CEC" w14:textId="6895731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Bienal</w:t>
            </w:r>
          </w:p>
        </w:tc>
        <w:tc>
          <w:tcPr>
            <w:tcW w:w="2977" w:type="dxa"/>
            <w:shd w:val="clear" w:color="auto" w:fill="F2F2F2" w:themeFill="background1" w:themeFillShade="F2"/>
            <w:noWrap/>
            <w:vAlign w:val="center"/>
          </w:tcPr>
          <w:p w14:paraId="1E6C6777" w14:textId="486C37F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3FCA1247" w14:textId="7AAB713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176.0</w:t>
            </w:r>
          </w:p>
        </w:tc>
        <w:tc>
          <w:tcPr>
            <w:tcW w:w="1276" w:type="dxa"/>
            <w:shd w:val="clear" w:color="auto" w:fill="F2F2F2" w:themeFill="background1" w:themeFillShade="F2"/>
            <w:noWrap/>
            <w:vAlign w:val="bottom"/>
          </w:tcPr>
          <w:p w14:paraId="462C03A9" w14:textId="1E243D0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144</w:t>
            </w:r>
          </w:p>
        </w:tc>
        <w:tc>
          <w:tcPr>
            <w:tcW w:w="983" w:type="dxa"/>
            <w:shd w:val="clear" w:color="auto" w:fill="F2F2F2" w:themeFill="background1" w:themeFillShade="F2"/>
            <w:noWrap/>
            <w:vAlign w:val="center"/>
          </w:tcPr>
          <w:p w14:paraId="21954A61" w14:textId="6F46FA5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1A672231" w14:textId="77777777" w:rsidTr="00A42307">
        <w:trPr>
          <w:gridAfter w:val="1"/>
          <w:wAfter w:w="35" w:type="dxa"/>
          <w:trHeight w:val="284"/>
          <w:jc w:val="center"/>
        </w:trPr>
        <w:tc>
          <w:tcPr>
            <w:tcW w:w="1020" w:type="dxa"/>
            <w:shd w:val="clear" w:color="auto" w:fill="auto"/>
            <w:noWrap/>
            <w:vAlign w:val="center"/>
          </w:tcPr>
          <w:p w14:paraId="4EB95704" w14:textId="10FF5EB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374C217A" w14:textId="2FE1241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INPC</w:t>
            </w:r>
          </w:p>
        </w:tc>
        <w:tc>
          <w:tcPr>
            <w:tcW w:w="3749" w:type="dxa"/>
            <w:shd w:val="clear" w:color="auto" w:fill="auto"/>
            <w:vAlign w:val="center"/>
          </w:tcPr>
          <w:p w14:paraId="7EAD03CF" w14:textId="6B32542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Índice Nacional de Precios al Consumidor, 1ª quincena </w:t>
            </w:r>
          </w:p>
        </w:tc>
        <w:tc>
          <w:tcPr>
            <w:tcW w:w="1276" w:type="dxa"/>
            <w:shd w:val="clear" w:color="auto" w:fill="auto"/>
            <w:noWrap/>
            <w:vAlign w:val="center"/>
          </w:tcPr>
          <w:p w14:paraId="4E7808C5" w14:textId="04D264A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 xml:space="preserve">Mensual </w:t>
            </w:r>
          </w:p>
        </w:tc>
        <w:tc>
          <w:tcPr>
            <w:tcW w:w="2977" w:type="dxa"/>
            <w:shd w:val="clear" w:color="auto" w:fill="auto"/>
            <w:noWrap/>
            <w:vAlign w:val="center"/>
          </w:tcPr>
          <w:p w14:paraId="6DF54F0C" w14:textId="166C65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P - Política/Regulación nacional</w:t>
            </w:r>
          </w:p>
        </w:tc>
        <w:tc>
          <w:tcPr>
            <w:tcW w:w="1559" w:type="dxa"/>
            <w:shd w:val="clear" w:color="auto" w:fill="auto"/>
            <w:noWrap/>
            <w:vAlign w:val="center"/>
          </w:tcPr>
          <w:p w14:paraId="76E66542" w14:textId="578A9BC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10.0</w:t>
            </w:r>
          </w:p>
        </w:tc>
        <w:tc>
          <w:tcPr>
            <w:tcW w:w="1276" w:type="dxa"/>
            <w:shd w:val="clear" w:color="auto" w:fill="auto"/>
            <w:noWrap/>
            <w:vAlign w:val="bottom"/>
          </w:tcPr>
          <w:p w14:paraId="7FC79660" w14:textId="7B87ECF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8.17</w:t>
            </w:r>
          </w:p>
        </w:tc>
        <w:tc>
          <w:tcPr>
            <w:tcW w:w="983" w:type="dxa"/>
            <w:shd w:val="clear" w:color="auto" w:fill="auto"/>
            <w:noWrap/>
            <w:vAlign w:val="center"/>
          </w:tcPr>
          <w:p w14:paraId="26E0D564" w14:textId="289BF79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683151C9" w14:textId="77777777" w:rsidTr="00357E0C">
        <w:trPr>
          <w:gridAfter w:val="1"/>
          <w:wAfter w:w="35" w:type="dxa"/>
          <w:trHeight w:val="284"/>
          <w:jc w:val="center"/>
        </w:trPr>
        <w:tc>
          <w:tcPr>
            <w:tcW w:w="1020" w:type="dxa"/>
            <w:shd w:val="clear" w:color="auto" w:fill="F2F2F2" w:themeFill="background1" w:themeFillShade="F2"/>
            <w:noWrap/>
            <w:vAlign w:val="center"/>
          </w:tcPr>
          <w:p w14:paraId="01976282" w14:textId="02750BC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7AACB40" w14:textId="5F51C18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F2F2F2" w:themeFill="background1" w:themeFillShade="F2"/>
            <w:vAlign w:val="center"/>
          </w:tcPr>
          <w:p w14:paraId="5E442EAA" w14:textId="5E7A825B"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Cuentas Económicas y Ecológicas de México</w:t>
            </w:r>
          </w:p>
        </w:tc>
        <w:tc>
          <w:tcPr>
            <w:tcW w:w="1276" w:type="dxa"/>
            <w:shd w:val="clear" w:color="auto" w:fill="F2F2F2" w:themeFill="background1" w:themeFillShade="F2"/>
            <w:noWrap/>
            <w:vAlign w:val="center"/>
          </w:tcPr>
          <w:p w14:paraId="78BF21FC" w14:textId="1CE7C8E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5787AA32" w14:textId="0312483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0A991E81" w14:textId="6F683B3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438.0</w:t>
            </w:r>
          </w:p>
        </w:tc>
        <w:tc>
          <w:tcPr>
            <w:tcW w:w="1276" w:type="dxa"/>
            <w:shd w:val="clear" w:color="auto" w:fill="F2F2F2" w:themeFill="background1" w:themeFillShade="F2"/>
            <w:noWrap/>
            <w:vAlign w:val="center"/>
          </w:tcPr>
          <w:p w14:paraId="2F33E247" w14:textId="0CB4AEC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335.0</w:t>
            </w:r>
          </w:p>
        </w:tc>
        <w:tc>
          <w:tcPr>
            <w:tcW w:w="983" w:type="dxa"/>
            <w:shd w:val="clear" w:color="auto" w:fill="F2F2F2" w:themeFill="background1" w:themeFillShade="F2"/>
            <w:noWrap/>
            <w:vAlign w:val="center"/>
          </w:tcPr>
          <w:p w14:paraId="747C8619" w14:textId="0AA12A1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0.2</w:t>
            </w:r>
          </w:p>
        </w:tc>
      </w:tr>
      <w:tr w:rsidR="00511C2C" w:rsidRPr="009A501D" w14:paraId="5BCF2D20" w14:textId="77777777" w:rsidTr="00996D2E">
        <w:trPr>
          <w:gridAfter w:val="1"/>
          <w:wAfter w:w="35" w:type="dxa"/>
          <w:trHeight w:val="284"/>
          <w:jc w:val="center"/>
        </w:trPr>
        <w:tc>
          <w:tcPr>
            <w:tcW w:w="1020" w:type="dxa"/>
            <w:shd w:val="clear" w:color="auto" w:fill="auto"/>
            <w:noWrap/>
            <w:vAlign w:val="center"/>
          </w:tcPr>
          <w:p w14:paraId="471B6AA7" w14:textId="63D941A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01D77252" w14:textId="20B8501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auto"/>
            <w:vAlign w:val="center"/>
          </w:tcPr>
          <w:p w14:paraId="41496B9C" w14:textId="59E5C44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 las Instituciones sin Fines de Lucro de México.</w:t>
            </w:r>
          </w:p>
        </w:tc>
        <w:tc>
          <w:tcPr>
            <w:tcW w:w="1276" w:type="dxa"/>
            <w:shd w:val="clear" w:color="auto" w:fill="auto"/>
            <w:noWrap/>
            <w:vAlign w:val="center"/>
          </w:tcPr>
          <w:p w14:paraId="38B225E1" w14:textId="5EA7683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2563E9EE" w14:textId="5755644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051203FD" w14:textId="01F4423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447.0</w:t>
            </w:r>
          </w:p>
        </w:tc>
        <w:tc>
          <w:tcPr>
            <w:tcW w:w="1276" w:type="dxa"/>
            <w:shd w:val="clear" w:color="auto" w:fill="auto"/>
            <w:noWrap/>
            <w:vAlign w:val="center"/>
          </w:tcPr>
          <w:p w14:paraId="1F2FC10D" w14:textId="129D3D0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334.0</w:t>
            </w:r>
          </w:p>
        </w:tc>
        <w:tc>
          <w:tcPr>
            <w:tcW w:w="983" w:type="dxa"/>
            <w:shd w:val="clear" w:color="auto" w:fill="auto"/>
            <w:noWrap/>
            <w:vAlign w:val="center"/>
          </w:tcPr>
          <w:p w14:paraId="060DD5C9" w14:textId="353C0C5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3D97FD6E" w14:textId="77777777" w:rsidTr="00A42307">
        <w:trPr>
          <w:gridAfter w:val="1"/>
          <w:wAfter w:w="35" w:type="dxa"/>
          <w:trHeight w:val="284"/>
          <w:jc w:val="center"/>
        </w:trPr>
        <w:tc>
          <w:tcPr>
            <w:tcW w:w="1020" w:type="dxa"/>
            <w:shd w:val="clear" w:color="auto" w:fill="F2F2F2" w:themeFill="background1" w:themeFillShade="F2"/>
            <w:noWrap/>
            <w:vAlign w:val="center"/>
          </w:tcPr>
          <w:p w14:paraId="36030BCD" w14:textId="5BB256A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2DE895E2" w14:textId="63B3E1F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EMAT</w:t>
            </w:r>
          </w:p>
        </w:tc>
        <w:tc>
          <w:tcPr>
            <w:tcW w:w="3749" w:type="dxa"/>
            <w:shd w:val="clear" w:color="auto" w:fill="F2F2F2" w:themeFill="background1" w:themeFillShade="F2"/>
            <w:vAlign w:val="center"/>
          </w:tcPr>
          <w:p w14:paraId="4ECAD3D8" w14:textId="06F1C17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Estadísticas Vitales – Matrimonios</w:t>
            </w:r>
          </w:p>
        </w:tc>
        <w:tc>
          <w:tcPr>
            <w:tcW w:w="1276" w:type="dxa"/>
            <w:shd w:val="clear" w:color="auto" w:fill="F2F2F2" w:themeFill="background1" w:themeFillShade="F2"/>
            <w:noWrap/>
            <w:vAlign w:val="center"/>
          </w:tcPr>
          <w:p w14:paraId="562DF004" w14:textId="0398A7B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3B5DAE88" w14:textId="1265C52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13FD7286" w14:textId="65496E8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365.0</w:t>
            </w:r>
          </w:p>
        </w:tc>
        <w:tc>
          <w:tcPr>
            <w:tcW w:w="1276" w:type="dxa"/>
            <w:shd w:val="clear" w:color="auto" w:fill="F2F2F2" w:themeFill="background1" w:themeFillShade="F2"/>
            <w:noWrap/>
            <w:vAlign w:val="bottom"/>
          </w:tcPr>
          <w:p w14:paraId="7D1F2D5B" w14:textId="4D228A4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271</w:t>
            </w:r>
          </w:p>
        </w:tc>
        <w:tc>
          <w:tcPr>
            <w:tcW w:w="983" w:type="dxa"/>
            <w:shd w:val="clear" w:color="auto" w:fill="F2F2F2" w:themeFill="background1" w:themeFillShade="F2"/>
            <w:noWrap/>
            <w:vAlign w:val="center"/>
          </w:tcPr>
          <w:p w14:paraId="301C027B" w14:textId="411EF5E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594F702F" w14:textId="77777777" w:rsidTr="00A42307">
        <w:trPr>
          <w:gridAfter w:val="1"/>
          <w:wAfter w:w="35" w:type="dxa"/>
          <w:trHeight w:val="284"/>
          <w:jc w:val="center"/>
        </w:trPr>
        <w:tc>
          <w:tcPr>
            <w:tcW w:w="1020" w:type="dxa"/>
            <w:shd w:val="clear" w:color="auto" w:fill="auto"/>
            <w:noWrap/>
            <w:vAlign w:val="center"/>
          </w:tcPr>
          <w:p w14:paraId="0AE22926" w14:textId="5BCD207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auto"/>
            <w:noWrap/>
            <w:vAlign w:val="center"/>
          </w:tcPr>
          <w:p w14:paraId="21515586" w14:textId="67629AB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ED</w:t>
            </w:r>
          </w:p>
        </w:tc>
        <w:tc>
          <w:tcPr>
            <w:tcW w:w="3749" w:type="dxa"/>
            <w:shd w:val="clear" w:color="auto" w:fill="auto"/>
            <w:vAlign w:val="center"/>
          </w:tcPr>
          <w:p w14:paraId="484AAA6E" w14:textId="4CD64E7F"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Estadísticas Vitales – Divorcios</w:t>
            </w:r>
          </w:p>
        </w:tc>
        <w:tc>
          <w:tcPr>
            <w:tcW w:w="1276" w:type="dxa"/>
            <w:shd w:val="clear" w:color="auto" w:fill="auto"/>
            <w:noWrap/>
            <w:vAlign w:val="center"/>
          </w:tcPr>
          <w:p w14:paraId="73791300" w14:textId="548E4D2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06DAED6D" w14:textId="7233BEE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17D31CFB" w14:textId="462F213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365.0</w:t>
            </w:r>
          </w:p>
        </w:tc>
        <w:tc>
          <w:tcPr>
            <w:tcW w:w="1276" w:type="dxa"/>
            <w:shd w:val="clear" w:color="auto" w:fill="auto"/>
            <w:noWrap/>
            <w:vAlign w:val="bottom"/>
          </w:tcPr>
          <w:p w14:paraId="190B8D5F" w14:textId="191A4CD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271</w:t>
            </w:r>
          </w:p>
        </w:tc>
        <w:tc>
          <w:tcPr>
            <w:tcW w:w="983" w:type="dxa"/>
            <w:shd w:val="clear" w:color="auto" w:fill="auto"/>
            <w:noWrap/>
            <w:vAlign w:val="center"/>
          </w:tcPr>
          <w:p w14:paraId="6B3B3439" w14:textId="2103AD3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291D6887" w14:textId="77777777" w:rsidTr="00357E0C">
        <w:trPr>
          <w:gridAfter w:val="1"/>
          <w:wAfter w:w="35" w:type="dxa"/>
          <w:trHeight w:val="284"/>
          <w:jc w:val="center"/>
        </w:trPr>
        <w:tc>
          <w:tcPr>
            <w:tcW w:w="1020" w:type="dxa"/>
            <w:shd w:val="clear" w:color="auto" w:fill="F2F2F2" w:themeFill="background1" w:themeFillShade="F2"/>
            <w:noWrap/>
            <w:vAlign w:val="center"/>
          </w:tcPr>
          <w:p w14:paraId="578F901E" w14:textId="251955F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3998AEF5" w14:textId="58040B5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F2F2F2" w:themeFill="background1" w:themeFillShade="F2"/>
            <w:vAlign w:val="center"/>
          </w:tcPr>
          <w:p w14:paraId="317CC199" w14:textId="2E351427"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 Vivienda de México.</w:t>
            </w:r>
          </w:p>
        </w:tc>
        <w:tc>
          <w:tcPr>
            <w:tcW w:w="1276" w:type="dxa"/>
            <w:shd w:val="clear" w:color="auto" w:fill="F2F2F2" w:themeFill="background1" w:themeFillShade="F2"/>
            <w:noWrap/>
            <w:vAlign w:val="center"/>
          </w:tcPr>
          <w:p w14:paraId="1A1BE732" w14:textId="4552F17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3B81301F" w14:textId="1A05244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661FEFA0" w14:textId="524DF31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450.0</w:t>
            </w:r>
          </w:p>
        </w:tc>
        <w:tc>
          <w:tcPr>
            <w:tcW w:w="1276" w:type="dxa"/>
            <w:shd w:val="clear" w:color="auto" w:fill="F2F2F2" w:themeFill="background1" w:themeFillShade="F2"/>
            <w:noWrap/>
            <w:vAlign w:val="center"/>
          </w:tcPr>
          <w:p w14:paraId="7238A936" w14:textId="13747D4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332.0</w:t>
            </w:r>
          </w:p>
        </w:tc>
        <w:tc>
          <w:tcPr>
            <w:tcW w:w="983" w:type="dxa"/>
            <w:shd w:val="clear" w:color="auto" w:fill="F2F2F2" w:themeFill="background1" w:themeFillShade="F2"/>
            <w:noWrap/>
            <w:vAlign w:val="center"/>
          </w:tcPr>
          <w:p w14:paraId="02C05F87" w14:textId="76F6A2D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49CDEDC2" w14:textId="77777777" w:rsidTr="00996D2E">
        <w:trPr>
          <w:gridAfter w:val="1"/>
          <w:wAfter w:w="35" w:type="dxa"/>
          <w:trHeight w:val="284"/>
          <w:jc w:val="center"/>
        </w:trPr>
        <w:tc>
          <w:tcPr>
            <w:tcW w:w="1020" w:type="dxa"/>
            <w:shd w:val="clear" w:color="auto" w:fill="auto"/>
            <w:noWrap/>
            <w:vAlign w:val="center"/>
          </w:tcPr>
          <w:p w14:paraId="683FDC82" w14:textId="6ED13B9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74FB536C" w14:textId="6BE6E51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auto"/>
            <w:vAlign w:val="center"/>
          </w:tcPr>
          <w:p w14:paraId="68BC3B29" w14:textId="13EFA536"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Trimestrales de la Actividad Turística</w:t>
            </w:r>
          </w:p>
        </w:tc>
        <w:tc>
          <w:tcPr>
            <w:tcW w:w="1276" w:type="dxa"/>
            <w:shd w:val="clear" w:color="auto" w:fill="auto"/>
            <w:noWrap/>
            <w:vAlign w:val="center"/>
          </w:tcPr>
          <w:p w14:paraId="18368783" w14:textId="6BA1B3D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auto"/>
            <w:noWrap/>
            <w:vAlign w:val="center"/>
          </w:tcPr>
          <w:p w14:paraId="7EF96A7A" w14:textId="357D849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auto"/>
            <w:noWrap/>
            <w:vAlign w:val="center"/>
          </w:tcPr>
          <w:p w14:paraId="4176CBDF" w14:textId="2B5573B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167.0</w:t>
            </w:r>
          </w:p>
        </w:tc>
        <w:tc>
          <w:tcPr>
            <w:tcW w:w="1276" w:type="dxa"/>
            <w:shd w:val="clear" w:color="auto" w:fill="auto"/>
            <w:noWrap/>
            <w:vAlign w:val="center"/>
          </w:tcPr>
          <w:p w14:paraId="0578061A" w14:textId="084631C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123.0</w:t>
            </w:r>
          </w:p>
        </w:tc>
        <w:tc>
          <w:tcPr>
            <w:tcW w:w="983" w:type="dxa"/>
            <w:shd w:val="clear" w:color="auto" w:fill="auto"/>
            <w:noWrap/>
            <w:vAlign w:val="center"/>
          </w:tcPr>
          <w:p w14:paraId="688ECFFC" w14:textId="07EFFBB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60E4FA83" w14:textId="77777777" w:rsidTr="00357E0C">
        <w:trPr>
          <w:gridAfter w:val="1"/>
          <w:wAfter w:w="35" w:type="dxa"/>
          <w:trHeight w:val="284"/>
          <w:jc w:val="center"/>
        </w:trPr>
        <w:tc>
          <w:tcPr>
            <w:tcW w:w="1020" w:type="dxa"/>
            <w:shd w:val="clear" w:color="auto" w:fill="F2F2F2" w:themeFill="background1" w:themeFillShade="F2"/>
            <w:noWrap/>
            <w:vAlign w:val="center"/>
          </w:tcPr>
          <w:p w14:paraId="7C2704F0" w14:textId="1C97F78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7FF566BE" w14:textId="0CFF559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F2F2F2" w:themeFill="background1" w:themeFillShade="F2"/>
            <w:vAlign w:val="center"/>
          </w:tcPr>
          <w:p w14:paraId="04737519" w14:textId="3A83B5D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del Turismo de México</w:t>
            </w:r>
          </w:p>
        </w:tc>
        <w:tc>
          <w:tcPr>
            <w:tcW w:w="1276" w:type="dxa"/>
            <w:shd w:val="clear" w:color="auto" w:fill="F2F2F2" w:themeFill="background1" w:themeFillShade="F2"/>
            <w:noWrap/>
            <w:vAlign w:val="center"/>
          </w:tcPr>
          <w:p w14:paraId="5C5FED1D" w14:textId="69E391C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671851BE" w14:textId="5A5B901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2B04C88E" w14:textId="05B3FA0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480.0</w:t>
            </w:r>
          </w:p>
        </w:tc>
        <w:tc>
          <w:tcPr>
            <w:tcW w:w="1276" w:type="dxa"/>
            <w:shd w:val="clear" w:color="auto" w:fill="F2F2F2" w:themeFill="background1" w:themeFillShade="F2"/>
            <w:noWrap/>
            <w:vAlign w:val="center"/>
          </w:tcPr>
          <w:p w14:paraId="718EC3F4" w14:textId="648AD9E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349.0</w:t>
            </w:r>
          </w:p>
        </w:tc>
        <w:tc>
          <w:tcPr>
            <w:tcW w:w="983" w:type="dxa"/>
            <w:shd w:val="clear" w:color="auto" w:fill="F2F2F2" w:themeFill="background1" w:themeFillShade="F2"/>
            <w:noWrap/>
            <w:vAlign w:val="center"/>
          </w:tcPr>
          <w:p w14:paraId="0D0055B7" w14:textId="3DD6F93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4ABE194F" w14:textId="77777777" w:rsidTr="00A42307">
        <w:trPr>
          <w:gridAfter w:val="1"/>
          <w:wAfter w:w="35" w:type="dxa"/>
          <w:trHeight w:val="284"/>
          <w:jc w:val="center"/>
        </w:trPr>
        <w:tc>
          <w:tcPr>
            <w:tcW w:w="1020" w:type="dxa"/>
            <w:shd w:val="clear" w:color="auto" w:fill="auto"/>
            <w:noWrap/>
            <w:vAlign w:val="center"/>
          </w:tcPr>
          <w:p w14:paraId="4B6B53CC" w14:textId="7B24967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auto"/>
            <w:noWrap/>
            <w:vAlign w:val="center"/>
          </w:tcPr>
          <w:p w14:paraId="6F7A9BA3" w14:textId="45AC3B8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ENR</w:t>
            </w:r>
          </w:p>
        </w:tc>
        <w:tc>
          <w:tcPr>
            <w:tcW w:w="3749" w:type="dxa"/>
            <w:shd w:val="clear" w:color="auto" w:fill="auto"/>
            <w:vAlign w:val="center"/>
          </w:tcPr>
          <w:p w14:paraId="4DB1B6F2" w14:textId="7B737E3B"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Estadísticas Vitales – Nacimientos registrados</w:t>
            </w:r>
          </w:p>
        </w:tc>
        <w:tc>
          <w:tcPr>
            <w:tcW w:w="1276" w:type="dxa"/>
            <w:shd w:val="clear" w:color="auto" w:fill="auto"/>
            <w:noWrap/>
            <w:vAlign w:val="center"/>
          </w:tcPr>
          <w:p w14:paraId="35C45022" w14:textId="18BE8A6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4743099C" w14:textId="60CF894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71D476AB" w14:textId="14D21AB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365.0</w:t>
            </w:r>
          </w:p>
        </w:tc>
        <w:tc>
          <w:tcPr>
            <w:tcW w:w="1276" w:type="dxa"/>
            <w:shd w:val="clear" w:color="auto" w:fill="auto"/>
            <w:noWrap/>
            <w:vAlign w:val="bottom"/>
          </w:tcPr>
          <w:p w14:paraId="7ED96585" w14:textId="5B56F77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265</w:t>
            </w:r>
          </w:p>
        </w:tc>
        <w:tc>
          <w:tcPr>
            <w:tcW w:w="983" w:type="dxa"/>
            <w:shd w:val="clear" w:color="auto" w:fill="auto"/>
            <w:noWrap/>
            <w:vAlign w:val="center"/>
          </w:tcPr>
          <w:p w14:paraId="751892A1" w14:textId="3260005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5A97F6E0" w14:textId="77777777" w:rsidTr="00357E0C">
        <w:trPr>
          <w:gridAfter w:val="1"/>
          <w:wAfter w:w="35" w:type="dxa"/>
          <w:trHeight w:val="284"/>
          <w:jc w:val="center"/>
        </w:trPr>
        <w:tc>
          <w:tcPr>
            <w:tcW w:w="1020" w:type="dxa"/>
            <w:shd w:val="clear" w:color="auto" w:fill="F2F2F2" w:themeFill="background1" w:themeFillShade="F2"/>
            <w:noWrap/>
            <w:vAlign w:val="center"/>
          </w:tcPr>
          <w:p w14:paraId="79DDB80C" w14:textId="27FA1CB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49EAA815" w14:textId="412B7B4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ESEP</w:t>
            </w:r>
          </w:p>
        </w:tc>
        <w:tc>
          <w:tcPr>
            <w:tcW w:w="3749" w:type="dxa"/>
            <w:shd w:val="clear" w:color="auto" w:fill="F2F2F2" w:themeFill="background1" w:themeFillShade="F2"/>
            <w:vAlign w:val="center"/>
          </w:tcPr>
          <w:p w14:paraId="4A3F140E" w14:textId="3C254FD9"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Estadísticas de Salud en Establecimientos Particulares</w:t>
            </w:r>
          </w:p>
        </w:tc>
        <w:tc>
          <w:tcPr>
            <w:tcW w:w="1276" w:type="dxa"/>
            <w:shd w:val="clear" w:color="auto" w:fill="F2F2F2" w:themeFill="background1" w:themeFillShade="F2"/>
            <w:noWrap/>
            <w:vAlign w:val="center"/>
          </w:tcPr>
          <w:p w14:paraId="70F14289" w14:textId="7E7517B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72927FB9" w14:textId="6D1C9AA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793AC315" w14:textId="7D66EA2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330.0</w:t>
            </w:r>
          </w:p>
        </w:tc>
        <w:tc>
          <w:tcPr>
            <w:tcW w:w="1276" w:type="dxa"/>
            <w:shd w:val="clear" w:color="auto" w:fill="F2F2F2" w:themeFill="background1" w:themeFillShade="F2"/>
            <w:noWrap/>
            <w:vAlign w:val="center"/>
          </w:tcPr>
          <w:p w14:paraId="5E5AE59A" w14:textId="7031345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235.0</w:t>
            </w:r>
          </w:p>
        </w:tc>
        <w:tc>
          <w:tcPr>
            <w:tcW w:w="983" w:type="dxa"/>
            <w:shd w:val="clear" w:color="auto" w:fill="F2F2F2" w:themeFill="background1" w:themeFillShade="F2"/>
            <w:noWrap/>
            <w:vAlign w:val="center"/>
          </w:tcPr>
          <w:p w14:paraId="60273137" w14:textId="2AB15ED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10973DCB" w14:textId="77777777" w:rsidTr="00996D2E">
        <w:trPr>
          <w:gridAfter w:val="1"/>
          <w:wAfter w:w="35" w:type="dxa"/>
          <w:trHeight w:val="284"/>
          <w:jc w:val="center"/>
        </w:trPr>
        <w:tc>
          <w:tcPr>
            <w:tcW w:w="1020" w:type="dxa"/>
            <w:shd w:val="clear" w:color="auto" w:fill="auto"/>
            <w:noWrap/>
            <w:vAlign w:val="center"/>
          </w:tcPr>
          <w:p w14:paraId="12E6DECC" w14:textId="719066B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3DFDEF68" w14:textId="4BC0BFE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SCNM_CT</w:t>
            </w:r>
          </w:p>
        </w:tc>
        <w:tc>
          <w:tcPr>
            <w:tcW w:w="3749" w:type="dxa"/>
            <w:shd w:val="clear" w:color="auto" w:fill="auto"/>
            <w:vAlign w:val="center"/>
          </w:tcPr>
          <w:p w14:paraId="51D64491" w14:textId="3C8E3FCE"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 la Cultura de México.</w:t>
            </w:r>
          </w:p>
        </w:tc>
        <w:tc>
          <w:tcPr>
            <w:tcW w:w="1276" w:type="dxa"/>
            <w:shd w:val="clear" w:color="auto" w:fill="auto"/>
            <w:noWrap/>
            <w:vAlign w:val="center"/>
          </w:tcPr>
          <w:p w14:paraId="24115C13" w14:textId="3832A19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vAlign w:val="center"/>
          </w:tcPr>
          <w:p w14:paraId="4905FFDF" w14:textId="096E234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0635E5FB" w14:textId="614D2E1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473.0</w:t>
            </w:r>
          </w:p>
        </w:tc>
        <w:tc>
          <w:tcPr>
            <w:tcW w:w="1276" w:type="dxa"/>
            <w:shd w:val="clear" w:color="auto" w:fill="auto"/>
            <w:noWrap/>
            <w:vAlign w:val="center"/>
          </w:tcPr>
          <w:p w14:paraId="5CC48B19" w14:textId="68ED2DF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321.0</w:t>
            </w:r>
          </w:p>
        </w:tc>
        <w:tc>
          <w:tcPr>
            <w:tcW w:w="983" w:type="dxa"/>
            <w:shd w:val="clear" w:color="auto" w:fill="auto"/>
            <w:noWrap/>
            <w:vAlign w:val="center"/>
          </w:tcPr>
          <w:p w14:paraId="7B1931C5" w14:textId="6E0A781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0.3</w:t>
            </w:r>
          </w:p>
        </w:tc>
      </w:tr>
      <w:tr w:rsidR="00511C2C" w:rsidRPr="009A501D" w14:paraId="5CDFCB54" w14:textId="77777777" w:rsidTr="00A42307">
        <w:trPr>
          <w:gridAfter w:val="1"/>
          <w:wAfter w:w="35" w:type="dxa"/>
          <w:trHeight w:val="284"/>
          <w:jc w:val="center"/>
        </w:trPr>
        <w:tc>
          <w:tcPr>
            <w:tcW w:w="1020" w:type="dxa"/>
            <w:shd w:val="clear" w:color="auto" w:fill="F2F2F2" w:themeFill="background1" w:themeFillShade="F2"/>
            <w:noWrap/>
            <w:vAlign w:val="center"/>
          </w:tcPr>
          <w:p w14:paraId="152A4587" w14:textId="22ADC5C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11BA090A" w14:textId="7F89186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EAT</w:t>
            </w:r>
          </w:p>
        </w:tc>
        <w:tc>
          <w:tcPr>
            <w:tcW w:w="3749" w:type="dxa"/>
            <w:shd w:val="clear" w:color="auto" w:fill="F2F2F2" w:themeFill="background1" w:themeFillShade="F2"/>
            <w:vAlign w:val="center"/>
          </w:tcPr>
          <w:p w14:paraId="28F97291" w14:textId="497A926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Anual de Transportes</w:t>
            </w:r>
          </w:p>
        </w:tc>
        <w:tc>
          <w:tcPr>
            <w:tcW w:w="1276" w:type="dxa"/>
            <w:shd w:val="clear" w:color="auto" w:fill="F2F2F2" w:themeFill="background1" w:themeFillShade="F2"/>
            <w:noWrap/>
            <w:vAlign w:val="center"/>
          </w:tcPr>
          <w:p w14:paraId="04ACE56B" w14:textId="7E4EF82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77E9EAF2" w14:textId="369279E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63E74524" w14:textId="2C5BAAC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F2F2F2" w:themeFill="background1" w:themeFillShade="F2"/>
            <w:noWrap/>
            <w:vAlign w:val="bottom"/>
          </w:tcPr>
          <w:p w14:paraId="3A546067" w14:textId="53B4351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343</w:t>
            </w:r>
          </w:p>
        </w:tc>
        <w:tc>
          <w:tcPr>
            <w:tcW w:w="983" w:type="dxa"/>
            <w:shd w:val="clear" w:color="auto" w:fill="F2F2F2" w:themeFill="background1" w:themeFillShade="F2"/>
            <w:noWrap/>
            <w:vAlign w:val="center"/>
          </w:tcPr>
          <w:p w14:paraId="52031F97" w14:textId="4364A8A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76562AAF" w14:textId="77777777" w:rsidTr="00A42307">
        <w:trPr>
          <w:gridAfter w:val="1"/>
          <w:wAfter w:w="35" w:type="dxa"/>
          <w:trHeight w:val="284"/>
          <w:jc w:val="center"/>
        </w:trPr>
        <w:tc>
          <w:tcPr>
            <w:tcW w:w="1020" w:type="dxa"/>
            <w:shd w:val="clear" w:color="auto" w:fill="auto"/>
            <w:noWrap/>
            <w:vAlign w:val="center"/>
          </w:tcPr>
          <w:p w14:paraId="10884FCD" w14:textId="07A7534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586A2FBB" w14:textId="3932BC9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EASPNF</w:t>
            </w:r>
          </w:p>
        </w:tc>
        <w:tc>
          <w:tcPr>
            <w:tcW w:w="3749" w:type="dxa"/>
            <w:shd w:val="clear" w:color="auto" w:fill="auto"/>
            <w:vAlign w:val="center"/>
          </w:tcPr>
          <w:p w14:paraId="7CB604FA" w14:textId="6A7A8323"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Anual de Servicios Privados No Financieros</w:t>
            </w:r>
          </w:p>
        </w:tc>
        <w:tc>
          <w:tcPr>
            <w:tcW w:w="1276" w:type="dxa"/>
            <w:shd w:val="clear" w:color="auto" w:fill="auto"/>
            <w:noWrap/>
            <w:vAlign w:val="center"/>
          </w:tcPr>
          <w:p w14:paraId="6DE9E82C" w14:textId="7905C71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417CDBD7" w14:textId="6DB343A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6E0AAAAF" w14:textId="11371B0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auto"/>
            <w:noWrap/>
            <w:vAlign w:val="bottom"/>
          </w:tcPr>
          <w:p w14:paraId="2A42E4C6" w14:textId="0A14F91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342</w:t>
            </w:r>
          </w:p>
        </w:tc>
        <w:tc>
          <w:tcPr>
            <w:tcW w:w="983" w:type="dxa"/>
            <w:shd w:val="clear" w:color="auto" w:fill="auto"/>
            <w:noWrap/>
            <w:vAlign w:val="center"/>
          </w:tcPr>
          <w:p w14:paraId="634F5AAB" w14:textId="61A5CD5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327354C8" w14:textId="77777777" w:rsidTr="00A42307">
        <w:trPr>
          <w:gridAfter w:val="1"/>
          <w:wAfter w:w="35" w:type="dxa"/>
          <w:trHeight w:val="284"/>
          <w:jc w:val="center"/>
        </w:trPr>
        <w:tc>
          <w:tcPr>
            <w:tcW w:w="1020" w:type="dxa"/>
            <w:shd w:val="clear" w:color="auto" w:fill="F2F2F2" w:themeFill="background1" w:themeFillShade="F2"/>
            <w:noWrap/>
            <w:vAlign w:val="center"/>
          </w:tcPr>
          <w:p w14:paraId="62B0703C" w14:textId="30C43DF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5CEA6F5" w14:textId="738A8D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EAC</w:t>
            </w:r>
          </w:p>
        </w:tc>
        <w:tc>
          <w:tcPr>
            <w:tcW w:w="3749" w:type="dxa"/>
            <w:shd w:val="clear" w:color="auto" w:fill="F2F2F2" w:themeFill="background1" w:themeFillShade="F2"/>
            <w:vAlign w:val="center"/>
          </w:tcPr>
          <w:p w14:paraId="03E7D3D5" w14:textId="256F5748"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Anual del Comercio</w:t>
            </w:r>
          </w:p>
        </w:tc>
        <w:tc>
          <w:tcPr>
            <w:tcW w:w="1276" w:type="dxa"/>
            <w:shd w:val="clear" w:color="auto" w:fill="F2F2F2" w:themeFill="background1" w:themeFillShade="F2"/>
            <w:noWrap/>
            <w:vAlign w:val="center"/>
          </w:tcPr>
          <w:p w14:paraId="6FB64926" w14:textId="3B741C3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3F212E8A" w14:textId="706BCA5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77034829" w14:textId="723D58D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F2F2F2" w:themeFill="background1" w:themeFillShade="F2"/>
            <w:noWrap/>
            <w:vAlign w:val="bottom"/>
          </w:tcPr>
          <w:p w14:paraId="53F4398A" w14:textId="3685509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341</w:t>
            </w:r>
          </w:p>
        </w:tc>
        <w:tc>
          <w:tcPr>
            <w:tcW w:w="983" w:type="dxa"/>
            <w:shd w:val="clear" w:color="auto" w:fill="F2F2F2" w:themeFill="background1" w:themeFillShade="F2"/>
            <w:noWrap/>
            <w:vAlign w:val="center"/>
          </w:tcPr>
          <w:p w14:paraId="5B504BA8" w14:textId="3370DA9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41288BED" w14:textId="77777777" w:rsidTr="00996D2E">
        <w:trPr>
          <w:gridAfter w:val="1"/>
          <w:wAfter w:w="35" w:type="dxa"/>
          <w:trHeight w:val="284"/>
          <w:jc w:val="center"/>
        </w:trPr>
        <w:tc>
          <w:tcPr>
            <w:tcW w:w="1020" w:type="dxa"/>
            <w:shd w:val="clear" w:color="auto" w:fill="auto"/>
            <w:noWrap/>
            <w:vAlign w:val="center"/>
          </w:tcPr>
          <w:p w14:paraId="0D8853F3" w14:textId="0B7F904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42095C35" w14:textId="37CDD19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auto"/>
            <w:vAlign w:val="center"/>
          </w:tcPr>
          <w:p w14:paraId="7C23294E" w14:textId="6DEDC493"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Producto Interno Bruto a Precios Corrientes</w:t>
            </w:r>
          </w:p>
        </w:tc>
        <w:tc>
          <w:tcPr>
            <w:tcW w:w="1276" w:type="dxa"/>
            <w:shd w:val="clear" w:color="auto" w:fill="auto"/>
            <w:noWrap/>
            <w:vAlign w:val="center"/>
          </w:tcPr>
          <w:p w14:paraId="6BF47D2F" w14:textId="559B22E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auto"/>
            <w:noWrap/>
            <w:vAlign w:val="center"/>
          </w:tcPr>
          <w:p w14:paraId="1D736AFD" w14:textId="3B95E5B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auto"/>
            <w:noWrap/>
            <w:vAlign w:val="center"/>
          </w:tcPr>
          <w:p w14:paraId="6FDC2993" w14:textId="009B288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90.0</w:t>
            </w:r>
          </w:p>
        </w:tc>
        <w:tc>
          <w:tcPr>
            <w:tcW w:w="1276" w:type="dxa"/>
            <w:shd w:val="clear" w:color="auto" w:fill="auto"/>
            <w:noWrap/>
            <w:vAlign w:val="center"/>
          </w:tcPr>
          <w:p w14:paraId="6C33D90C" w14:textId="5B6E849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56.0</w:t>
            </w:r>
          </w:p>
        </w:tc>
        <w:tc>
          <w:tcPr>
            <w:tcW w:w="983" w:type="dxa"/>
            <w:shd w:val="clear" w:color="auto" w:fill="auto"/>
            <w:noWrap/>
            <w:vAlign w:val="center"/>
          </w:tcPr>
          <w:p w14:paraId="1C1A89E3" w14:textId="39E205A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4F7DCDD7" w14:textId="77777777" w:rsidTr="00357E0C">
        <w:trPr>
          <w:gridAfter w:val="1"/>
          <w:wAfter w:w="35" w:type="dxa"/>
          <w:trHeight w:val="284"/>
          <w:jc w:val="center"/>
        </w:trPr>
        <w:tc>
          <w:tcPr>
            <w:tcW w:w="1020" w:type="dxa"/>
            <w:shd w:val="clear" w:color="auto" w:fill="F2F2F2" w:themeFill="background1" w:themeFillShade="F2"/>
            <w:noWrap/>
            <w:vAlign w:val="center"/>
          </w:tcPr>
          <w:p w14:paraId="4B8CE15B" w14:textId="2F009B3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76AE4D3A" w14:textId="454F268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CCP</w:t>
            </w:r>
          </w:p>
        </w:tc>
        <w:tc>
          <w:tcPr>
            <w:tcW w:w="3749" w:type="dxa"/>
            <w:shd w:val="clear" w:color="auto" w:fill="F2F2F2" w:themeFill="background1" w:themeFillShade="F2"/>
            <w:vAlign w:val="center"/>
          </w:tcPr>
          <w:p w14:paraId="17D59CDD" w14:textId="088606ED"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 Producto Interno Bruto a Precios Constantes</w:t>
            </w:r>
          </w:p>
        </w:tc>
        <w:tc>
          <w:tcPr>
            <w:tcW w:w="1276" w:type="dxa"/>
            <w:shd w:val="clear" w:color="auto" w:fill="F2F2F2" w:themeFill="background1" w:themeFillShade="F2"/>
            <w:noWrap/>
            <w:vAlign w:val="center"/>
          </w:tcPr>
          <w:p w14:paraId="78EF883F" w14:textId="18C46B9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184AE169" w14:textId="425F7FB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F2F2F2" w:themeFill="background1" w:themeFillShade="F2"/>
            <w:noWrap/>
            <w:vAlign w:val="center"/>
          </w:tcPr>
          <w:p w14:paraId="0BB62AD3" w14:textId="64B3EB8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90.0</w:t>
            </w:r>
          </w:p>
        </w:tc>
        <w:tc>
          <w:tcPr>
            <w:tcW w:w="1276" w:type="dxa"/>
            <w:shd w:val="clear" w:color="auto" w:fill="F2F2F2" w:themeFill="background1" w:themeFillShade="F2"/>
            <w:noWrap/>
            <w:vAlign w:val="center"/>
          </w:tcPr>
          <w:p w14:paraId="6695A489" w14:textId="65601FB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56.0</w:t>
            </w:r>
          </w:p>
        </w:tc>
        <w:tc>
          <w:tcPr>
            <w:tcW w:w="983" w:type="dxa"/>
            <w:shd w:val="clear" w:color="auto" w:fill="F2F2F2" w:themeFill="background1" w:themeFillShade="F2"/>
            <w:noWrap/>
            <w:vAlign w:val="center"/>
          </w:tcPr>
          <w:p w14:paraId="15D60B57" w14:textId="33ACAE3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06E2A342" w14:textId="77777777" w:rsidTr="00A42307">
        <w:trPr>
          <w:trHeight w:val="284"/>
          <w:jc w:val="center"/>
        </w:trPr>
        <w:tc>
          <w:tcPr>
            <w:tcW w:w="1020" w:type="dxa"/>
            <w:shd w:val="clear" w:color="auto" w:fill="auto"/>
            <w:noWrap/>
            <w:vAlign w:val="center"/>
          </w:tcPr>
          <w:p w14:paraId="284E84A7" w14:textId="02A4DA9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6743C272" w14:textId="09636FF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EAIM</w:t>
            </w:r>
          </w:p>
        </w:tc>
        <w:tc>
          <w:tcPr>
            <w:tcW w:w="3749" w:type="dxa"/>
            <w:shd w:val="clear" w:color="auto" w:fill="auto"/>
            <w:vAlign w:val="center"/>
          </w:tcPr>
          <w:p w14:paraId="2D879011" w14:textId="46CAE951"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Anual de la Industria Manufacturera</w:t>
            </w:r>
          </w:p>
        </w:tc>
        <w:tc>
          <w:tcPr>
            <w:tcW w:w="1276" w:type="dxa"/>
            <w:shd w:val="clear" w:color="auto" w:fill="auto"/>
            <w:noWrap/>
            <w:vAlign w:val="center"/>
          </w:tcPr>
          <w:p w14:paraId="44AEB14B" w14:textId="716594B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7CD47145" w14:textId="610637C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7D0A5AE6" w14:textId="469668F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auto"/>
            <w:noWrap/>
            <w:vAlign w:val="bottom"/>
          </w:tcPr>
          <w:p w14:paraId="114E2D0F" w14:textId="1344C05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340</w:t>
            </w:r>
          </w:p>
        </w:tc>
        <w:tc>
          <w:tcPr>
            <w:tcW w:w="1018" w:type="dxa"/>
            <w:gridSpan w:val="2"/>
            <w:shd w:val="clear" w:color="auto" w:fill="auto"/>
            <w:noWrap/>
            <w:vAlign w:val="center"/>
          </w:tcPr>
          <w:p w14:paraId="7F234388" w14:textId="4F948F5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0D2A40F4" w14:textId="77777777" w:rsidTr="00A42307">
        <w:trPr>
          <w:gridAfter w:val="1"/>
          <w:wAfter w:w="35" w:type="dxa"/>
          <w:trHeight w:val="284"/>
          <w:jc w:val="center"/>
        </w:trPr>
        <w:tc>
          <w:tcPr>
            <w:tcW w:w="1020" w:type="dxa"/>
            <w:shd w:val="clear" w:color="auto" w:fill="F2F2F2" w:themeFill="background1" w:themeFillShade="F2"/>
            <w:noWrap/>
            <w:vAlign w:val="center"/>
          </w:tcPr>
          <w:p w14:paraId="3F9DCF5A" w14:textId="114B06F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4288843" w14:textId="06572B3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ENAPROCE</w:t>
            </w:r>
          </w:p>
        </w:tc>
        <w:tc>
          <w:tcPr>
            <w:tcW w:w="3749" w:type="dxa"/>
            <w:shd w:val="clear" w:color="auto" w:fill="F2F2F2" w:themeFill="background1" w:themeFillShade="F2"/>
            <w:vAlign w:val="center"/>
          </w:tcPr>
          <w:p w14:paraId="420040A4" w14:textId="5920BB22"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Indicadores de Productividad Laboral y del Costo Unitario de la Mano de Obra</w:t>
            </w:r>
          </w:p>
        </w:tc>
        <w:tc>
          <w:tcPr>
            <w:tcW w:w="1276" w:type="dxa"/>
            <w:shd w:val="clear" w:color="auto" w:fill="F2F2F2" w:themeFill="background1" w:themeFillShade="F2"/>
            <w:noWrap/>
            <w:vAlign w:val="center"/>
          </w:tcPr>
          <w:p w14:paraId="1EBCA64D" w14:textId="57B7FA5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46449FD4" w14:textId="480CBB0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F2F2F2" w:themeFill="background1" w:themeFillShade="F2"/>
            <w:noWrap/>
            <w:vAlign w:val="center"/>
          </w:tcPr>
          <w:p w14:paraId="51B46946" w14:textId="2B6F849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90.0</w:t>
            </w:r>
          </w:p>
        </w:tc>
        <w:tc>
          <w:tcPr>
            <w:tcW w:w="1276" w:type="dxa"/>
            <w:shd w:val="clear" w:color="auto" w:fill="F2F2F2" w:themeFill="background1" w:themeFillShade="F2"/>
            <w:noWrap/>
            <w:vAlign w:val="bottom"/>
          </w:tcPr>
          <w:p w14:paraId="1137736E" w14:textId="703F2DA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54.6</w:t>
            </w:r>
          </w:p>
        </w:tc>
        <w:tc>
          <w:tcPr>
            <w:tcW w:w="983" w:type="dxa"/>
            <w:shd w:val="clear" w:color="auto" w:fill="F2F2F2" w:themeFill="background1" w:themeFillShade="F2"/>
            <w:noWrap/>
            <w:vAlign w:val="center"/>
          </w:tcPr>
          <w:p w14:paraId="17540400" w14:textId="42C88AA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291406C7" w14:textId="77777777" w:rsidTr="00996D2E">
        <w:trPr>
          <w:gridAfter w:val="1"/>
          <w:wAfter w:w="35" w:type="dxa"/>
          <w:trHeight w:val="284"/>
          <w:jc w:val="center"/>
        </w:trPr>
        <w:tc>
          <w:tcPr>
            <w:tcW w:w="1020" w:type="dxa"/>
            <w:shd w:val="clear" w:color="auto" w:fill="auto"/>
            <w:noWrap/>
            <w:vAlign w:val="center"/>
          </w:tcPr>
          <w:p w14:paraId="290A9906" w14:textId="227D3C0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169D407E" w14:textId="3973E9C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BCMM</w:t>
            </w:r>
          </w:p>
        </w:tc>
        <w:tc>
          <w:tcPr>
            <w:tcW w:w="3749" w:type="dxa"/>
            <w:shd w:val="clear" w:color="auto" w:fill="auto"/>
            <w:vAlign w:val="center"/>
          </w:tcPr>
          <w:p w14:paraId="29BFD5ED" w14:textId="2EDD257B"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Balanza Comercial de Mercancías de México (oportuna)</w:t>
            </w:r>
          </w:p>
        </w:tc>
        <w:tc>
          <w:tcPr>
            <w:tcW w:w="1276" w:type="dxa"/>
            <w:shd w:val="clear" w:color="auto" w:fill="auto"/>
            <w:noWrap/>
            <w:vAlign w:val="center"/>
          </w:tcPr>
          <w:p w14:paraId="3F7EA8C2" w14:textId="74F3A88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791CF523" w14:textId="429498B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N - Norma/Estándar internacional</w:t>
            </w:r>
          </w:p>
        </w:tc>
        <w:tc>
          <w:tcPr>
            <w:tcW w:w="1559" w:type="dxa"/>
            <w:shd w:val="clear" w:color="auto" w:fill="auto"/>
            <w:noWrap/>
            <w:vAlign w:val="center"/>
          </w:tcPr>
          <w:p w14:paraId="66F537AC" w14:textId="59B33FF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45.0</w:t>
            </w:r>
          </w:p>
        </w:tc>
        <w:tc>
          <w:tcPr>
            <w:tcW w:w="1276" w:type="dxa"/>
            <w:shd w:val="clear" w:color="auto" w:fill="auto"/>
            <w:noWrap/>
            <w:vAlign w:val="center"/>
          </w:tcPr>
          <w:p w14:paraId="6865BA57" w14:textId="4CAA4D0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27.0</w:t>
            </w:r>
          </w:p>
        </w:tc>
        <w:tc>
          <w:tcPr>
            <w:tcW w:w="983" w:type="dxa"/>
            <w:shd w:val="clear" w:color="auto" w:fill="auto"/>
            <w:noWrap/>
            <w:vAlign w:val="center"/>
          </w:tcPr>
          <w:p w14:paraId="21AA9B49" w14:textId="3C5B203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53B56EBB" w14:textId="77777777" w:rsidTr="00A42307">
        <w:trPr>
          <w:gridAfter w:val="1"/>
          <w:wAfter w:w="35" w:type="dxa"/>
          <w:trHeight w:val="284"/>
          <w:jc w:val="center"/>
        </w:trPr>
        <w:tc>
          <w:tcPr>
            <w:tcW w:w="1020" w:type="dxa"/>
            <w:shd w:val="clear" w:color="auto" w:fill="F2F2F2" w:themeFill="background1" w:themeFillShade="F2"/>
            <w:noWrap/>
            <w:vAlign w:val="center"/>
          </w:tcPr>
          <w:p w14:paraId="0054D02C" w14:textId="0EF01A8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50C2CD39" w14:textId="2C357AA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EAEC</w:t>
            </w:r>
          </w:p>
        </w:tc>
        <w:tc>
          <w:tcPr>
            <w:tcW w:w="3749" w:type="dxa"/>
            <w:shd w:val="clear" w:color="auto" w:fill="F2F2F2" w:themeFill="background1" w:themeFillShade="F2"/>
            <w:vAlign w:val="center"/>
          </w:tcPr>
          <w:p w14:paraId="5C47E81C" w14:textId="1AAEACC3"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Encuesta Anual de Empresas Constructoras</w:t>
            </w:r>
          </w:p>
        </w:tc>
        <w:tc>
          <w:tcPr>
            <w:tcW w:w="1276" w:type="dxa"/>
            <w:shd w:val="clear" w:color="auto" w:fill="F2F2F2" w:themeFill="background1" w:themeFillShade="F2"/>
            <w:noWrap/>
            <w:vAlign w:val="center"/>
          </w:tcPr>
          <w:p w14:paraId="4DA071AF" w14:textId="3A267DB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1F36158D" w14:textId="71B2D81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78E586EE" w14:textId="75198E3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F2F2F2" w:themeFill="background1" w:themeFillShade="F2"/>
            <w:noWrap/>
            <w:vAlign w:val="bottom"/>
          </w:tcPr>
          <w:p w14:paraId="187647F5" w14:textId="7071273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339</w:t>
            </w:r>
          </w:p>
        </w:tc>
        <w:tc>
          <w:tcPr>
            <w:tcW w:w="983" w:type="dxa"/>
            <w:shd w:val="clear" w:color="auto" w:fill="F2F2F2" w:themeFill="background1" w:themeFillShade="F2"/>
            <w:noWrap/>
            <w:vAlign w:val="center"/>
          </w:tcPr>
          <w:p w14:paraId="0CB34046" w14:textId="3FFB8B4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0.4</w:t>
            </w:r>
          </w:p>
        </w:tc>
      </w:tr>
      <w:tr w:rsidR="00511C2C" w:rsidRPr="009A501D" w14:paraId="68D20C2B" w14:textId="77777777" w:rsidTr="00A42307">
        <w:trPr>
          <w:gridAfter w:val="1"/>
          <w:wAfter w:w="35" w:type="dxa"/>
          <w:trHeight w:val="284"/>
          <w:jc w:val="center"/>
        </w:trPr>
        <w:tc>
          <w:tcPr>
            <w:tcW w:w="1020" w:type="dxa"/>
            <w:shd w:val="clear" w:color="auto" w:fill="auto"/>
            <w:noWrap/>
            <w:vAlign w:val="center"/>
          </w:tcPr>
          <w:p w14:paraId="7265E9B3" w14:textId="301C0D1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lastRenderedPageBreak/>
              <w:t>DGGMA</w:t>
            </w:r>
          </w:p>
        </w:tc>
        <w:tc>
          <w:tcPr>
            <w:tcW w:w="1265" w:type="dxa"/>
            <w:shd w:val="clear" w:color="auto" w:fill="auto"/>
            <w:noWrap/>
            <w:vAlign w:val="center"/>
          </w:tcPr>
          <w:p w14:paraId="4AC37C33" w14:textId="3F2E4E4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MG</w:t>
            </w:r>
          </w:p>
        </w:tc>
        <w:tc>
          <w:tcPr>
            <w:tcW w:w="3749" w:type="dxa"/>
            <w:shd w:val="clear" w:color="auto" w:fill="auto"/>
            <w:vAlign w:val="center"/>
          </w:tcPr>
          <w:p w14:paraId="48809A40" w14:textId="6E7E7C8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 xml:space="preserve">Catálogo Único de Claves de Áreas Geoestadísticas Estatales, </w:t>
            </w:r>
            <w:proofErr w:type="gramStart"/>
            <w:r w:rsidRPr="009A501D">
              <w:rPr>
                <w:rFonts w:ascii="Century Gothic" w:hAnsi="Century Gothic" w:cs="Arial"/>
                <w:sz w:val="16"/>
                <w:szCs w:val="16"/>
              </w:rPr>
              <w:t>Municipales  y</w:t>
            </w:r>
            <w:proofErr w:type="gramEnd"/>
            <w:r w:rsidRPr="009A501D">
              <w:rPr>
                <w:rFonts w:ascii="Century Gothic" w:hAnsi="Century Gothic" w:cs="Arial"/>
                <w:sz w:val="16"/>
                <w:szCs w:val="16"/>
              </w:rPr>
              <w:t xml:space="preserve"> Localidades.</w:t>
            </w:r>
          </w:p>
        </w:tc>
        <w:tc>
          <w:tcPr>
            <w:tcW w:w="1276" w:type="dxa"/>
            <w:shd w:val="clear" w:color="auto" w:fill="auto"/>
            <w:noWrap/>
            <w:vAlign w:val="center"/>
          </w:tcPr>
          <w:p w14:paraId="08AA6E68" w14:textId="057BDC0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Mensual</w:t>
            </w:r>
          </w:p>
        </w:tc>
        <w:tc>
          <w:tcPr>
            <w:tcW w:w="2977" w:type="dxa"/>
            <w:shd w:val="clear" w:color="auto" w:fill="auto"/>
            <w:noWrap/>
            <w:vAlign w:val="center"/>
          </w:tcPr>
          <w:p w14:paraId="0D5A4781" w14:textId="7BB4A69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I - Propuesta interna</w:t>
            </w:r>
          </w:p>
        </w:tc>
        <w:tc>
          <w:tcPr>
            <w:tcW w:w="1559" w:type="dxa"/>
            <w:shd w:val="clear" w:color="auto" w:fill="auto"/>
            <w:noWrap/>
            <w:vAlign w:val="center"/>
          </w:tcPr>
          <w:p w14:paraId="5B75CA6C" w14:textId="5C6916CC"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30.0</w:t>
            </w:r>
          </w:p>
        </w:tc>
        <w:tc>
          <w:tcPr>
            <w:tcW w:w="1276" w:type="dxa"/>
            <w:shd w:val="clear" w:color="auto" w:fill="auto"/>
            <w:noWrap/>
            <w:vAlign w:val="bottom"/>
          </w:tcPr>
          <w:p w14:paraId="50E371AB" w14:textId="469C85D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15.75</w:t>
            </w:r>
          </w:p>
        </w:tc>
        <w:tc>
          <w:tcPr>
            <w:tcW w:w="983" w:type="dxa"/>
            <w:shd w:val="clear" w:color="auto" w:fill="auto"/>
            <w:noWrap/>
            <w:vAlign w:val="center"/>
          </w:tcPr>
          <w:p w14:paraId="408C7E32" w14:textId="7DC6B0D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4BFA7A04" w14:textId="77777777" w:rsidTr="00357E0C">
        <w:trPr>
          <w:gridAfter w:val="1"/>
          <w:wAfter w:w="35" w:type="dxa"/>
          <w:trHeight w:val="284"/>
          <w:jc w:val="center"/>
        </w:trPr>
        <w:tc>
          <w:tcPr>
            <w:tcW w:w="1020" w:type="dxa"/>
            <w:shd w:val="clear" w:color="auto" w:fill="F2F2F2" w:themeFill="background1" w:themeFillShade="F2"/>
            <w:noWrap/>
            <w:vAlign w:val="center"/>
          </w:tcPr>
          <w:p w14:paraId="5D29BCD0" w14:textId="4A7B02F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253D66AF" w14:textId="6C2EB0D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ESGRM</w:t>
            </w:r>
          </w:p>
        </w:tc>
        <w:tc>
          <w:tcPr>
            <w:tcW w:w="3749" w:type="dxa"/>
            <w:shd w:val="clear" w:color="auto" w:fill="F2F2F2" w:themeFill="background1" w:themeFillShade="F2"/>
            <w:vAlign w:val="center"/>
          </w:tcPr>
          <w:p w14:paraId="3F99095D" w14:textId="56436838"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 de Sacrificio de Ganado en Rastros Municipales (ESGRM) (anual)</w:t>
            </w:r>
          </w:p>
        </w:tc>
        <w:tc>
          <w:tcPr>
            <w:tcW w:w="1276" w:type="dxa"/>
            <w:shd w:val="clear" w:color="auto" w:fill="F2F2F2" w:themeFill="background1" w:themeFillShade="F2"/>
            <w:noWrap/>
            <w:vAlign w:val="center"/>
          </w:tcPr>
          <w:p w14:paraId="6D08FAB1" w14:textId="7302220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0C864433" w14:textId="33E15AA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15F32196" w14:textId="675EFA4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180.0</w:t>
            </w:r>
          </w:p>
        </w:tc>
        <w:tc>
          <w:tcPr>
            <w:tcW w:w="1276" w:type="dxa"/>
            <w:shd w:val="clear" w:color="auto" w:fill="F2F2F2" w:themeFill="background1" w:themeFillShade="F2"/>
            <w:noWrap/>
            <w:vAlign w:val="center"/>
          </w:tcPr>
          <w:p w14:paraId="2B5C2ECA" w14:textId="41B35DB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90</w:t>
            </w:r>
          </w:p>
        </w:tc>
        <w:tc>
          <w:tcPr>
            <w:tcW w:w="983" w:type="dxa"/>
            <w:shd w:val="clear" w:color="auto" w:fill="F2F2F2" w:themeFill="background1" w:themeFillShade="F2"/>
            <w:noWrap/>
            <w:vAlign w:val="center"/>
          </w:tcPr>
          <w:p w14:paraId="0A7BD72C" w14:textId="191E0D1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0C545CAE" w14:textId="77777777" w:rsidTr="00A42307">
        <w:trPr>
          <w:gridAfter w:val="1"/>
          <w:wAfter w:w="35" w:type="dxa"/>
          <w:trHeight w:val="284"/>
          <w:jc w:val="center"/>
        </w:trPr>
        <w:tc>
          <w:tcPr>
            <w:tcW w:w="1020" w:type="dxa"/>
            <w:shd w:val="clear" w:color="auto" w:fill="auto"/>
            <w:noWrap/>
            <w:vAlign w:val="center"/>
          </w:tcPr>
          <w:p w14:paraId="6327CCC8" w14:textId="30EA0C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08E812FD" w14:textId="1DDFBB09"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EMIM</w:t>
            </w:r>
          </w:p>
        </w:tc>
        <w:tc>
          <w:tcPr>
            <w:tcW w:w="3749" w:type="dxa"/>
            <w:shd w:val="clear" w:color="auto" w:fill="auto"/>
            <w:vAlign w:val="center"/>
          </w:tcPr>
          <w:p w14:paraId="4A2D30D4" w14:textId="2B16FD78"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Perfil de las Empresas Manufactureras de Exportación</w:t>
            </w:r>
          </w:p>
        </w:tc>
        <w:tc>
          <w:tcPr>
            <w:tcW w:w="1276" w:type="dxa"/>
            <w:shd w:val="clear" w:color="auto" w:fill="auto"/>
            <w:noWrap/>
            <w:vAlign w:val="center"/>
          </w:tcPr>
          <w:p w14:paraId="42B70257" w14:textId="2C06BD1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01E1AED5" w14:textId="1990BC5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49FCD215" w14:textId="609592F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540.0</w:t>
            </w:r>
          </w:p>
        </w:tc>
        <w:tc>
          <w:tcPr>
            <w:tcW w:w="1276" w:type="dxa"/>
            <w:shd w:val="clear" w:color="auto" w:fill="auto"/>
            <w:noWrap/>
            <w:vAlign w:val="bottom"/>
          </w:tcPr>
          <w:p w14:paraId="03144C06" w14:textId="653508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273</w:t>
            </w:r>
          </w:p>
        </w:tc>
        <w:tc>
          <w:tcPr>
            <w:tcW w:w="983" w:type="dxa"/>
            <w:shd w:val="clear" w:color="auto" w:fill="auto"/>
            <w:noWrap/>
            <w:vAlign w:val="center"/>
          </w:tcPr>
          <w:p w14:paraId="3CB524DF" w14:textId="3E854BA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231E774D" w14:textId="77777777" w:rsidTr="00357E0C">
        <w:trPr>
          <w:gridAfter w:val="1"/>
          <w:wAfter w:w="35" w:type="dxa"/>
          <w:trHeight w:val="284"/>
          <w:jc w:val="center"/>
        </w:trPr>
        <w:tc>
          <w:tcPr>
            <w:tcW w:w="1020" w:type="dxa"/>
            <w:shd w:val="clear" w:color="auto" w:fill="F2F2F2" w:themeFill="background1" w:themeFillShade="F2"/>
            <w:noWrap/>
            <w:vAlign w:val="center"/>
          </w:tcPr>
          <w:p w14:paraId="1B742547" w14:textId="1AB5117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F2F2F2" w:themeFill="background1" w:themeFillShade="F2"/>
            <w:noWrap/>
            <w:vAlign w:val="center"/>
          </w:tcPr>
          <w:p w14:paraId="51C6D2C2" w14:textId="2F6B4E4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EFIPEM</w:t>
            </w:r>
          </w:p>
        </w:tc>
        <w:tc>
          <w:tcPr>
            <w:tcW w:w="3749" w:type="dxa"/>
            <w:shd w:val="clear" w:color="auto" w:fill="F2F2F2" w:themeFill="background1" w:themeFillShade="F2"/>
            <w:vAlign w:val="center"/>
          </w:tcPr>
          <w:p w14:paraId="53903EA2" w14:textId="42A7E4E5"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Estadística de Finanzas Públicas Estatales y Municipales (ENFIPEM)</w:t>
            </w:r>
          </w:p>
        </w:tc>
        <w:tc>
          <w:tcPr>
            <w:tcW w:w="1276" w:type="dxa"/>
            <w:shd w:val="clear" w:color="auto" w:fill="F2F2F2" w:themeFill="background1" w:themeFillShade="F2"/>
            <w:noWrap/>
            <w:vAlign w:val="center"/>
          </w:tcPr>
          <w:p w14:paraId="5FBFA4BE" w14:textId="3E0507D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561FE956" w14:textId="620BD85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214759B1" w14:textId="7B76814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547.0</w:t>
            </w:r>
          </w:p>
        </w:tc>
        <w:tc>
          <w:tcPr>
            <w:tcW w:w="1276" w:type="dxa"/>
            <w:shd w:val="clear" w:color="auto" w:fill="F2F2F2" w:themeFill="background1" w:themeFillShade="F2"/>
            <w:noWrap/>
            <w:vAlign w:val="center"/>
          </w:tcPr>
          <w:p w14:paraId="49489FC9" w14:textId="0C496EB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267.0</w:t>
            </w:r>
          </w:p>
        </w:tc>
        <w:tc>
          <w:tcPr>
            <w:tcW w:w="983" w:type="dxa"/>
            <w:shd w:val="clear" w:color="auto" w:fill="F2F2F2" w:themeFill="background1" w:themeFillShade="F2"/>
            <w:noWrap/>
            <w:vAlign w:val="center"/>
          </w:tcPr>
          <w:p w14:paraId="0226BC9D" w14:textId="782801E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63DEA5EE" w14:textId="77777777" w:rsidTr="00996D2E">
        <w:trPr>
          <w:gridAfter w:val="1"/>
          <w:wAfter w:w="35" w:type="dxa"/>
          <w:trHeight w:val="284"/>
          <w:jc w:val="center"/>
        </w:trPr>
        <w:tc>
          <w:tcPr>
            <w:tcW w:w="1020" w:type="dxa"/>
            <w:shd w:val="clear" w:color="auto" w:fill="auto"/>
            <w:noWrap/>
            <w:vAlign w:val="center"/>
          </w:tcPr>
          <w:p w14:paraId="62D39B84" w14:textId="31DE861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Arial" w:hAnsi="Arial" w:cs="Arial"/>
                <w:sz w:val="16"/>
                <w:szCs w:val="16"/>
              </w:rPr>
              <w:t>DGEE</w:t>
            </w:r>
          </w:p>
        </w:tc>
        <w:tc>
          <w:tcPr>
            <w:tcW w:w="1265" w:type="dxa"/>
            <w:shd w:val="clear" w:color="auto" w:fill="auto"/>
            <w:noWrap/>
            <w:vAlign w:val="center"/>
          </w:tcPr>
          <w:p w14:paraId="6B01FFED" w14:textId="40CBD62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Arial" w:hAnsi="Arial" w:cs="Arial"/>
                <w:sz w:val="16"/>
                <w:szCs w:val="16"/>
              </w:rPr>
              <w:t>SCNM_CT</w:t>
            </w:r>
          </w:p>
        </w:tc>
        <w:tc>
          <w:tcPr>
            <w:tcW w:w="3749" w:type="dxa"/>
            <w:shd w:val="clear" w:color="auto" w:fill="auto"/>
            <w:vAlign w:val="center"/>
          </w:tcPr>
          <w:p w14:paraId="46C4134B" w14:textId="66E4A622"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 Satélite del Sector Salud de México.</w:t>
            </w:r>
          </w:p>
        </w:tc>
        <w:tc>
          <w:tcPr>
            <w:tcW w:w="1276" w:type="dxa"/>
            <w:shd w:val="clear" w:color="auto" w:fill="auto"/>
            <w:noWrap/>
            <w:vAlign w:val="center"/>
          </w:tcPr>
          <w:p w14:paraId="6B25092C" w14:textId="6CC6571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06DDD087" w14:textId="100901E7"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0695821E" w14:textId="449AB2E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719.0</w:t>
            </w:r>
          </w:p>
        </w:tc>
        <w:tc>
          <w:tcPr>
            <w:tcW w:w="1276" w:type="dxa"/>
            <w:shd w:val="clear" w:color="auto" w:fill="auto"/>
            <w:noWrap/>
            <w:vAlign w:val="center"/>
          </w:tcPr>
          <w:p w14:paraId="30AD7FC8" w14:textId="7DCDA29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348.0</w:t>
            </w:r>
          </w:p>
        </w:tc>
        <w:tc>
          <w:tcPr>
            <w:tcW w:w="983" w:type="dxa"/>
            <w:shd w:val="clear" w:color="auto" w:fill="auto"/>
            <w:noWrap/>
            <w:vAlign w:val="center"/>
          </w:tcPr>
          <w:p w14:paraId="0B0BEF0E" w14:textId="54E3DC9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15E422B6" w14:textId="77777777" w:rsidTr="00357E0C">
        <w:trPr>
          <w:gridAfter w:val="1"/>
          <w:wAfter w:w="35" w:type="dxa"/>
          <w:trHeight w:val="284"/>
          <w:jc w:val="center"/>
        </w:trPr>
        <w:tc>
          <w:tcPr>
            <w:tcW w:w="1020" w:type="dxa"/>
            <w:shd w:val="clear" w:color="auto" w:fill="F2F2F2" w:themeFill="background1" w:themeFillShade="F2"/>
            <w:noWrap/>
            <w:vAlign w:val="center"/>
          </w:tcPr>
          <w:p w14:paraId="6F907DFD" w14:textId="449357D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Arial" w:hAnsi="Arial" w:cs="Arial"/>
                <w:sz w:val="16"/>
                <w:szCs w:val="16"/>
              </w:rPr>
              <w:t>DGEE</w:t>
            </w:r>
          </w:p>
        </w:tc>
        <w:tc>
          <w:tcPr>
            <w:tcW w:w="1265" w:type="dxa"/>
            <w:shd w:val="clear" w:color="auto" w:fill="F2F2F2" w:themeFill="background1" w:themeFillShade="F2"/>
            <w:noWrap/>
            <w:vAlign w:val="center"/>
          </w:tcPr>
          <w:p w14:paraId="153E4DA5" w14:textId="639CAC2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Arial" w:hAnsi="Arial" w:cs="Arial"/>
                <w:sz w:val="16"/>
                <w:szCs w:val="16"/>
              </w:rPr>
              <w:t>CSI</w:t>
            </w:r>
          </w:p>
        </w:tc>
        <w:tc>
          <w:tcPr>
            <w:tcW w:w="3749" w:type="dxa"/>
            <w:shd w:val="clear" w:color="auto" w:fill="F2F2F2" w:themeFill="background1" w:themeFillShade="F2"/>
            <w:vAlign w:val="center"/>
          </w:tcPr>
          <w:p w14:paraId="12357ACD" w14:textId="0C85ACCA"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Cuentas por Sectores Institucionales trimestrales</w:t>
            </w:r>
          </w:p>
        </w:tc>
        <w:tc>
          <w:tcPr>
            <w:tcW w:w="1276" w:type="dxa"/>
            <w:shd w:val="clear" w:color="auto" w:fill="F2F2F2" w:themeFill="background1" w:themeFillShade="F2"/>
            <w:noWrap/>
            <w:vAlign w:val="center"/>
          </w:tcPr>
          <w:p w14:paraId="28B4C55E" w14:textId="7F42799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Trimestral</w:t>
            </w:r>
          </w:p>
        </w:tc>
        <w:tc>
          <w:tcPr>
            <w:tcW w:w="2977" w:type="dxa"/>
            <w:shd w:val="clear" w:color="auto" w:fill="F2F2F2" w:themeFill="background1" w:themeFillShade="F2"/>
            <w:noWrap/>
            <w:vAlign w:val="center"/>
          </w:tcPr>
          <w:p w14:paraId="3A047826" w14:textId="343F057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L - Lineamiento institucional</w:t>
            </w:r>
          </w:p>
        </w:tc>
        <w:tc>
          <w:tcPr>
            <w:tcW w:w="1559" w:type="dxa"/>
            <w:shd w:val="clear" w:color="auto" w:fill="F2F2F2" w:themeFill="background1" w:themeFillShade="F2"/>
            <w:noWrap/>
            <w:vAlign w:val="center"/>
          </w:tcPr>
          <w:p w14:paraId="58820AD7" w14:textId="70C0C8C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330.0</w:t>
            </w:r>
          </w:p>
        </w:tc>
        <w:tc>
          <w:tcPr>
            <w:tcW w:w="1276" w:type="dxa"/>
            <w:shd w:val="clear" w:color="auto" w:fill="F2F2F2" w:themeFill="background1" w:themeFillShade="F2"/>
            <w:noWrap/>
            <w:vAlign w:val="center"/>
          </w:tcPr>
          <w:p w14:paraId="0FE6CD6C" w14:textId="2EE4008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155.0</w:t>
            </w:r>
          </w:p>
        </w:tc>
        <w:tc>
          <w:tcPr>
            <w:tcW w:w="983" w:type="dxa"/>
            <w:shd w:val="clear" w:color="auto" w:fill="F2F2F2" w:themeFill="background1" w:themeFillShade="F2"/>
            <w:noWrap/>
            <w:vAlign w:val="center"/>
          </w:tcPr>
          <w:p w14:paraId="2463709E" w14:textId="7BF5A47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5ED8BB8E" w14:textId="77777777" w:rsidTr="00996D2E">
        <w:trPr>
          <w:gridAfter w:val="1"/>
          <w:wAfter w:w="35" w:type="dxa"/>
          <w:trHeight w:val="284"/>
          <w:jc w:val="center"/>
        </w:trPr>
        <w:tc>
          <w:tcPr>
            <w:tcW w:w="1020" w:type="dxa"/>
            <w:shd w:val="clear" w:color="auto" w:fill="auto"/>
            <w:noWrap/>
            <w:vAlign w:val="center"/>
          </w:tcPr>
          <w:p w14:paraId="6C145444" w14:textId="19B27BFD"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DEGE</w:t>
            </w:r>
          </w:p>
        </w:tc>
        <w:tc>
          <w:tcPr>
            <w:tcW w:w="1265" w:type="dxa"/>
            <w:shd w:val="clear" w:color="auto" w:fill="auto"/>
            <w:noWrap/>
            <w:vAlign w:val="center"/>
          </w:tcPr>
          <w:p w14:paraId="62F19EBA" w14:textId="6F4B52F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eastAsia="Times New Roman" w:hAnsi="Century Gothic" w:cs="Arial"/>
                <w:sz w:val="16"/>
                <w:szCs w:val="16"/>
                <w:lang w:eastAsia="es-MX"/>
              </w:rPr>
              <w:t>CCP</w:t>
            </w:r>
          </w:p>
        </w:tc>
        <w:tc>
          <w:tcPr>
            <w:tcW w:w="3749" w:type="dxa"/>
            <w:shd w:val="clear" w:color="auto" w:fill="auto"/>
            <w:vAlign w:val="center"/>
          </w:tcPr>
          <w:p w14:paraId="6A63204E" w14:textId="37BB3842" w:rsidR="00511C2C" w:rsidRPr="009A501D" w:rsidRDefault="00511C2C" w:rsidP="00511C2C">
            <w:pPr>
              <w:spacing w:after="0" w:line="240" w:lineRule="auto"/>
              <w:rPr>
                <w:rFonts w:ascii="Century Gothic" w:eastAsia="Times New Roman" w:hAnsi="Century Gothic" w:cs="Arial"/>
                <w:sz w:val="16"/>
                <w:szCs w:val="16"/>
                <w:lang w:eastAsia="es-MX"/>
              </w:rPr>
            </w:pPr>
            <w:r w:rsidRPr="009A501D">
              <w:rPr>
                <w:rFonts w:ascii="Century Gothic" w:hAnsi="Century Gothic" w:cs="Arial"/>
                <w:sz w:val="16"/>
                <w:szCs w:val="16"/>
              </w:rPr>
              <w:t>Producto Interno Bruto por Entidad Federativa</w:t>
            </w:r>
          </w:p>
        </w:tc>
        <w:tc>
          <w:tcPr>
            <w:tcW w:w="1276" w:type="dxa"/>
            <w:shd w:val="clear" w:color="auto" w:fill="auto"/>
            <w:noWrap/>
            <w:vAlign w:val="center"/>
          </w:tcPr>
          <w:p w14:paraId="77DB4F43" w14:textId="246A042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Anual</w:t>
            </w:r>
          </w:p>
        </w:tc>
        <w:tc>
          <w:tcPr>
            <w:tcW w:w="2977" w:type="dxa"/>
            <w:shd w:val="clear" w:color="auto" w:fill="auto"/>
            <w:noWrap/>
            <w:vAlign w:val="center"/>
          </w:tcPr>
          <w:p w14:paraId="337CB201" w14:textId="122D631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51C5A329" w14:textId="72405CC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730.0</w:t>
            </w:r>
          </w:p>
        </w:tc>
        <w:tc>
          <w:tcPr>
            <w:tcW w:w="1276" w:type="dxa"/>
            <w:shd w:val="clear" w:color="auto" w:fill="auto"/>
            <w:noWrap/>
            <w:vAlign w:val="center"/>
          </w:tcPr>
          <w:p w14:paraId="26112AB9" w14:textId="2A3400D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341.0</w:t>
            </w:r>
          </w:p>
        </w:tc>
        <w:tc>
          <w:tcPr>
            <w:tcW w:w="983" w:type="dxa"/>
            <w:shd w:val="clear" w:color="auto" w:fill="auto"/>
            <w:noWrap/>
            <w:vAlign w:val="center"/>
          </w:tcPr>
          <w:p w14:paraId="7BA0B1FA" w14:textId="2810AA3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0.5</w:t>
            </w:r>
          </w:p>
        </w:tc>
      </w:tr>
      <w:tr w:rsidR="00511C2C" w:rsidRPr="009A501D" w14:paraId="591C75AE" w14:textId="77777777" w:rsidTr="00A42307">
        <w:trPr>
          <w:gridAfter w:val="1"/>
          <w:wAfter w:w="35" w:type="dxa"/>
          <w:trHeight w:val="284"/>
          <w:jc w:val="center"/>
        </w:trPr>
        <w:tc>
          <w:tcPr>
            <w:tcW w:w="1020" w:type="dxa"/>
            <w:shd w:val="clear" w:color="auto" w:fill="F2F2F2" w:themeFill="background1" w:themeFillShade="F2"/>
            <w:noWrap/>
            <w:vAlign w:val="center"/>
          </w:tcPr>
          <w:p w14:paraId="3BA01A9E" w14:textId="225FF593" w:rsidR="00511C2C" w:rsidRPr="009A501D" w:rsidRDefault="00511C2C" w:rsidP="00511C2C">
            <w:pPr>
              <w:spacing w:after="0" w:line="240" w:lineRule="auto"/>
              <w:jc w:val="center"/>
              <w:rPr>
                <w:rFonts w:ascii="Arial" w:hAnsi="Arial" w:cs="Arial"/>
                <w:sz w:val="16"/>
                <w:szCs w:val="16"/>
              </w:rPr>
            </w:pPr>
            <w:r w:rsidRPr="009A501D">
              <w:rPr>
                <w:rFonts w:ascii="Arial" w:hAnsi="Arial" w:cs="Arial"/>
                <w:sz w:val="16"/>
                <w:szCs w:val="16"/>
              </w:rPr>
              <w:t>DGEE</w:t>
            </w:r>
          </w:p>
        </w:tc>
        <w:tc>
          <w:tcPr>
            <w:tcW w:w="1265" w:type="dxa"/>
            <w:shd w:val="clear" w:color="auto" w:fill="F2F2F2" w:themeFill="background1" w:themeFillShade="F2"/>
            <w:noWrap/>
            <w:vAlign w:val="center"/>
          </w:tcPr>
          <w:p w14:paraId="0829E5AF" w14:textId="565CD53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VMRC</w:t>
            </w:r>
          </w:p>
        </w:tc>
        <w:tc>
          <w:tcPr>
            <w:tcW w:w="3749" w:type="dxa"/>
            <w:shd w:val="clear" w:color="auto" w:fill="F2F2F2" w:themeFill="background1" w:themeFillShade="F2"/>
            <w:vAlign w:val="center"/>
          </w:tcPr>
          <w:p w14:paraId="4A5D2C96" w14:textId="426C0CB3"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Estadística de Vehículos de Motor Registrados en Circulación</w:t>
            </w:r>
          </w:p>
        </w:tc>
        <w:tc>
          <w:tcPr>
            <w:tcW w:w="1276" w:type="dxa"/>
            <w:shd w:val="clear" w:color="auto" w:fill="F2F2F2" w:themeFill="background1" w:themeFillShade="F2"/>
            <w:noWrap/>
            <w:vAlign w:val="center"/>
          </w:tcPr>
          <w:p w14:paraId="7384514D" w14:textId="462FFC94"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Mensual</w:t>
            </w:r>
          </w:p>
        </w:tc>
        <w:tc>
          <w:tcPr>
            <w:tcW w:w="2977" w:type="dxa"/>
            <w:shd w:val="clear" w:color="auto" w:fill="F2F2F2" w:themeFill="background1" w:themeFillShade="F2"/>
            <w:noWrap/>
            <w:vAlign w:val="center"/>
          </w:tcPr>
          <w:p w14:paraId="362FFCDF" w14:textId="39F9938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6A04C143" w14:textId="369D931C"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30</w:t>
            </w:r>
          </w:p>
        </w:tc>
        <w:tc>
          <w:tcPr>
            <w:tcW w:w="1276" w:type="dxa"/>
            <w:shd w:val="clear" w:color="auto" w:fill="F2F2F2" w:themeFill="background1" w:themeFillShade="F2"/>
            <w:noWrap/>
            <w:vAlign w:val="bottom"/>
          </w:tcPr>
          <w:p w14:paraId="537727C4" w14:textId="562176A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13.08</w:t>
            </w:r>
          </w:p>
        </w:tc>
        <w:tc>
          <w:tcPr>
            <w:tcW w:w="983" w:type="dxa"/>
            <w:shd w:val="clear" w:color="auto" w:fill="F2F2F2" w:themeFill="background1" w:themeFillShade="F2"/>
            <w:noWrap/>
            <w:vAlign w:val="center"/>
          </w:tcPr>
          <w:p w14:paraId="1D3D70C8" w14:textId="5CD2E56C"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0.6</w:t>
            </w:r>
          </w:p>
        </w:tc>
      </w:tr>
      <w:tr w:rsidR="00511C2C" w:rsidRPr="009A501D" w14:paraId="6C68DF64" w14:textId="77777777" w:rsidTr="00A42307">
        <w:trPr>
          <w:gridAfter w:val="1"/>
          <w:wAfter w:w="35" w:type="dxa"/>
          <w:trHeight w:val="284"/>
          <w:jc w:val="center"/>
        </w:trPr>
        <w:tc>
          <w:tcPr>
            <w:tcW w:w="1020" w:type="dxa"/>
            <w:shd w:val="clear" w:color="auto" w:fill="auto"/>
            <w:noWrap/>
            <w:vAlign w:val="center"/>
          </w:tcPr>
          <w:p w14:paraId="33DB89ED" w14:textId="21B855E0"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08470A4A" w14:textId="37C32C9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ENDIREH</w:t>
            </w:r>
          </w:p>
        </w:tc>
        <w:tc>
          <w:tcPr>
            <w:tcW w:w="3749" w:type="dxa"/>
            <w:shd w:val="clear" w:color="auto" w:fill="auto"/>
            <w:vAlign w:val="center"/>
          </w:tcPr>
          <w:p w14:paraId="28626D69" w14:textId="5592A23A"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Encuesta Nacional sobre la Dinámica de las Relaciones en los Hogares (ENDIREH).</w:t>
            </w:r>
          </w:p>
        </w:tc>
        <w:tc>
          <w:tcPr>
            <w:tcW w:w="1276" w:type="dxa"/>
            <w:shd w:val="clear" w:color="auto" w:fill="auto"/>
            <w:noWrap/>
            <w:vAlign w:val="center"/>
          </w:tcPr>
          <w:p w14:paraId="630C1548" w14:textId="75667132"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Quinquenal</w:t>
            </w:r>
          </w:p>
        </w:tc>
        <w:tc>
          <w:tcPr>
            <w:tcW w:w="2977" w:type="dxa"/>
            <w:shd w:val="clear" w:color="auto" w:fill="auto"/>
            <w:noWrap/>
            <w:vAlign w:val="center"/>
          </w:tcPr>
          <w:p w14:paraId="61995793" w14:textId="76117B1B"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52C19C3C" w14:textId="17ACA309"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571.0</w:t>
            </w:r>
          </w:p>
        </w:tc>
        <w:tc>
          <w:tcPr>
            <w:tcW w:w="1276" w:type="dxa"/>
            <w:shd w:val="clear" w:color="auto" w:fill="auto"/>
            <w:noWrap/>
            <w:vAlign w:val="bottom"/>
          </w:tcPr>
          <w:p w14:paraId="689390F9" w14:textId="54F75D3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242</w:t>
            </w:r>
          </w:p>
        </w:tc>
        <w:tc>
          <w:tcPr>
            <w:tcW w:w="983" w:type="dxa"/>
            <w:shd w:val="clear" w:color="auto" w:fill="auto"/>
            <w:noWrap/>
            <w:vAlign w:val="center"/>
          </w:tcPr>
          <w:p w14:paraId="002D7EDF" w14:textId="30C01C17"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0.6</w:t>
            </w:r>
          </w:p>
        </w:tc>
      </w:tr>
      <w:tr w:rsidR="00511C2C" w:rsidRPr="009A501D" w14:paraId="2E7E7E9F" w14:textId="77777777" w:rsidTr="00A42307">
        <w:trPr>
          <w:gridAfter w:val="1"/>
          <w:wAfter w:w="35" w:type="dxa"/>
          <w:trHeight w:val="284"/>
          <w:jc w:val="center"/>
        </w:trPr>
        <w:tc>
          <w:tcPr>
            <w:tcW w:w="1020" w:type="dxa"/>
            <w:shd w:val="clear" w:color="auto" w:fill="F2F2F2" w:themeFill="background1" w:themeFillShade="F2"/>
            <w:noWrap/>
            <w:vAlign w:val="center"/>
          </w:tcPr>
          <w:p w14:paraId="0E4EE9E2" w14:textId="550263AA"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F2F2F2" w:themeFill="background1" w:themeFillShade="F2"/>
            <w:noWrap/>
            <w:vAlign w:val="center"/>
          </w:tcPr>
          <w:p w14:paraId="046F29D8" w14:textId="57B64B45"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EDR</w:t>
            </w:r>
          </w:p>
        </w:tc>
        <w:tc>
          <w:tcPr>
            <w:tcW w:w="3749" w:type="dxa"/>
            <w:shd w:val="clear" w:color="auto" w:fill="F2F2F2" w:themeFill="background1" w:themeFillShade="F2"/>
            <w:vAlign w:val="center"/>
          </w:tcPr>
          <w:p w14:paraId="37A4F36C" w14:textId="07728018"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Estadística de Defunciones Registradas</w:t>
            </w:r>
          </w:p>
        </w:tc>
        <w:tc>
          <w:tcPr>
            <w:tcW w:w="1276" w:type="dxa"/>
            <w:shd w:val="clear" w:color="auto" w:fill="F2F2F2" w:themeFill="background1" w:themeFillShade="F2"/>
            <w:noWrap/>
            <w:vAlign w:val="center"/>
          </w:tcPr>
          <w:p w14:paraId="4E1B59AA" w14:textId="4EA8CD05"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Anual</w:t>
            </w:r>
          </w:p>
        </w:tc>
        <w:tc>
          <w:tcPr>
            <w:tcW w:w="2977" w:type="dxa"/>
            <w:shd w:val="clear" w:color="auto" w:fill="F2F2F2" w:themeFill="background1" w:themeFillShade="F2"/>
            <w:noWrap/>
            <w:vAlign w:val="center"/>
          </w:tcPr>
          <w:p w14:paraId="0A4BAA06" w14:textId="3CCE0A6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R - Recomendación internacional</w:t>
            </w:r>
          </w:p>
        </w:tc>
        <w:tc>
          <w:tcPr>
            <w:tcW w:w="1559" w:type="dxa"/>
            <w:shd w:val="clear" w:color="auto" w:fill="F2F2F2" w:themeFill="background1" w:themeFillShade="F2"/>
            <w:noWrap/>
            <w:vAlign w:val="center"/>
          </w:tcPr>
          <w:p w14:paraId="13C664CD" w14:textId="477256E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365.0</w:t>
            </w:r>
          </w:p>
        </w:tc>
        <w:tc>
          <w:tcPr>
            <w:tcW w:w="1276" w:type="dxa"/>
            <w:shd w:val="clear" w:color="auto" w:fill="F2F2F2" w:themeFill="background1" w:themeFillShade="F2"/>
            <w:noWrap/>
            <w:vAlign w:val="bottom"/>
          </w:tcPr>
          <w:p w14:paraId="3D15BDED" w14:textId="087DBAD0"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151</w:t>
            </w:r>
          </w:p>
        </w:tc>
        <w:tc>
          <w:tcPr>
            <w:tcW w:w="983" w:type="dxa"/>
            <w:shd w:val="clear" w:color="auto" w:fill="F2F2F2" w:themeFill="background1" w:themeFillShade="F2"/>
            <w:noWrap/>
            <w:vAlign w:val="center"/>
          </w:tcPr>
          <w:p w14:paraId="06240272" w14:textId="5A746293"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0.6</w:t>
            </w:r>
          </w:p>
        </w:tc>
      </w:tr>
      <w:tr w:rsidR="00511C2C" w:rsidRPr="009A501D" w14:paraId="1FB8C5A5" w14:textId="77777777" w:rsidTr="00996D2E">
        <w:trPr>
          <w:gridAfter w:val="1"/>
          <w:wAfter w:w="35" w:type="dxa"/>
          <w:trHeight w:val="284"/>
          <w:jc w:val="center"/>
        </w:trPr>
        <w:tc>
          <w:tcPr>
            <w:tcW w:w="1020" w:type="dxa"/>
            <w:shd w:val="clear" w:color="auto" w:fill="auto"/>
            <w:noWrap/>
            <w:vAlign w:val="center"/>
          </w:tcPr>
          <w:p w14:paraId="45CC5DDF" w14:textId="3DF6974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4C3A121F" w14:textId="3815DAD4"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CNSPE</w:t>
            </w:r>
          </w:p>
        </w:tc>
        <w:tc>
          <w:tcPr>
            <w:tcW w:w="3749" w:type="dxa"/>
            <w:shd w:val="clear" w:color="auto" w:fill="auto"/>
            <w:vAlign w:val="center"/>
          </w:tcPr>
          <w:p w14:paraId="6AD60E7E" w14:textId="3978C9AA"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Censo Nacional de Seguridad Pública Estatal (CNSPE), 2022.</w:t>
            </w:r>
          </w:p>
        </w:tc>
        <w:tc>
          <w:tcPr>
            <w:tcW w:w="1276" w:type="dxa"/>
            <w:shd w:val="clear" w:color="auto" w:fill="auto"/>
            <w:noWrap/>
            <w:vAlign w:val="center"/>
          </w:tcPr>
          <w:p w14:paraId="30F6F2CF" w14:textId="69DD3FA5"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Sin periodicidad definida</w:t>
            </w:r>
          </w:p>
        </w:tc>
        <w:tc>
          <w:tcPr>
            <w:tcW w:w="2977" w:type="dxa"/>
            <w:shd w:val="clear" w:color="auto" w:fill="auto"/>
            <w:noWrap/>
            <w:vAlign w:val="center"/>
          </w:tcPr>
          <w:p w14:paraId="0CCDAC92" w14:textId="67DF8251"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49620773" w14:textId="0497546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729.0</w:t>
            </w:r>
          </w:p>
        </w:tc>
        <w:tc>
          <w:tcPr>
            <w:tcW w:w="1276" w:type="dxa"/>
            <w:shd w:val="clear" w:color="auto" w:fill="auto"/>
            <w:noWrap/>
            <w:vAlign w:val="center"/>
          </w:tcPr>
          <w:p w14:paraId="50C49946" w14:textId="3C8E2B11"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271.0</w:t>
            </w:r>
          </w:p>
        </w:tc>
        <w:tc>
          <w:tcPr>
            <w:tcW w:w="983" w:type="dxa"/>
            <w:shd w:val="clear" w:color="auto" w:fill="auto"/>
            <w:noWrap/>
            <w:vAlign w:val="center"/>
          </w:tcPr>
          <w:p w14:paraId="2138EBBF" w14:textId="35170CBC"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0.6</w:t>
            </w:r>
          </w:p>
        </w:tc>
      </w:tr>
      <w:tr w:rsidR="00511C2C" w:rsidRPr="009A501D" w14:paraId="0ED24319" w14:textId="77777777" w:rsidTr="00357E0C">
        <w:trPr>
          <w:gridAfter w:val="1"/>
          <w:wAfter w:w="35" w:type="dxa"/>
          <w:trHeight w:val="284"/>
          <w:jc w:val="center"/>
        </w:trPr>
        <w:tc>
          <w:tcPr>
            <w:tcW w:w="1020" w:type="dxa"/>
            <w:shd w:val="clear" w:color="auto" w:fill="F2F2F2" w:themeFill="background1" w:themeFillShade="F2"/>
            <w:noWrap/>
            <w:vAlign w:val="center"/>
          </w:tcPr>
          <w:p w14:paraId="0E831AD1" w14:textId="50504ECE"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56A88F87" w14:textId="33EC0BC1"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CNGE</w:t>
            </w:r>
          </w:p>
        </w:tc>
        <w:tc>
          <w:tcPr>
            <w:tcW w:w="3749" w:type="dxa"/>
            <w:shd w:val="clear" w:color="auto" w:fill="F2F2F2" w:themeFill="background1" w:themeFillShade="F2"/>
            <w:vAlign w:val="center"/>
          </w:tcPr>
          <w:p w14:paraId="1B971273" w14:textId="018BB991"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Censo Nacional de Gobiernos Estatales</w:t>
            </w:r>
          </w:p>
        </w:tc>
        <w:tc>
          <w:tcPr>
            <w:tcW w:w="1276" w:type="dxa"/>
            <w:shd w:val="clear" w:color="auto" w:fill="F2F2F2" w:themeFill="background1" w:themeFillShade="F2"/>
            <w:noWrap/>
            <w:vAlign w:val="center"/>
          </w:tcPr>
          <w:p w14:paraId="0DAB888B" w14:textId="685AA9F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 xml:space="preserve">Cada </w:t>
            </w:r>
            <w:proofErr w:type="gramStart"/>
            <w:r w:rsidRPr="009A501D">
              <w:rPr>
                <w:rFonts w:ascii="Century Gothic" w:hAnsi="Century Gothic" w:cs="Arial"/>
                <w:sz w:val="16"/>
                <w:szCs w:val="16"/>
              </w:rPr>
              <w:t>3  años</w:t>
            </w:r>
            <w:proofErr w:type="gramEnd"/>
          </w:p>
        </w:tc>
        <w:tc>
          <w:tcPr>
            <w:tcW w:w="2977" w:type="dxa"/>
            <w:shd w:val="clear" w:color="auto" w:fill="F2F2F2" w:themeFill="background1" w:themeFillShade="F2"/>
            <w:noWrap/>
            <w:vAlign w:val="center"/>
          </w:tcPr>
          <w:p w14:paraId="08A1E9E8" w14:textId="79377512"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46971F9B" w14:textId="5F932102"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716.0</w:t>
            </w:r>
          </w:p>
        </w:tc>
        <w:tc>
          <w:tcPr>
            <w:tcW w:w="1276" w:type="dxa"/>
            <w:shd w:val="clear" w:color="auto" w:fill="F2F2F2" w:themeFill="background1" w:themeFillShade="F2"/>
            <w:noWrap/>
            <w:vAlign w:val="center"/>
          </w:tcPr>
          <w:p w14:paraId="2EA44B3C" w14:textId="2A66321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244.0</w:t>
            </w:r>
          </w:p>
        </w:tc>
        <w:tc>
          <w:tcPr>
            <w:tcW w:w="983" w:type="dxa"/>
            <w:shd w:val="clear" w:color="auto" w:fill="F2F2F2" w:themeFill="background1" w:themeFillShade="F2"/>
            <w:noWrap/>
            <w:vAlign w:val="center"/>
          </w:tcPr>
          <w:p w14:paraId="6FE71309" w14:textId="2D9CEA43"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0.7</w:t>
            </w:r>
          </w:p>
        </w:tc>
      </w:tr>
      <w:tr w:rsidR="00511C2C" w:rsidRPr="009A501D" w14:paraId="4C940022" w14:textId="77777777" w:rsidTr="00A42307">
        <w:trPr>
          <w:gridAfter w:val="1"/>
          <w:wAfter w:w="35" w:type="dxa"/>
          <w:trHeight w:val="284"/>
          <w:jc w:val="center"/>
        </w:trPr>
        <w:tc>
          <w:tcPr>
            <w:tcW w:w="1020" w:type="dxa"/>
            <w:shd w:val="clear" w:color="auto" w:fill="auto"/>
            <w:noWrap/>
            <w:vAlign w:val="center"/>
          </w:tcPr>
          <w:p w14:paraId="3364CF41" w14:textId="77D3C58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DGES</w:t>
            </w:r>
          </w:p>
        </w:tc>
        <w:tc>
          <w:tcPr>
            <w:tcW w:w="1265" w:type="dxa"/>
            <w:shd w:val="clear" w:color="auto" w:fill="auto"/>
            <w:noWrap/>
            <w:vAlign w:val="center"/>
          </w:tcPr>
          <w:p w14:paraId="3D6FBACB" w14:textId="124CFCC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EDF</w:t>
            </w:r>
          </w:p>
        </w:tc>
        <w:tc>
          <w:tcPr>
            <w:tcW w:w="3749" w:type="dxa"/>
            <w:shd w:val="clear" w:color="auto" w:fill="auto"/>
            <w:vAlign w:val="center"/>
          </w:tcPr>
          <w:p w14:paraId="025DD0D8" w14:textId="2E89E4D0"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 xml:space="preserve">Estadística de Defunciones Fetales </w:t>
            </w:r>
          </w:p>
        </w:tc>
        <w:tc>
          <w:tcPr>
            <w:tcW w:w="1276" w:type="dxa"/>
            <w:shd w:val="clear" w:color="auto" w:fill="auto"/>
            <w:noWrap/>
            <w:vAlign w:val="center"/>
          </w:tcPr>
          <w:p w14:paraId="6421B2CD" w14:textId="7B1BD1D5"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Anual</w:t>
            </w:r>
          </w:p>
        </w:tc>
        <w:tc>
          <w:tcPr>
            <w:tcW w:w="2977" w:type="dxa"/>
            <w:shd w:val="clear" w:color="auto" w:fill="auto"/>
            <w:noWrap/>
            <w:vAlign w:val="center"/>
          </w:tcPr>
          <w:p w14:paraId="7BD5557D" w14:textId="754DC326"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R - Recomendación internacional</w:t>
            </w:r>
          </w:p>
        </w:tc>
        <w:tc>
          <w:tcPr>
            <w:tcW w:w="1559" w:type="dxa"/>
            <w:shd w:val="clear" w:color="auto" w:fill="auto"/>
            <w:noWrap/>
            <w:vAlign w:val="center"/>
          </w:tcPr>
          <w:p w14:paraId="423D8649" w14:textId="434482DD"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365.0</w:t>
            </w:r>
          </w:p>
        </w:tc>
        <w:tc>
          <w:tcPr>
            <w:tcW w:w="1276" w:type="dxa"/>
            <w:shd w:val="clear" w:color="auto" w:fill="auto"/>
            <w:noWrap/>
            <w:vAlign w:val="bottom"/>
          </w:tcPr>
          <w:p w14:paraId="4D556B52" w14:textId="365D2E14"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121.5</w:t>
            </w:r>
          </w:p>
        </w:tc>
        <w:tc>
          <w:tcPr>
            <w:tcW w:w="983" w:type="dxa"/>
            <w:shd w:val="clear" w:color="auto" w:fill="auto"/>
            <w:noWrap/>
            <w:vAlign w:val="center"/>
          </w:tcPr>
          <w:p w14:paraId="61030998" w14:textId="2FBD8E4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0.7</w:t>
            </w:r>
          </w:p>
        </w:tc>
      </w:tr>
      <w:tr w:rsidR="00511C2C" w:rsidRPr="009A501D" w14:paraId="54E3F155" w14:textId="77777777" w:rsidTr="00357E0C">
        <w:trPr>
          <w:gridAfter w:val="1"/>
          <w:wAfter w:w="35" w:type="dxa"/>
          <w:trHeight w:val="284"/>
          <w:jc w:val="center"/>
        </w:trPr>
        <w:tc>
          <w:tcPr>
            <w:tcW w:w="1020" w:type="dxa"/>
            <w:shd w:val="clear" w:color="auto" w:fill="F2F2F2" w:themeFill="background1" w:themeFillShade="F2"/>
            <w:noWrap/>
            <w:vAlign w:val="center"/>
          </w:tcPr>
          <w:p w14:paraId="64D5F21D" w14:textId="160831E8"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7EB63399" w14:textId="536F4B4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CNSIPEF</w:t>
            </w:r>
          </w:p>
        </w:tc>
        <w:tc>
          <w:tcPr>
            <w:tcW w:w="3749" w:type="dxa"/>
            <w:shd w:val="clear" w:color="auto" w:fill="F2F2F2" w:themeFill="background1" w:themeFillShade="F2"/>
            <w:vAlign w:val="center"/>
          </w:tcPr>
          <w:p w14:paraId="2EE67875" w14:textId="6FA7ACE5"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Calibri"/>
                <w:color w:val="000000"/>
                <w:sz w:val="16"/>
                <w:szCs w:val="16"/>
              </w:rPr>
              <w:t>Censo Nacional de Sistema Penitenciario Federal 2022.</w:t>
            </w:r>
          </w:p>
        </w:tc>
        <w:tc>
          <w:tcPr>
            <w:tcW w:w="1276" w:type="dxa"/>
            <w:shd w:val="clear" w:color="auto" w:fill="F2F2F2" w:themeFill="background1" w:themeFillShade="F2"/>
            <w:noWrap/>
            <w:vAlign w:val="center"/>
          </w:tcPr>
          <w:p w14:paraId="5AA7EE5A" w14:textId="0EA0BFAF"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Sin periodicidad definida</w:t>
            </w:r>
          </w:p>
        </w:tc>
        <w:tc>
          <w:tcPr>
            <w:tcW w:w="2977" w:type="dxa"/>
            <w:shd w:val="clear" w:color="auto" w:fill="F2F2F2" w:themeFill="background1" w:themeFillShade="F2"/>
            <w:noWrap/>
            <w:vAlign w:val="center"/>
          </w:tcPr>
          <w:p w14:paraId="776FE854" w14:textId="47E6650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1B30E577" w14:textId="6CBEB02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830.0</w:t>
            </w:r>
          </w:p>
        </w:tc>
        <w:tc>
          <w:tcPr>
            <w:tcW w:w="1276" w:type="dxa"/>
            <w:shd w:val="clear" w:color="auto" w:fill="F2F2F2" w:themeFill="background1" w:themeFillShade="F2"/>
            <w:noWrap/>
            <w:vAlign w:val="center"/>
          </w:tcPr>
          <w:p w14:paraId="3DDFBEF4" w14:textId="6A79D177"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202.0</w:t>
            </w:r>
          </w:p>
        </w:tc>
        <w:tc>
          <w:tcPr>
            <w:tcW w:w="983" w:type="dxa"/>
            <w:shd w:val="clear" w:color="auto" w:fill="F2F2F2" w:themeFill="background1" w:themeFillShade="F2"/>
            <w:noWrap/>
            <w:vAlign w:val="center"/>
          </w:tcPr>
          <w:p w14:paraId="4BAD5D5F" w14:textId="5E65ACB4"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0.8</w:t>
            </w:r>
          </w:p>
        </w:tc>
      </w:tr>
      <w:tr w:rsidR="00511C2C" w:rsidRPr="009A501D" w14:paraId="35CFEBEA" w14:textId="77777777" w:rsidTr="00996D2E">
        <w:trPr>
          <w:gridAfter w:val="1"/>
          <w:wAfter w:w="35" w:type="dxa"/>
          <w:trHeight w:val="284"/>
          <w:jc w:val="center"/>
        </w:trPr>
        <w:tc>
          <w:tcPr>
            <w:tcW w:w="1020" w:type="dxa"/>
            <w:shd w:val="clear" w:color="auto" w:fill="auto"/>
            <w:noWrap/>
            <w:vAlign w:val="center"/>
          </w:tcPr>
          <w:p w14:paraId="47AE3254" w14:textId="7D9F537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auto"/>
            <w:noWrap/>
            <w:vAlign w:val="center"/>
          </w:tcPr>
          <w:p w14:paraId="00CDA24D" w14:textId="645334B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Calibri"/>
                <w:color w:val="000000"/>
                <w:sz w:val="16"/>
                <w:szCs w:val="16"/>
              </w:rPr>
              <w:t>CNSIPEE</w:t>
            </w:r>
          </w:p>
        </w:tc>
        <w:tc>
          <w:tcPr>
            <w:tcW w:w="3749" w:type="dxa"/>
            <w:shd w:val="clear" w:color="auto" w:fill="auto"/>
            <w:vAlign w:val="center"/>
          </w:tcPr>
          <w:p w14:paraId="6BD81905" w14:textId="671AE50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Censo Nacional de Sistemas Penitenciarios Estatales, 2022.</w:t>
            </w:r>
          </w:p>
        </w:tc>
        <w:tc>
          <w:tcPr>
            <w:tcW w:w="1276" w:type="dxa"/>
            <w:shd w:val="clear" w:color="auto" w:fill="auto"/>
            <w:noWrap/>
            <w:vAlign w:val="center"/>
          </w:tcPr>
          <w:p w14:paraId="5C44C5BC" w14:textId="0DD19B2F"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Sin periodicidad definida</w:t>
            </w:r>
          </w:p>
        </w:tc>
        <w:tc>
          <w:tcPr>
            <w:tcW w:w="2977" w:type="dxa"/>
            <w:shd w:val="clear" w:color="auto" w:fill="auto"/>
            <w:noWrap/>
            <w:vAlign w:val="center"/>
          </w:tcPr>
          <w:p w14:paraId="5562987C" w14:textId="3D3B18C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auto"/>
            <w:noWrap/>
            <w:vAlign w:val="center"/>
          </w:tcPr>
          <w:p w14:paraId="4280A90F" w14:textId="1F32D87F"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830.0</w:t>
            </w:r>
          </w:p>
        </w:tc>
        <w:tc>
          <w:tcPr>
            <w:tcW w:w="1276" w:type="dxa"/>
            <w:shd w:val="clear" w:color="auto" w:fill="auto"/>
            <w:noWrap/>
            <w:vAlign w:val="center"/>
          </w:tcPr>
          <w:p w14:paraId="5CE28063" w14:textId="7CA8552D"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202.0</w:t>
            </w:r>
          </w:p>
        </w:tc>
        <w:tc>
          <w:tcPr>
            <w:tcW w:w="983" w:type="dxa"/>
            <w:shd w:val="clear" w:color="auto" w:fill="auto"/>
            <w:noWrap/>
            <w:vAlign w:val="center"/>
          </w:tcPr>
          <w:p w14:paraId="78642AEE" w14:textId="60D8A5C4"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0.8</w:t>
            </w:r>
          </w:p>
        </w:tc>
      </w:tr>
      <w:tr w:rsidR="00511C2C" w:rsidRPr="009A501D" w14:paraId="1FBEBCBB" w14:textId="77777777" w:rsidTr="00A42307">
        <w:trPr>
          <w:gridAfter w:val="1"/>
          <w:wAfter w:w="35" w:type="dxa"/>
          <w:trHeight w:val="284"/>
          <w:jc w:val="center"/>
        </w:trPr>
        <w:tc>
          <w:tcPr>
            <w:tcW w:w="1020" w:type="dxa"/>
            <w:shd w:val="clear" w:color="auto" w:fill="F2F2F2" w:themeFill="background1" w:themeFillShade="F2"/>
            <w:noWrap/>
            <w:vAlign w:val="center"/>
          </w:tcPr>
          <w:p w14:paraId="049A48CD" w14:textId="725C4B4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DGEGSPJ</w:t>
            </w:r>
          </w:p>
        </w:tc>
        <w:tc>
          <w:tcPr>
            <w:tcW w:w="1265" w:type="dxa"/>
            <w:shd w:val="clear" w:color="auto" w:fill="F2F2F2" w:themeFill="background1" w:themeFillShade="F2"/>
            <w:noWrap/>
            <w:vAlign w:val="center"/>
          </w:tcPr>
          <w:p w14:paraId="2DE79D51" w14:textId="59C2003F"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CNGMD</w:t>
            </w:r>
          </w:p>
        </w:tc>
        <w:tc>
          <w:tcPr>
            <w:tcW w:w="3749" w:type="dxa"/>
            <w:shd w:val="clear" w:color="auto" w:fill="F2F2F2" w:themeFill="background1" w:themeFillShade="F2"/>
            <w:vAlign w:val="center"/>
          </w:tcPr>
          <w:p w14:paraId="298AF2C9" w14:textId="0290561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Censo Nacional de Gobiernos Municipales y Demarcaciones Territoriales de la Ciudad de México</w:t>
            </w:r>
          </w:p>
        </w:tc>
        <w:tc>
          <w:tcPr>
            <w:tcW w:w="1276" w:type="dxa"/>
            <w:shd w:val="clear" w:color="auto" w:fill="F2F2F2" w:themeFill="background1" w:themeFillShade="F2"/>
            <w:noWrap/>
            <w:vAlign w:val="center"/>
          </w:tcPr>
          <w:p w14:paraId="5290D200" w14:textId="76447F95"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Bienal</w:t>
            </w:r>
          </w:p>
        </w:tc>
        <w:tc>
          <w:tcPr>
            <w:tcW w:w="2977" w:type="dxa"/>
            <w:shd w:val="clear" w:color="auto" w:fill="F2F2F2" w:themeFill="background1" w:themeFillShade="F2"/>
            <w:noWrap/>
            <w:vAlign w:val="center"/>
          </w:tcPr>
          <w:p w14:paraId="18D520B2" w14:textId="3CDF6A4C"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I - Propuesta interna</w:t>
            </w:r>
          </w:p>
        </w:tc>
        <w:tc>
          <w:tcPr>
            <w:tcW w:w="1559" w:type="dxa"/>
            <w:shd w:val="clear" w:color="auto" w:fill="F2F2F2" w:themeFill="background1" w:themeFillShade="F2"/>
            <w:noWrap/>
            <w:vAlign w:val="center"/>
          </w:tcPr>
          <w:p w14:paraId="43540636" w14:textId="61FDB70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424.0</w:t>
            </w:r>
          </w:p>
        </w:tc>
        <w:tc>
          <w:tcPr>
            <w:tcW w:w="1276" w:type="dxa"/>
            <w:shd w:val="clear" w:color="auto" w:fill="F2F2F2" w:themeFill="background1" w:themeFillShade="F2"/>
            <w:noWrap/>
            <w:vAlign w:val="bottom"/>
          </w:tcPr>
          <w:p w14:paraId="097F0C47" w14:textId="5D647EEF"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59</w:t>
            </w:r>
          </w:p>
        </w:tc>
        <w:tc>
          <w:tcPr>
            <w:tcW w:w="983" w:type="dxa"/>
            <w:shd w:val="clear" w:color="auto" w:fill="F2F2F2" w:themeFill="background1" w:themeFillShade="F2"/>
            <w:noWrap/>
            <w:vAlign w:val="center"/>
          </w:tcPr>
          <w:p w14:paraId="6A06BE48" w14:textId="73667169"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0.9</w:t>
            </w:r>
          </w:p>
        </w:tc>
      </w:tr>
      <w:tr w:rsidR="00511C2C" w:rsidRPr="009A501D" w14:paraId="77162D57" w14:textId="77777777" w:rsidTr="00A42307">
        <w:trPr>
          <w:gridAfter w:val="1"/>
          <w:wAfter w:w="35" w:type="dxa"/>
          <w:trHeight w:val="284"/>
          <w:jc w:val="center"/>
        </w:trPr>
        <w:tc>
          <w:tcPr>
            <w:tcW w:w="1020" w:type="dxa"/>
            <w:shd w:val="clear" w:color="auto" w:fill="auto"/>
            <w:noWrap/>
            <w:vAlign w:val="center"/>
          </w:tcPr>
          <w:p w14:paraId="735B0CF9" w14:textId="3C19BA23"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DGEE</w:t>
            </w:r>
          </w:p>
        </w:tc>
        <w:tc>
          <w:tcPr>
            <w:tcW w:w="1265" w:type="dxa"/>
            <w:shd w:val="clear" w:color="auto" w:fill="auto"/>
            <w:noWrap/>
            <w:vAlign w:val="center"/>
          </w:tcPr>
          <w:p w14:paraId="070DB1C2" w14:textId="4206A742"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CR</w:t>
            </w:r>
          </w:p>
        </w:tc>
        <w:tc>
          <w:tcPr>
            <w:tcW w:w="3749" w:type="dxa"/>
            <w:shd w:val="clear" w:color="auto" w:fill="auto"/>
            <w:vAlign w:val="center"/>
          </w:tcPr>
          <w:p w14:paraId="33691859" w14:textId="144B60F3"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Indicador Mensual de la Actividad Industrial por Entidad Federativa (IMAIEF).</w:t>
            </w:r>
          </w:p>
        </w:tc>
        <w:tc>
          <w:tcPr>
            <w:tcW w:w="1276" w:type="dxa"/>
            <w:shd w:val="clear" w:color="auto" w:fill="auto"/>
            <w:noWrap/>
            <w:vAlign w:val="center"/>
          </w:tcPr>
          <w:p w14:paraId="61D7E300" w14:textId="2AD3192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Mensual</w:t>
            </w:r>
          </w:p>
        </w:tc>
        <w:tc>
          <w:tcPr>
            <w:tcW w:w="2977" w:type="dxa"/>
            <w:shd w:val="clear" w:color="auto" w:fill="auto"/>
            <w:noWrap/>
            <w:vAlign w:val="center"/>
          </w:tcPr>
          <w:p w14:paraId="322C5A95" w14:textId="7F79B773"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L - Lineamiento institucional</w:t>
            </w:r>
          </w:p>
        </w:tc>
        <w:tc>
          <w:tcPr>
            <w:tcW w:w="1559" w:type="dxa"/>
            <w:shd w:val="clear" w:color="auto" w:fill="auto"/>
            <w:noWrap/>
            <w:vAlign w:val="center"/>
          </w:tcPr>
          <w:p w14:paraId="6A9BC8F6" w14:textId="7B7FAA63"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870.0</w:t>
            </w:r>
          </w:p>
        </w:tc>
        <w:tc>
          <w:tcPr>
            <w:tcW w:w="1276" w:type="dxa"/>
            <w:shd w:val="clear" w:color="auto" w:fill="auto"/>
            <w:noWrap/>
            <w:vAlign w:val="bottom"/>
          </w:tcPr>
          <w:p w14:paraId="75798677" w14:textId="6BB8A2A8"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100.5</w:t>
            </w:r>
          </w:p>
        </w:tc>
        <w:tc>
          <w:tcPr>
            <w:tcW w:w="983" w:type="dxa"/>
            <w:shd w:val="clear" w:color="auto" w:fill="auto"/>
            <w:noWrap/>
            <w:vAlign w:val="center"/>
          </w:tcPr>
          <w:p w14:paraId="52288229" w14:textId="2544E944"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0.9</w:t>
            </w:r>
          </w:p>
        </w:tc>
      </w:tr>
      <w:tr w:rsidR="00511C2C" w:rsidRPr="009A501D" w14:paraId="2A599A22" w14:textId="77777777" w:rsidTr="00A42307">
        <w:trPr>
          <w:gridAfter w:val="1"/>
          <w:wAfter w:w="35" w:type="dxa"/>
          <w:trHeight w:val="284"/>
          <w:jc w:val="center"/>
        </w:trPr>
        <w:tc>
          <w:tcPr>
            <w:tcW w:w="1020" w:type="dxa"/>
            <w:shd w:val="clear" w:color="auto" w:fill="F2F2F2" w:themeFill="background1" w:themeFillShade="F2"/>
            <w:noWrap/>
            <w:vAlign w:val="center"/>
          </w:tcPr>
          <w:p w14:paraId="28D669A1" w14:textId="5FB58E4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DGGMA</w:t>
            </w:r>
          </w:p>
        </w:tc>
        <w:tc>
          <w:tcPr>
            <w:tcW w:w="1265" w:type="dxa"/>
            <w:shd w:val="clear" w:color="auto" w:fill="F2F2F2" w:themeFill="background1" w:themeFillShade="F2"/>
            <w:noWrap/>
            <w:vAlign w:val="center"/>
          </w:tcPr>
          <w:p w14:paraId="449F0541" w14:textId="531FF296"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TOPO</w:t>
            </w:r>
          </w:p>
        </w:tc>
        <w:tc>
          <w:tcPr>
            <w:tcW w:w="3749" w:type="dxa"/>
            <w:shd w:val="clear" w:color="auto" w:fill="F2F2F2" w:themeFill="background1" w:themeFillShade="F2"/>
            <w:vAlign w:val="center"/>
          </w:tcPr>
          <w:p w14:paraId="23995832" w14:textId="0BAA588F"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Conjuntos de Datos Vectoriales de Información Topográfica escala 1:50 000, Serie III</w:t>
            </w:r>
          </w:p>
        </w:tc>
        <w:tc>
          <w:tcPr>
            <w:tcW w:w="1276" w:type="dxa"/>
            <w:shd w:val="clear" w:color="auto" w:fill="F2F2F2" w:themeFill="background1" w:themeFillShade="F2"/>
            <w:noWrap/>
            <w:vAlign w:val="center"/>
          </w:tcPr>
          <w:p w14:paraId="4CD937E0" w14:textId="2114274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Sexenal</w:t>
            </w:r>
          </w:p>
        </w:tc>
        <w:tc>
          <w:tcPr>
            <w:tcW w:w="2977" w:type="dxa"/>
            <w:shd w:val="clear" w:color="auto" w:fill="F2F2F2" w:themeFill="background1" w:themeFillShade="F2"/>
            <w:noWrap/>
            <w:vAlign w:val="center"/>
          </w:tcPr>
          <w:p w14:paraId="444171AE" w14:textId="1D340459"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E - Experiencia de otros países</w:t>
            </w:r>
          </w:p>
        </w:tc>
        <w:tc>
          <w:tcPr>
            <w:tcW w:w="1559" w:type="dxa"/>
            <w:shd w:val="clear" w:color="auto" w:fill="F2F2F2" w:themeFill="background1" w:themeFillShade="F2"/>
            <w:noWrap/>
            <w:vAlign w:val="center"/>
          </w:tcPr>
          <w:p w14:paraId="1DB2E9DE" w14:textId="6F97823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4015.0</w:t>
            </w:r>
          </w:p>
        </w:tc>
        <w:tc>
          <w:tcPr>
            <w:tcW w:w="1276" w:type="dxa"/>
            <w:shd w:val="clear" w:color="auto" w:fill="F2F2F2" w:themeFill="background1" w:themeFillShade="F2"/>
            <w:noWrap/>
            <w:vAlign w:val="bottom"/>
          </w:tcPr>
          <w:p w14:paraId="73C2B253" w14:textId="226BD83E"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84</w:t>
            </w:r>
          </w:p>
        </w:tc>
        <w:tc>
          <w:tcPr>
            <w:tcW w:w="983" w:type="dxa"/>
            <w:shd w:val="clear" w:color="auto" w:fill="F2F2F2" w:themeFill="background1" w:themeFillShade="F2"/>
            <w:noWrap/>
            <w:vAlign w:val="center"/>
          </w:tcPr>
          <w:p w14:paraId="0F4021B3" w14:textId="1E538F07"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1.0</w:t>
            </w:r>
          </w:p>
        </w:tc>
      </w:tr>
      <w:tr w:rsidR="00511C2C" w:rsidRPr="009A501D" w14:paraId="561F319B" w14:textId="77777777" w:rsidTr="00A42307">
        <w:trPr>
          <w:gridAfter w:val="1"/>
          <w:wAfter w:w="35" w:type="dxa"/>
          <w:trHeight w:val="284"/>
          <w:jc w:val="center"/>
        </w:trPr>
        <w:tc>
          <w:tcPr>
            <w:tcW w:w="1020" w:type="dxa"/>
            <w:shd w:val="clear" w:color="auto" w:fill="auto"/>
            <w:noWrap/>
            <w:vAlign w:val="center"/>
          </w:tcPr>
          <w:p w14:paraId="4A7AD67A" w14:textId="06A2C47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DGGMA</w:t>
            </w:r>
          </w:p>
        </w:tc>
        <w:tc>
          <w:tcPr>
            <w:tcW w:w="1265" w:type="dxa"/>
            <w:shd w:val="clear" w:color="auto" w:fill="auto"/>
            <w:noWrap/>
            <w:vAlign w:val="center"/>
          </w:tcPr>
          <w:p w14:paraId="6582F523" w14:textId="2D585A5B" w:rsidR="00511C2C" w:rsidRPr="009A501D" w:rsidRDefault="00511C2C" w:rsidP="00511C2C">
            <w:pPr>
              <w:spacing w:after="0" w:line="240" w:lineRule="auto"/>
              <w:jc w:val="center"/>
              <w:rPr>
                <w:rFonts w:ascii="Century Gothic" w:eastAsia="Times New Roman" w:hAnsi="Century Gothic" w:cs="Arial"/>
                <w:sz w:val="16"/>
                <w:szCs w:val="16"/>
                <w:lang w:eastAsia="es-MX"/>
              </w:rPr>
            </w:pPr>
            <w:r w:rsidRPr="009A501D">
              <w:rPr>
                <w:rFonts w:ascii="Century Gothic" w:hAnsi="Century Gothic" w:cs="Arial"/>
                <w:sz w:val="16"/>
                <w:szCs w:val="16"/>
              </w:rPr>
              <w:t>RNC</w:t>
            </w:r>
          </w:p>
        </w:tc>
        <w:tc>
          <w:tcPr>
            <w:tcW w:w="3749" w:type="dxa"/>
            <w:shd w:val="clear" w:color="auto" w:fill="auto"/>
            <w:vAlign w:val="center"/>
          </w:tcPr>
          <w:p w14:paraId="6C03325A" w14:textId="318F2D53" w:rsidR="00511C2C" w:rsidRPr="009A501D" w:rsidRDefault="00511C2C" w:rsidP="00511C2C">
            <w:pPr>
              <w:spacing w:after="0" w:line="240" w:lineRule="auto"/>
              <w:rPr>
                <w:rFonts w:ascii="Century Gothic" w:hAnsi="Century Gothic" w:cs="Arial"/>
                <w:sz w:val="16"/>
                <w:szCs w:val="16"/>
              </w:rPr>
            </w:pPr>
            <w:r w:rsidRPr="009A501D">
              <w:rPr>
                <w:rFonts w:ascii="Century Gothic" w:hAnsi="Century Gothic" w:cs="Arial"/>
                <w:sz w:val="16"/>
                <w:szCs w:val="16"/>
              </w:rPr>
              <w:t>Red Nacional de Caminos</w:t>
            </w:r>
          </w:p>
        </w:tc>
        <w:tc>
          <w:tcPr>
            <w:tcW w:w="1276" w:type="dxa"/>
            <w:shd w:val="clear" w:color="auto" w:fill="auto"/>
            <w:noWrap/>
            <w:vAlign w:val="center"/>
          </w:tcPr>
          <w:p w14:paraId="51AFA373" w14:textId="5CCAA1F1"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Anual</w:t>
            </w:r>
          </w:p>
        </w:tc>
        <w:tc>
          <w:tcPr>
            <w:tcW w:w="2977" w:type="dxa"/>
            <w:shd w:val="clear" w:color="auto" w:fill="auto"/>
            <w:noWrap/>
            <w:vAlign w:val="center"/>
          </w:tcPr>
          <w:p w14:paraId="5A1E5D40" w14:textId="64B37DC1"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I - Propuesta interna</w:t>
            </w:r>
          </w:p>
        </w:tc>
        <w:tc>
          <w:tcPr>
            <w:tcW w:w="1559" w:type="dxa"/>
            <w:shd w:val="clear" w:color="auto" w:fill="auto"/>
            <w:noWrap/>
            <w:vAlign w:val="center"/>
          </w:tcPr>
          <w:p w14:paraId="59EC3E5C" w14:textId="54EC41D5"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60.0</w:t>
            </w:r>
          </w:p>
        </w:tc>
        <w:tc>
          <w:tcPr>
            <w:tcW w:w="1276" w:type="dxa"/>
            <w:shd w:val="clear" w:color="auto" w:fill="auto"/>
            <w:noWrap/>
            <w:vAlign w:val="bottom"/>
          </w:tcPr>
          <w:p w14:paraId="57212EA8" w14:textId="06A677BA"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Calibri"/>
                <w:color w:val="000000"/>
                <w:sz w:val="16"/>
                <w:szCs w:val="16"/>
              </w:rPr>
              <w:t>-16</w:t>
            </w:r>
          </w:p>
        </w:tc>
        <w:tc>
          <w:tcPr>
            <w:tcW w:w="983" w:type="dxa"/>
            <w:shd w:val="clear" w:color="auto" w:fill="auto"/>
            <w:noWrap/>
            <w:vAlign w:val="center"/>
          </w:tcPr>
          <w:p w14:paraId="2F07B7B4" w14:textId="3B4BCAE6" w:rsidR="00511C2C" w:rsidRPr="009A501D" w:rsidRDefault="00511C2C" w:rsidP="00511C2C">
            <w:pPr>
              <w:spacing w:after="0" w:line="240" w:lineRule="auto"/>
              <w:jc w:val="center"/>
              <w:rPr>
                <w:rFonts w:ascii="Century Gothic" w:hAnsi="Century Gothic" w:cs="Arial"/>
                <w:sz w:val="16"/>
                <w:szCs w:val="16"/>
              </w:rPr>
            </w:pPr>
            <w:r w:rsidRPr="009A501D">
              <w:rPr>
                <w:rFonts w:ascii="Century Gothic" w:hAnsi="Century Gothic" w:cs="Arial"/>
                <w:sz w:val="16"/>
                <w:szCs w:val="16"/>
              </w:rPr>
              <w:t>1.3</w:t>
            </w:r>
          </w:p>
        </w:tc>
      </w:tr>
    </w:tbl>
    <w:p w14:paraId="04785656" w14:textId="77777777" w:rsidR="00E15DB0" w:rsidRPr="009A501D" w:rsidRDefault="00E15DB0" w:rsidP="00664A1D">
      <w:pPr>
        <w:spacing w:before="240"/>
        <w:rPr>
          <w:rFonts w:ascii="Century Gothic" w:hAnsi="Century Gothic"/>
          <w:sz w:val="19"/>
          <w:szCs w:val="19"/>
        </w:rPr>
      </w:pPr>
      <w:r w:rsidRPr="009A501D">
        <w:rPr>
          <w:rFonts w:ascii="Century Gothic" w:hAnsi="Century Gothic"/>
          <w:sz w:val="19"/>
          <w:szCs w:val="19"/>
        </w:rPr>
        <w:br w:type="page"/>
      </w:r>
    </w:p>
    <w:p w14:paraId="6AA240A2" w14:textId="47F49B1E" w:rsidR="001962C5" w:rsidRPr="009A501D" w:rsidRDefault="001962C5" w:rsidP="00664A1D">
      <w:pPr>
        <w:pStyle w:val="Ttulo2"/>
        <w:rPr>
          <w:rFonts w:ascii="Century Gothic" w:eastAsiaTheme="minorHAnsi" w:hAnsi="Century Gothic" w:cstheme="minorBidi"/>
          <w:bCs/>
          <w:color w:val="0079BF"/>
          <w:sz w:val="24"/>
          <w:szCs w:val="24"/>
        </w:rPr>
      </w:pPr>
      <w:bookmarkStart w:id="32" w:name="_Toc131161814"/>
      <w:r w:rsidRPr="009A501D">
        <w:rPr>
          <w:rFonts w:ascii="Century Gothic" w:eastAsiaTheme="minorHAnsi" w:hAnsi="Century Gothic" w:cstheme="minorBidi"/>
          <w:bCs/>
          <w:color w:val="0079BF"/>
          <w:sz w:val="24"/>
          <w:szCs w:val="24"/>
        </w:rPr>
        <w:lastRenderedPageBreak/>
        <w:t xml:space="preserve">Anexo </w:t>
      </w:r>
      <w:r w:rsidR="00942998" w:rsidRPr="009A501D">
        <w:rPr>
          <w:rFonts w:ascii="Century Gothic" w:eastAsiaTheme="minorHAnsi" w:hAnsi="Century Gothic" w:cstheme="minorBidi"/>
          <w:bCs/>
          <w:color w:val="0079BF"/>
          <w:sz w:val="24"/>
          <w:szCs w:val="24"/>
        </w:rPr>
        <w:t>3</w:t>
      </w:r>
      <w:r w:rsidRPr="009A501D">
        <w:rPr>
          <w:rFonts w:ascii="Century Gothic" w:eastAsiaTheme="minorHAnsi" w:hAnsi="Century Gothic" w:cstheme="minorBidi"/>
          <w:bCs/>
          <w:color w:val="0079BF"/>
          <w:sz w:val="24"/>
          <w:szCs w:val="24"/>
        </w:rPr>
        <w:t xml:space="preserve">: </w:t>
      </w:r>
      <w:r w:rsidR="00CD4E7B" w:rsidRPr="009A501D">
        <w:rPr>
          <w:rFonts w:ascii="Century Gothic" w:eastAsiaTheme="minorHAnsi" w:hAnsi="Century Gothic" w:cstheme="minorBidi"/>
          <w:bCs/>
          <w:color w:val="0079BF"/>
          <w:sz w:val="24"/>
          <w:szCs w:val="24"/>
        </w:rPr>
        <w:t xml:space="preserve">Marco conceptual y resultados de indicadores </w:t>
      </w:r>
      <w:r w:rsidR="00B603E7" w:rsidRPr="009A501D">
        <w:rPr>
          <w:rFonts w:ascii="Century Gothic" w:eastAsiaTheme="minorHAnsi" w:hAnsi="Century Gothic" w:cstheme="minorBidi"/>
          <w:bCs/>
          <w:color w:val="0079BF"/>
          <w:sz w:val="24"/>
          <w:szCs w:val="24"/>
        </w:rPr>
        <w:t xml:space="preserve">para </w:t>
      </w:r>
      <w:r w:rsidR="005F6B27" w:rsidRPr="009A501D">
        <w:rPr>
          <w:rFonts w:ascii="Century Gothic" w:eastAsiaTheme="minorHAnsi" w:hAnsi="Century Gothic" w:cstheme="minorBidi"/>
          <w:bCs/>
          <w:color w:val="0079BF"/>
          <w:sz w:val="24"/>
          <w:szCs w:val="24"/>
        </w:rPr>
        <w:t>procesos de producción</w:t>
      </w:r>
      <w:r w:rsidRPr="009A501D">
        <w:rPr>
          <w:rFonts w:ascii="Century Gothic" w:eastAsiaTheme="minorHAnsi" w:hAnsi="Century Gothic" w:cstheme="minorBidi"/>
          <w:bCs/>
          <w:color w:val="0079BF"/>
          <w:sz w:val="24"/>
          <w:szCs w:val="24"/>
        </w:rPr>
        <w:t xml:space="preserve"> cuyo insumo son registros administrativos</w:t>
      </w:r>
      <w:bookmarkEnd w:id="32"/>
    </w:p>
    <w:p w14:paraId="526EB2F1" w14:textId="6DA4AD1A"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 xml:space="preserve">En 2019, el Comité aprobó tres indicadores de precisión para los </w:t>
      </w:r>
      <w:r w:rsidR="005F6B27" w:rsidRPr="009A501D">
        <w:rPr>
          <w:rFonts w:ascii="Century Gothic" w:hAnsi="Century Gothic"/>
          <w:sz w:val="19"/>
          <w:szCs w:val="19"/>
        </w:rPr>
        <w:t>procesos de producción</w:t>
      </w:r>
      <w:r w:rsidRPr="009A501D">
        <w:rPr>
          <w:rFonts w:ascii="Century Gothic" w:hAnsi="Century Gothic"/>
          <w:sz w:val="19"/>
          <w:szCs w:val="19"/>
        </w:rPr>
        <w:t xml:space="preserve"> cuyo único insumo son registros administrativos. Para una mejor comprensión de estos indicadores en el cuadro A.3.1 se presentan algunos conceptos generales.</w:t>
      </w:r>
    </w:p>
    <w:p w14:paraId="044A43D1" w14:textId="3D08675D" w:rsidR="005A1399" w:rsidRPr="009A501D" w:rsidRDefault="005A1399" w:rsidP="00664A1D">
      <w:pPr>
        <w:spacing w:before="240"/>
        <w:jc w:val="center"/>
        <w:rPr>
          <w:rFonts w:ascii="Century Gothic" w:hAnsi="Century Gothic"/>
          <w:sz w:val="19"/>
          <w:szCs w:val="19"/>
        </w:rPr>
      </w:pPr>
      <w:r w:rsidRPr="009A501D">
        <w:rPr>
          <w:rFonts w:ascii="Century Gothic" w:hAnsi="Century Gothic"/>
          <w:b/>
          <w:sz w:val="19"/>
          <w:szCs w:val="19"/>
        </w:rPr>
        <w:t xml:space="preserve">A.3.1. Conceptos generales aplicados en los indicadores de precisión para </w:t>
      </w:r>
      <w:r w:rsidR="005F6B27" w:rsidRPr="009A501D">
        <w:rPr>
          <w:rFonts w:ascii="Century Gothic" w:hAnsi="Century Gothic"/>
          <w:b/>
          <w:sz w:val="19"/>
          <w:szCs w:val="19"/>
        </w:rPr>
        <w:t>procesos de producción</w:t>
      </w:r>
      <w:r w:rsidRPr="009A501D">
        <w:rPr>
          <w:rFonts w:ascii="Century Gothic" w:hAnsi="Century Gothic"/>
          <w:b/>
          <w:sz w:val="19"/>
          <w:szCs w:val="19"/>
        </w:rPr>
        <w:t xml:space="preserve"> cuyo único insumo son registros administrativos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ook w:val="04A0" w:firstRow="1" w:lastRow="0" w:firstColumn="1" w:lastColumn="0" w:noHBand="0" w:noVBand="1"/>
      </w:tblPr>
      <w:tblGrid>
        <w:gridCol w:w="2126"/>
        <w:gridCol w:w="11336"/>
      </w:tblGrid>
      <w:tr w:rsidR="00781395" w:rsidRPr="009A501D" w14:paraId="27FCCE4F" w14:textId="77777777" w:rsidTr="00664A1D">
        <w:trPr>
          <w:trHeight w:val="284"/>
          <w:jc w:val="center"/>
        </w:trPr>
        <w:tc>
          <w:tcPr>
            <w:tcW w:w="2126" w:type="dxa"/>
            <w:shd w:val="clear" w:color="auto" w:fill="002060"/>
            <w:vAlign w:val="center"/>
          </w:tcPr>
          <w:p w14:paraId="6049AC42" w14:textId="5E5A42AD" w:rsidR="00781395" w:rsidRPr="009A501D" w:rsidRDefault="00781395" w:rsidP="005F0418">
            <w:pPr>
              <w:spacing w:after="0"/>
              <w:jc w:val="center"/>
              <w:rPr>
                <w:rFonts w:ascii="Century Gothic" w:hAnsi="Century Gothic"/>
                <w:b/>
                <w:color w:val="FFFFFF" w:themeColor="background1"/>
                <w:sz w:val="16"/>
                <w:szCs w:val="16"/>
              </w:rPr>
            </w:pPr>
            <w:r w:rsidRPr="009A501D">
              <w:rPr>
                <w:rFonts w:ascii="Century Gothic" w:hAnsi="Century Gothic"/>
                <w:b/>
                <w:color w:val="FFFFFF" w:themeColor="background1"/>
                <w:sz w:val="16"/>
                <w:szCs w:val="16"/>
              </w:rPr>
              <w:t>Concepto</w:t>
            </w:r>
          </w:p>
        </w:tc>
        <w:tc>
          <w:tcPr>
            <w:tcW w:w="11336" w:type="dxa"/>
            <w:shd w:val="clear" w:color="auto" w:fill="002060"/>
            <w:vAlign w:val="center"/>
          </w:tcPr>
          <w:p w14:paraId="05625252" w14:textId="18E6D101" w:rsidR="00781395" w:rsidRPr="009A501D" w:rsidRDefault="00781395" w:rsidP="005F0418">
            <w:pPr>
              <w:spacing w:after="0"/>
              <w:jc w:val="center"/>
              <w:rPr>
                <w:rFonts w:ascii="Century Gothic" w:hAnsi="Century Gothic"/>
                <w:b/>
                <w:color w:val="FFFFFF" w:themeColor="background1"/>
                <w:sz w:val="16"/>
                <w:szCs w:val="16"/>
              </w:rPr>
            </w:pPr>
            <w:r w:rsidRPr="009A501D">
              <w:rPr>
                <w:rFonts w:ascii="Century Gothic" w:hAnsi="Century Gothic"/>
                <w:b/>
                <w:color w:val="FFFFFF" w:themeColor="background1"/>
                <w:sz w:val="16"/>
                <w:szCs w:val="16"/>
              </w:rPr>
              <w:t>Definición</w:t>
            </w:r>
          </w:p>
        </w:tc>
      </w:tr>
      <w:tr w:rsidR="005A1399" w:rsidRPr="009A501D" w14:paraId="632FA008" w14:textId="77777777" w:rsidTr="00664A1D">
        <w:trPr>
          <w:trHeight w:val="284"/>
          <w:jc w:val="center"/>
        </w:trPr>
        <w:tc>
          <w:tcPr>
            <w:tcW w:w="2126" w:type="dxa"/>
            <w:shd w:val="clear" w:color="auto" w:fill="FFFFFF" w:themeFill="background1"/>
            <w:vAlign w:val="center"/>
          </w:tcPr>
          <w:p w14:paraId="30186D56"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Registro administrativo</w:t>
            </w:r>
            <w:r w:rsidRPr="009A501D">
              <w:rPr>
                <w:rFonts w:ascii="Century Gothic" w:hAnsi="Century Gothic"/>
                <w:sz w:val="16"/>
                <w:szCs w:val="16"/>
              </w:rPr>
              <w:t>:</w:t>
            </w:r>
          </w:p>
        </w:tc>
        <w:tc>
          <w:tcPr>
            <w:tcW w:w="11336" w:type="dxa"/>
            <w:shd w:val="clear" w:color="auto" w:fill="FFFFFF" w:themeFill="background1"/>
            <w:vAlign w:val="center"/>
          </w:tcPr>
          <w:p w14:paraId="34274FDD" w14:textId="77777777"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Conjunto de Datos que fue generado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w:t>
            </w:r>
          </w:p>
        </w:tc>
      </w:tr>
      <w:tr w:rsidR="005A1399" w:rsidRPr="009A501D" w14:paraId="270E3538" w14:textId="77777777" w:rsidTr="00664A1D">
        <w:trPr>
          <w:trHeight w:val="284"/>
          <w:jc w:val="center"/>
        </w:trPr>
        <w:tc>
          <w:tcPr>
            <w:tcW w:w="2126" w:type="dxa"/>
            <w:shd w:val="clear" w:color="auto" w:fill="FFFFFF" w:themeFill="background1"/>
            <w:vAlign w:val="center"/>
          </w:tcPr>
          <w:p w14:paraId="351B4F70"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Proveedor de información</w:t>
            </w:r>
            <w:r w:rsidRPr="009A501D">
              <w:rPr>
                <w:rFonts w:ascii="Century Gothic" w:hAnsi="Century Gothic"/>
                <w:sz w:val="16"/>
                <w:szCs w:val="16"/>
              </w:rPr>
              <w:t>:</w:t>
            </w:r>
          </w:p>
        </w:tc>
        <w:tc>
          <w:tcPr>
            <w:tcW w:w="11336" w:type="dxa"/>
            <w:shd w:val="clear" w:color="auto" w:fill="FFFFFF" w:themeFill="background1"/>
            <w:vAlign w:val="center"/>
          </w:tcPr>
          <w:p w14:paraId="73C3512E" w14:textId="7377C0EA"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 xml:space="preserve">Individuo o institución pública o privada que proporciona datos de un conjunto de unidades (por ejemplo, registros administrativos) a través de un Protocolo de Intercambio. Para algunos </w:t>
            </w:r>
            <w:r w:rsidR="005F6B27" w:rsidRPr="009A501D">
              <w:rPr>
                <w:rFonts w:ascii="Century Gothic" w:hAnsi="Century Gothic"/>
                <w:sz w:val="16"/>
                <w:szCs w:val="16"/>
              </w:rPr>
              <w:t>procesos de producción</w:t>
            </w:r>
            <w:r w:rsidRPr="009A501D">
              <w:rPr>
                <w:rFonts w:ascii="Century Gothic" w:hAnsi="Century Gothic"/>
                <w:sz w:val="16"/>
                <w:szCs w:val="16"/>
              </w:rPr>
              <w:t>, el proveedor de información es una instancia concentradora de varios registros administrativos y, en otros casos los proveedores son varias instancias que recopilan directamente la información de las unidades.</w:t>
            </w:r>
          </w:p>
        </w:tc>
      </w:tr>
      <w:tr w:rsidR="005A1399" w:rsidRPr="009A501D" w14:paraId="5625A783" w14:textId="77777777" w:rsidTr="00664A1D">
        <w:trPr>
          <w:trHeight w:val="284"/>
          <w:jc w:val="center"/>
        </w:trPr>
        <w:tc>
          <w:tcPr>
            <w:tcW w:w="2126" w:type="dxa"/>
            <w:shd w:val="clear" w:color="auto" w:fill="FFFFFF" w:themeFill="background1"/>
            <w:vAlign w:val="center"/>
          </w:tcPr>
          <w:p w14:paraId="671C6136"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Población</w:t>
            </w:r>
            <w:r w:rsidRPr="009A501D">
              <w:rPr>
                <w:rFonts w:ascii="Century Gothic" w:hAnsi="Century Gothic"/>
                <w:sz w:val="16"/>
                <w:szCs w:val="16"/>
              </w:rPr>
              <w:t>:</w:t>
            </w:r>
          </w:p>
        </w:tc>
        <w:tc>
          <w:tcPr>
            <w:tcW w:w="11336" w:type="dxa"/>
            <w:shd w:val="clear" w:color="auto" w:fill="FFFFFF" w:themeFill="background1"/>
            <w:vAlign w:val="center"/>
          </w:tcPr>
          <w:p w14:paraId="46CA337A" w14:textId="77777777"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Conjunto de unidades pertenecientes a un grupo de personas, empresas, establecimientos, viviendas, o cualquier otro tipo de objetos, acciones o eventos, con base en ciertas características bien definidas, incluyendo límites sobre tiempo y espacio.</w:t>
            </w:r>
          </w:p>
        </w:tc>
      </w:tr>
      <w:tr w:rsidR="005A1399" w:rsidRPr="009A501D" w14:paraId="014DAD05" w14:textId="77777777" w:rsidTr="00664A1D">
        <w:trPr>
          <w:trHeight w:val="284"/>
          <w:jc w:val="center"/>
        </w:trPr>
        <w:tc>
          <w:tcPr>
            <w:tcW w:w="2126" w:type="dxa"/>
            <w:shd w:val="clear" w:color="auto" w:fill="FFFFFF" w:themeFill="background1"/>
            <w:vAlign w:val="center"/>
          </w:tcPr>
          <w:p w14:paraId="7D981E68"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Población objetivo</w:t>
            </w:r>
            <w:r w:rsidRPr="009A501D">
              <w:rPr>
                <w:rFonts w:ascii="Century Gothic" w:hAnsi="Century Gothic"/>
                <w:sz w:val="16"/>
                <w:szCs w:val="16"/>
              </w:rPr>
              <w:t>:</w:t>
            </w:r>
          </w:p>
        </w:tc>
        <w:tc>
          <w:tcPr>
            <w:tcW w:w="11336" w:type="dxa"/>
            <w:shd w:val="clear" w:color="auto" w:fill="FFFFFF" w:themeFill="background1"/>
            <w:vAlign w:val="center"/>
          </w:tcPr>
          <w:p w14:paraId="4FD38978" w14:textId="77777777"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Población para la cual se requiere realizar mediciones o representaciones de los conceptos; este conjunto contiene a todos los dominios de estudio.  Es decir, es la de interés estadístico, según el fenómeno que se quiere medir.</w:t>
            </w:r>
          </w:p>
        </w:tc>
      </w:tr>
      <w:tr w:rsidR="005A1399" w:rsidRPr="009A501D" w14:paraId="2CC2B58F" w14:textId="77777777" w:rsidTr="00664A1D">
        <w:trPr>
          <w:trHeight w:val="284"/>
          <w:jc w:val="center"/>
        </w:trPr>
        <w:tc>
          <w:tcPr>
            <w:tcW w:w="2126" w:type="dxa"/>
            <w:shd w:val="clear" w:color="auto" w:fill="FFFFFF" w:themeFill="background1"/>
            <w:vAlign w:val="center"/>
          </w:tcPr>
          <w:p w14:paraId="1BF345ED"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Población de los registros administrativos</w:t>
            </w:r>
            <w:r w:rsidRPr="009A501D">
              <w:rPr>
                <w:rFonts w:ascii="Century Gothic" w:hAnsi="Century Gothic"/>
                <w:sz w:val="16"/>
                <w:szCs w:val="16"/>
              </w:rPr>
              <w:t>:</w:t>
            </w:r>
          </w:p>
        </w:tc>
        <w:tc>
          <w:tcPr>
            <w:tcW w:w="11336" w:type="dxa"/>
            <w:shd w:val="clear" w:color="auto" w:fill="FFFFFF" w:themeFill="background1"/>
            <w:vAlign w:val="center"/>
          </w:tcPr>
          <w:p w14:paraId="5ECE55E9" w14:textId="77777777"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Población de la cual existe información en forma nominativa o individualizada en los registros administrativos.  Es decir, es la población posible de captar mediante el registro administrativo.</w:t>
            </w:r>
          </w:p>
        </w:tc>
      </w:tr>
      <w:tr w:rsidR="005A1399" w:rsidRPr="009A501D" w14:paraId="48C55592" w14:textId="77777777" w:rsidTr="00664A1D">
        <w:trPr>
          <w:trHeight w:val="284"/>
          <w:jc w:val="center"/>
        </w:trPr>
        <w:tc>
          <w:tcPr>
            <w:tcW w:w="2126" w:type="dxa"/>
            <w:shd w:val="clear" w:color="auto" w:fill="FFFFFF" w:themeFill="background1"/>
            <w:vAlign w:val="center"/>
          </w:tcPr>
          <w:p w14:paraId="44BBEBF1" w14:textId="77777777" w:rsidR="005A1399" w:rsidRPr="009A501D" w:rsidRDefault="005A1399" w:rsidP="005F0418">
            <w:pPr>
              <w:spacing w:after="0"/>
              <w:rPr>
                <w:rFonts w:ascii="Century Gothic" w:hAnsi="Century Gothic"/>
                <w:sz w:val="16"/>
                <w:szCs w:val="16"/>
              </w:rPr>
            </w:pPr>
            <w:r w:rsidRPr="009A501D">
              <w:rPr>
                <w:rFonts w:ascii="Century Gothic" w:hAnsi="Century Gothic"/>
                <w:b/>
                <w:sz w:val="16"/>
                <w:szCs w:val="16"/>
              </w:rPr>
              <w:t>Dominio de estudio</w:t>
            </w:r>
            <w:r w:rsidRPr="009A501D">
              <w:rPr>
                <w:rFonts w:ascii="Century Gothic" w:hAnsi="Century Gothic"/>
                <w:sz w:val="16"/>
                <w:szCs w:val="16"/>
              </w:rPr>
              <w:t>:</w:t>
            </w:r>
          </w:p>
        </w:tc>
        <w:tc>
          <w:tcPr>
            <w:tcW w:w="11336" w:type="dxa"/>
            <w:shd w:val="clear" w:color="auto" w:fill="FFFFFF" w:themeFill="background1"/>
            <w:vAlign w:val="center"/>
          </w:tcPr>
          <w:p w14:paraId="785750D8" w14:textId="77777777" w:rsidR="005A1399" w:rsidRPr="009A501D" w:rsidRDefault="005A1399" w:rsidP="005F0418">
            <w:pPr>
              <w:spacing w:after="0"/>
              <w:jc w:val="both"/>
              <w:rPr>
                <w:rFonts w:ascii="Century Gothic" w:hAnsi="Century Gothic"/>
                <w:sz w:val="16"/>
                <w:szCs w:val="16"/>
              </w:rPr>
            </w:pPr>
            <w:r w:rsidRPr="009A501D">
              <w:rPr>
                <w:rFonts w:ascii="Century Gothic" w:hAnsi="Century Gothic"/>
                <w:sz w:val="16"/>
                <w:szCs w:val="16"/>
              </w:rPr>
              <w:t>Subconjunto de la población objetivo para el cual se requiere realizar mediciones o representaciones de los conceptos de forma separada.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5BBCDC8C" w14:textId="63C9A723" w:rsidR="005A1399" w:rsidRPr="009A501D" w:rsidRDefault="005A1399" w:rsidP="00781395">
      <w:pPr>
        <w:spacing w:before="240"/>
        <w:jc w:val="both"/>
        <w:rPr>
          <w:rFonts w:ascii="Century Gothic" w:hAnsi="Century Gothic"/>
          <w:sz w:val="19"/>
          <w:szCs w:val="19"/>
        </w:rPr>
      </w:pPr>
      <w:r w:rsidRPr="009A501D">
        <w:rPr>
          <w:rFonts w:ascii="Century Gothic" w:hAnsi="Century Gothic"/>
          <w:sz w:val="19"/>
          <w:szCs w:val="19"/>
        </w:rPr>
        <w:t xml:space="preserve">Cuando a la población del registro le falta parte de la población objetivo, se dice que existe </w:t>
      </w:r>
      <w:proofErr w:type="spellStart"/>
      <w:r w:rsidRPr="009A501D">
        <w:rPr>
          <w:rFonts w:ascii="Century Gothic" w:hAnsi="Century Gothic"/>
          <w:sz w:val="19"/>
          <w:szCs w:val="19"/>
        </w:rPr>
        <w:t>subcobertura</w:t>
      </w:r>
      <w:proofErr w:type="spellEnd"/>
      <w:r w:rsidRPr="009A501D">
        <w:rPr>
          <w:rFonts w:ascii="Century Gothic" w:hAnsi="Century Gothic"/>
          <w:sz w:val="19"/>
          <w:szCs w:val="19"/>
        </w:rPr>
        <w:t xml:space="preserve">. Para conocer esta diferencia se requieren análisis especiales, por lo que no es posible definir un indicador único; sin embargo, es un análisis fundamental para determinar la pertinencia del </w:t>
      </w:r>
      <w:r w:rsidR="005F6B27" w:rsidRPr="009A501D">
        <w:rPr>
          <w:rFonts w:ascii="Century Gothic" w:hAnsi="Century Gothic"/>
          <w:sz w:val="19"/>
          <w:szCs w:val="19"/>
        </w:rPr>
        <w:t>proceso de producción</w:t>
      </w:r>
      <w:r w:rsidRPr="009A501D">
        <w:rPr>
          <w:rFonts w:ascii="Century Gothic" w:hAnsi="Century Gothic"/>
          <w:sz w:val="19"/>
          <w:szCs w:val="19"/>
        </w:rPr>
        <w:t xml:space="preserve">.  Los indicadores que aprobó el Comité no incluyen la </w:t>
      </w:r>
      <w:proofErr w:type="spellStart"/>
      <w:r w:rsidRPr="009A501D">
        <w:rPr>
          <w:rFonts w:ascii="Century Gothic" w:hAnsi="Century Gothic"/>
          <w:sz w:val="19"/>
          <w:szCs w:val="19"/>
        </w:rPr>
        <w:t>subcobertura</w:t>
      </w:r>
      <w:proofErr w:type="spellEnd"/>
      <w:r w:rsidRPr="009A501D">
        <w:rPr>
          <w:rFonts w:ascii="Century Gothic" w:hAnsi="Century Gothic"/>
          <w:sz w:val="19"/>
          <w:szCs w:val="19"/>
        </w:rPr>
        <w:t xml:space="preserve">, sino que se enfocan a medir la calidad a partir de la población observada en el </w:t>
      </w:r>
      <w:r w:rsidR="005F6B27" w:rsidRPr="009A501D">
        <w:rPr>
          <w:rFonts w:ascii="Century Gothic" w:hAnsi="Century Gothic"/>
          <w:sz w:val="19"/>
          <w:szCs w:val="19"/>
        </w:rPr>
        <w:t>proceso</w:t>
      </w:r>
      <w:r w:rsidRPr="009A501D">
        <w:rPr>
          <w:rFonts w:ascii="Century Gothic" w:hAnsi="Century Gothic"/>
          <w:sz w:val="19"/>
          <w:szCs w:val="19"/>
        </w:rPr>
        <w:t xml:space="preserve"> en cuestión.</w:t>
      </w:r>
    </w:p>
    <w:p w14:paraId="18110882" w14:textId="77777777" w:rsidR="005A1399" w:rsidRPr="009A501D" w:rsidRDefault="005A1399" w:rsidP="00781395">
      <w:pPr>
        <w:spacing w:before="240"/>
        <w:jc w:val="both"/>
        <w:rPr>
          <w:rFonts w:ascii="Century Gothic" w:hAnsi="Century Gothic"/>
          <w:sz w:val="19"/>
          <w:szCs w:val="19"/>
        </w:rPr>
      </w:pPr>
      <w:r w:rsidRPr="009A501D">
        <w:rPr>
          <w:rFonts w:ascii="Century Gothic" w:hAnsi="Century Gothic"/>
          <w:sz w:val="19"/>
          <w:szCs w:val="19"/>
        </w:rPr>
        <w:t>A continuación, se describen los tres indicadores aprobados por el Comité en 2019.</w:t>
      </w:r>
    </w:p>
    <w:p w14:paraId="33D1C853" w14:textId="77777777" w:rsidR="005A1399" w:rsidRPr="009A501D" w:rsidRDefault="005A1399" w:rsidP="00664A1D">
      <w:pPr>
        <w:numPr>
          <w:ilvl w:val="0"/>
          <w:numId w:val="8"/>
        </w:numPr>
        <w:spacing w:before="240" w:line="240" w:lineRule="auto"/>
        <w:ind w:left="284" w:hanging="284"/>
        <w:contextualSpacing/>
        <w:jc w:val="both"/>
        <w:rPr>
          <w:rFonts w:ascii="Century Gothic" w:hAnsi="Century Gothic"/>
          <w:b/>
          <w:sz w:val="19"/>
          <w:szCs w:val="19"/>
        </w:rPr>
      </w:pPr>
      <w:r w:rsidRPr="009A501D">
        <w:rPr>
          <w:rFonts w:ascii="Century Gothic" w:hAnsi="Century Gothic"/>
          <w:b/>
          <w:sz w:val="19"/>
          <w:szCs w:val="19"/>
        </w:rPr>
        <w:t xml:space="preserve">Tasa de </w:t>
      </w:r>
      <w:proofErr w:type="spellStart"/>
      <w:r w:rsidRPr="009A501D">
        <w:rPr>
          <w:rFonts w:ascii="Century Gothic" w:hAnsi="Century Gothic"/>
          <w:b/>
          <w:sz w:val="19"/>
          <w:szCs w:val="19"/>
        </w:rPr>
        <w:t>sobrecobertura</w:t>
      </w:r>
      <w:proofErr w:type="spellEnd"/>
    </w:p>
    <w:p w14:paraId="7B997A53" w14:textId="1D794F95"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 xml:space="preserve">Esta tasa permite conocer en qué medida el registro administrativo en cuestión se apega a la población objetivo del </w:t>
      </w:r>
      <w:r w:rsidR="005F6B27" w:rsidRPr="009A501D">
        <w:rPr>
          <w:rFonts w:ascii="Century Gothic" w:hAnsi="Century Gothic"/>
          <w:sz w:val="19"/>
          <w:szCs w:val="19"/>
        </w:rPr>
        <w:t>proceso de producción</w:t>
      </w:r>
      <w:r w:rsidRPr="009A501D">
        <w:rPr>
          <w:rFonts w:ascii="Century Gothic" w:hAnsi="Century Gothic"/>
          <w:sz w:val="19"/>
          <w:szCs w:val="19"/>
        </w:rPr>
        <w:t>. Para el cálculo de este indicador resulta útil responder la pregunta del siguiente diagrama:</w:t>
      </w:r>
    </w:p>
    <w:p w14:paraId="51EEB68F" w14:textId="4DDE64F7" w:rsidR="005F0418" w:rsidRPr="009A501D" w:rsidRDefault="005F0418">
      <w:pPr>
        <w:rPr>
          <w:rFonts w:ascii="Century Gothic" w:hAnsi="Century Gothic"/>
          <w:sz w:val="19"/>
          <w:szCs w:val="19"/>
        </w:rPr>
      </w:pPr>
      <w:r w:rsidRPr="009A501D">
        <w:rPr>
          <w:rFonts w:ascii="Century Gothic" w:hAnsi="Century Gothic"/>
          <w:sz w:val="19"/>
          <w:szCs w:val="19"/>
        </w:rPr>
        <w:br w:type="page"/>
      </w:r>
    </w:p>
    <w:p w14:paraId="1754D3CC" w14:textId="77777777" w:rsidR="005A1399" w:rsidRPr="009A501D" w:rsidRDefault="005A1399" w:rsidP="00664A1D">
      <w:pPr>
        <w:spacing w:before="240"/>
        <w:jc w:val="center"/>
        <w:rPr>
          <w:rFonts w:ascii="Century Gothic" w:hAnsi="Century Gothic"/>
          <w:sz w:val="19"/>
          <w:szCs w:val="19"/>
        </w:rPr>
      </w:pPr>
      <w:r w:rsidRPr="009A501D">
        <w:rPr>
          <w:rFonts w:ascii="Century Gothic" w:hAnsi="Century Gothic"/>
          <w:b/>
          <w:sz w:val="19"/>
          <w:szCs w:val="19"/>
        </w:rPr>
        <w:lastRenderedPageBreak/>
        <w:t xml:space="preserve">A.3.2. Pregunta relevante para la tasa de </w:t>
      </w:r>
      <w:proofErr w:type="spellStart"/>
      <w:r w:rsidRPr="009A501D">
        <w:rPr>
          <w:rFonts w:ascii="Century Gothic" w:hAnsi="Century Gothic"/>
          <w:b/>
          <w:sz w:val="19"/>
          <w:szCs w:val="19"/>
        </w:rPr>
        <w:t>sobrecobertura</w:t>
      </w:r>
      <w:proofErr w:type="spellEnd"/>
    </w:p>
    <w:tbl>
      <w:tblPr>
        <w:tblStyle w:val="Tablaconcuadrcula"/>
        <w:tblW w:w="0" w:type="auto"/>
        <w:tblInd w:w="817" w:type="dxa"/>
        <w:tblBorders>
          <w:insideH w:val="none" w:sz="0" w:space="0" w:color="auto"/>
          <w:insideV w:val="none" w:sz="0" w:space="0" w:color="auto"/>
        </w:tblBorders>
        <w:tblLayout w:type="fixed"/>
        <w:tblLook w:val="04A0" w:firstRow="1" w:lastRow="0" w:firstColumn="1" w:lastColumn="0" w:noHBand="0" w:noVBand="1"/>
      </w:tblPr>
      <w:tblGrid>
        <w:gridCol w:w="5415"/>
        <w:gridCol w:w="7343"/>
      </w:tblGrid>
      <w:tr w:rsidR="005A1399" w:rsidRPr="009A501D" w14:paraId="67774CA9" w14:textId="77777777" w:rsidTr="00BC5403">
        <w:trPr>
          <w:trHeight w:val="2307"/>
        </w:trPr>
        <w:tc>
          <w:tcPr>
            <w:tcW w:w="5415" w:type="dxa"/>
            <w:vAlign w:val="center"/>
          </w:tcPr>
          <w:p w14:paraId="2C4DE877" w14:textId="7BFDCD2B" w:rsidR="005A1399" w:rsidRPr="009A501D" w:rsidRDefault="005A1399" w:rsidP="00664A1D">
            <w:pPr>
              <w:spacing w:before="240"/>
              <w:jc w:val="both"/>
              <w:rPr>
                <w:rFonts w:ascii="Century Gothic" w:hAnsi="Century Gothic"/>
                <w:sz w:val="19"/>
                <w:szCs w:val="19"/>
              </w:rPr>
            </w:pPr>
            <w:r w:rsidRPr="009A501D">
              <w:rPr>
                <w:rFonts w:ascii="Century Gothic" w:hAnsi="Century Gothic"/>
                <w:noProof/>
                <w:sz w:val="19"/>
                <w:szCs w:val="19"/>
              </w:rPr>
              <w:drawing>
                <wp:inline distT="0" distB="0" distL="0" distR="0" wp14:anchorId="50E31CCD" wp14:editId="1C367BBB">
                  <wp:extent cx="2918129" cy="121475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254" t="1326" r="2978" b="5779"/>
                          <a:stretch/>
                        </pic:blipFill>
                        <pic:spPr bwMode="auto">
                          <a:xfrm>
                            <a:off x="0" y="0"/>
                            <a:ext cx="2946096" cy="12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43" w:type="dxa"/>
            <w:vAlign w:val="center"/>
          </w:tcPr>
          <w:p w14:paraId="43DBEF47" w14:textId="1682DF05" w:rsidR="005A1399" w:rsidRPr="009A501D" w:rsidRDefault="005A1399" w:rsidP="00664A1D">
            <w:pPr>
              <w:spacing w:before="240"/>
              <w:jc w:val="both"/>
              <w:rPr>
                <w:rFonts w:ascii="Century Gothic" w:hAnsi="Century Gothic"/>
                <w:sz w:val="19"/>
                <w:szCs w:val="19"/>
              </w:rPr>
            </w:pPr>
            <w:r w:rsidRPr="009A501D">
              <w:rPr>
                <w:rFonts w:ascii="Century Gothic" w:hAnsi="Century Gothic"/>
                <w:noProof/>
                <w:sz w:val="19"/>
                <w:szCs w:val="19"/>
              </w:rPr>
              <w:drawing>
                <wp:inline distT="0" distB="0" distL="0" distR="0" wp14:anchorId="06E8AE75" wp14:editId="27797953">
                  <wp:extent cx="4542790" cy="9315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2790" cy="931545"/>
                          </a:xfrm>
                          <a:prstGeom prst="rect">
                            <a:avLst/>
                          </a:prstGeom>
                          <a:noFill/>
                          <a:ln>
                            <a:noFill/>
                          </a:ln>
                        </pic:spPr>
                      </pic:pic>
                    </a:graphicData>
                  </a:graphic>
                </wp:inline>
              </w:drawing>
            </w:r>
          </w:p>
        </w:tc>
      </w:tr>
    </w:tbl>
    <w:p w14:paraId="275489DE" w14:textId="77777777"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5021BA66" w14:textId="77777777" w:rsidR="005A1399" w:rsidRPr="009A501D" w:rsidRDefault="005A1399" w:rsidP="00664A1D">
      <w:pPr>
        <w:numPr>
          <w:ilvl w:val="0"/>
          <w:numId w:val="8"/>
        </w:numPr>
        <w:spacing w:before="240" w:line="240" w:lineRule="auto"/>
        <w:ind w:left="284" w:hanging="284"/>
        <w:contextualSpacing/>
        <w:jc w:val="both"/>
        <w:rPr>
          <w:rFonts w:ascii="Century Gothic" w:hAnsi="Century Gothic"/>
          <w:b/>
          <w:sz w:val="19"/>
          <w:szCs w:val="19"/>
        </w:rPr>
      </w:pPr>
      <w:r w:rsidRPr="009A501D">
        <w:rPr>
          <w:rFonts w:ascii="Century Gothic" w:hAnsi="Century Gothic"/>
          <w:b/>
          <w:sz w:val="19"/>
          <w:szCs w:val="19"/>
        </w:rPr>
        <w:t>Tasa de no respuesta a nivel unidad</w:t>
      </w:r>
    </w:p>
    <w:p w14:paraId="38E17F9F" w14:textId="74F90A8B"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El propósito de este indicador es hacer un análisis más fino, buscando conocer l</w:t>
      </w:r>
      <w:r w:rsidR="004704B5" w:rsidRPr="009A501D">
        <w:rPr>
          <w:rFonts w:ascii="Century Gothic" w:hAnsi="Century Gothic"/>
          <w:sz w:val="19"/>
          <w:szCs w:val="19"/>
        </w:rPr>
        <w:t>os</w:t>
      </w:r>
      <w:r w:rsidRPr="009A501D">
        <w:rPr>
          <w:rFonts w:ascii="Century Gothic" w:hAnsi="Century Gothic"/>
          <w:sz w:val="19"/>
          <w:szCs w:val="19"/>
        </w:rPr>
        <w:t xml:space="preserve"> </w:t>
      </w:r>
      <w:r w:rsidR="004704B5" w:rsidRPr="009A501D">
        <w:rPr>
          <w:rFonts w:ascii="Century Gothic" w:hAnsi="Century Gothic"/>
          <w:sz w:val="19"/>
          <w:szCs w:val="19"/>
        </w:rPr>
        <w:t>datos</w:t>
      </w:r>
      <w:r w:rsidRPr="009A501D">
        <w:rPr>
          <w:rFonts w:ascii="Century Gothic" w:hAnsi="Century Gothic"/>
          <w:sz w:val="19"/>
          <w:szCs w:val="19"/>
        </w:rPr>
        <w:t xml:space="preserve"> que le falta</w:t>
      </w:r>
      <w:r w:rsidR="004704B5" w:rsidRPr="009A501D">
        <w:rPr>
          <w:rFonts w:ascii="Century Gothic" w:hAnsi="Century Gothic"/>
          <w:sz w:val="19"/>
          <w:szCs w:val="19"/>
        </w:rPr>
        <w:t>n</w:t>
      </w:r>
      <w:r w:rsidRPr="009A501D">
        <w:rPr>
          <w:rFonts w:ascii="Century Gothic" w:hAnsi="Century Gothic"/>
          <w:sz w:val="19"/>
          <w:szCs w:val="19"/>
        </w:rPr>
        <w:t xml:space="preserve"> al registro administrativo a través de la estimación de los casos a los que no se tuvo acceso. Esto es, cuando el proveedor de l</w:t>
      </w:r>
      <w:r w:rsidR="00C7344F" w:rsidRPr="009A501D">
        <w:rPr>
          <w:rFonts w:ascii="Century Gothic" w:hAnsi="Century Gothic"/>
          <w:sz w:val="19"/>
          <w:szCs w:val="19"/>
        </w:rPr>
        <w:t>os</w:t>
      </w:r>
      <w:r w:rsidRPr="009A501D">
        <w:rPr>
          <w:rFonts w:ascii="Century Gothic" w:hAnsi="Century Gothic"/>
          <w:sz w:val="19"/>
          <w:szCs w:val="19"/>
        </w:rPr>
        <w:t xml:space="preserve"> </w:t>
      </w:r>
      <w:r w:rsidR="00C7344F" w:rsidRPr="009A501D">
        <w:rPr>
          <w:rFonts w:ascii="Century Gothic" w:hAnsi="Century Gothic"/>
          <w:sz w:val="19"/>
          <w:szCs w:val="19"/>
        </w:rPr>
        <w:t>datos</w:t>
      </w:r>
      <w:r w:rsidRPr="009A501D">
        <w:rPr>
          <w:rFonts w:ascii="Century Gothic" w:hAnsi="Century Gothic"/>
          <w:sz w:val="19"/>
          <w:szCs w:val="19"/>
        </w:rPr>
        <w:t xml:space="preserve"> no envió una parte o envió datos no admisibles, el registro recibido está incompleto. En el diagrama A.3.3. se explican las distintas opciones que deben tomarse en cuenta para identificar la no respuesta a nivel de unidad. </w:t>
      </w:r>
    </w:p>
    <w:p w14:paraId="4843F729" w14:textId="0C5C965B" w:rsidR="000F55EC" w:rsidRPr="009A501D" w:rsidRDefault="000F55EC" w:rsidP="00664A1D">
      <w:pPr>
        <w:spacing w:before="240"/>
        <w:jc w:val="both"/>
        <w:rPr>
          <w:rFonts w:ascii="Century Gothic" w:hAnsi="Century Gothic"/>
          <w:sz w:val="19"/>
          <w:szCs w:val="19"/>
        </w:rPr>
      </w:pPr>
      <w:r w:rsidRPr="009A501D">
        <w:rPr>
          <w:rFonts w:ascii="Century Gothic" w:hAnsi="Century Gothic"/>
          <w:sz w:val="19"/>
          <w:szCs w:val="19"/>
        </w:rPr>
        <w:t xml:space="preserve">La no respuesta o existencia de valores perdidos está presente en todo proceso de producción y puede inducir un sesgo en los resultados. El objetivo principal de la </w:t>
      </w:r>
      <w:r w:rsidRPr="009A501D">
        <w:rPr>
          <w:rFonts w:ascii="Century Gothic" w:hAnsi="Century Gothic"/>
          <w:i/>
          <w:iCs/>
          <w:sz w:val="19"/>
          <w:szCs w:val="19"/>
        </w:rPr>
        <w:t>tasa de no respuesta a nivel unidad de observación</w:t>
      </w:r>
      <w:r w:rsidRPr="009A501D">
        <w:rPr>
          <w:rFonts w:ascii="Century Gothic" w:hAnsi="Century Gothic"/>
          <w:sz w:val="19"/>
          <w:szCs w:val="19"/>
        </w:rPr>
        <w:t xml:space="preserve"> es identificar la existencia de patrones en la no respuesta que pudieran inducir ese sesgo. Para este indicador no se adopta un valor de referencia; sin embargo, valores altos o la existencia de patrones entre las agrupaciones obligan a una revisión de los insumos.  Algunas acciones que se pueden generar para corregir este tipo de problemas son mejorar o concretar protocolos de intercambio con los proveedores de </w:t>
      </w:r>
      <w:r w:rsidR="00A3705B" w:rsidRPr="009A501D">
        <w:rPr>
          <w:rFonts w:ascii="Century Gothic" w:hAnsi="Century Gothic"/>
          <w:sz w:val="19"/>
          <w:szCs w:val="19"/>
        </w:rPr>
        <w:t>datos</w:t>
      </w:r>
      <w:r w:rsidRPr="009A501D">
        <w:rPr>
          <w:rFonts w:ascii="Century Gothic" w:hAnsi="Century Gothic"/>
          <w:sz w:val="19"/>
          <w:szCs w:val="19"/>
        </w:rPr>
        <w:t xml:space="preserve">, analizar la conveniencia de usar métodos de imputación o alguna acción para homologar conceptos. </w:t>
      </w:r>
    </w:p>
    <w:p w14:paraId="783E7EA9" w14:textId="108E1E65" w:rsidR="000F55EC" w:rsidRPr="009A501D" w:rsidRDefault="000F55EC" w:rsidP="00664A1D">
      <w:pPr>
        <w:spacing w:before="240"/>
        <w:rPr>
          <w:rFonts w:ascii="Century Gothic" w:hAnsi="Century Gothic"/>
          <w:sz w:val="19"/>
          <w:szCs w:val="19"/>
        </w:rPr>
      </w:pPr>
      <w:r w:rsidRPr="009A501D">
        <w:rPr>
          <w:rFonts w:ascii="Century Gothic" w:hAnsi="Century Gothic"/>
          <w:sz w:val="19"/>
          <w:szCs w:val="19"/>
        </w:rPr>
        <w:br w:type="page"/>
      </w:r>
    </w:p>
    <w:p w14:paraId="10C59D95" w14:textId="6366C360" w:rsidR="005A1399" w:rsidRPr="009A501D" w:rsidRDefault="0073227F" w:rsidP="00664A1D">
      <w:pPr>
        <w:spacing w:before="240"/>
        <w:jc w:val="center"/>
        <w:rPr>
          <w:rFonts w:ascii="Century Gothic" w:hAnsi="Century Gothic"/>
          <w:sz w:val="19"/>
          <w:szCs w:val="19"/>
        </w:rPr>
      </w:pPr>
      <w:r w:rsidRPr="009A501D">
        <w:rPr>
          <w:rFonts w:ascii="Century Gothic" w:hAnsi="Century Gothic"/>
          <w:b/>
          <w:sz w:val="19"/>
          <w:szCs w:val="19"/>
        </w:rPr>
        <w:lastRenderedPageBreak/>
        <w:t>A</w:t>
      </w:r>
      <w:r w:rsidR="005A1399" w:rsidRPr="009A501D">
        <w:rPr>
          <w:rFonts w:ascii="Century Gothic" w:hAnsi="Century Gothic"/>
          <w:b/>
          <w:sz w:val="19"/>
          <w:szCs w:val="19"/>
        </w:rPr>
        <w:t>.3.3. Componentes de la no respuesta a nivel unidad</w:t>
      </w:r>
    </w:p>
    <w:tbl>
      <w:tblPr>
        <w:tblStyle w:val="Tablaconcuadrcula"/>
        <w:tblW w:w="14317" w:type="dxa"/>
        <w:tblInd w:w="108" w:type="dxa"/>
        <w:tblBorders>
          <w:insideH w:val="none" w:sz="0" w:space="0" w:color="auto"/>
          <w:insideV w:val="none" w:sz="0" w:space="0" w:color="auto"/>
        </w:tblBorders>
        <w:tblLayout w:type="fixed"/>
        <w:tblLook w:val="04A0" w:firstRow="1" w:lastRow="0" w:firstColumn="1" w:lastColumn="0" w:noHBand="0" w:noVBand="1"/>
      </w:tblPr>
      <w:tblGrid>
        <w:gridCol w:w="7542"/>
        <w:gridCol w:w="6775"/>
      </w:tblGrid>
      <w:tr w:rsidR="005A1399" w:rsidRPr="009A501D" w14:paraId="44C3D2CA" w14:textId="77777777" w:rsidTr="007F38B5">
        <w:tc>
          <w:tcPr>
            <w:tcW w:w="7542" w:type="dxa"/>
            <w:vAlign w:val="center"/>
          </w:tcPr>
          <w:p w14:paraId="083B22D1" w14:textId="4DBF44E1" w:rsidR="005A1399" w:rsidRPr="009A501D" w:rsidRDefault="00BA71AF" w:rsidP="00664A1D">
            <w:pPr>
              <w:spacing w:before="240"/>
              <w:jc w:val="both"/>
              <w:rPr>
                <w:rFonts w:ascii="Century Gothic" w:hAnsi="Century Gothic"/>
                <w:sz w:val="19"/>
                <w:szCs w:val="19"/>
              </w:rPr>
            </w:pPr>
            <w:r w:rsidRPr="009A501D">
              <w:rPr>
                <w:rFonts w:ascii="Century Gothic" w:hAnsi="Century Gothic"/>
                <w:noProof/>
                <w:sz w:val="19"/>
                <w:szCs w:val="19"/>
              </w:rPr>
              <w:drawing>
                <wp:inline distT="0" distB="0" distL="0" distR="0" wp14:anchorId="0355B73F" wp14:editId="6A99E7B2">
                  <wp:extent cx="4699528" cy="2663687"/>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5683" cy="2667176"/>
                          </a:xfrm>
                          <a:prstGeom prst="rect">
                            <a:avLst/>
                          </a:prstGeom>
                          <a:noFill/>
                          <a:ln>
                            <a:noFill/>
                          </a:ln>
                        </pic:spPr>
                      </pic:pic>
                    </a:graphicData>
                  </a:graphic>
                </wp:inline>
              </w:drawing>
            </w:r>
          </w:p>
        </w:tc>
        <w:tc>
          <w:tcPr>
            <w:tcW w:w="6775" w:type="dxa"/>
            <w:vAlign w:val="center"/>
          </w:tcPr>
          <w:p w14:paraId="5FB35C8D" w14:textId="03927EA2" w:rsidR="005A1399" w:rsidRPr="009A501D" w:rsidRDefault="005A1399" w:rsidP="00664A1D">
            <w:pPr>
              <w:spacing w:before="240"/>
              <w:jc w:val="both"/>
              <w:rPr>
                <w:rFonts w:ascii="Century Gothic" w:hAnsi="Century Gothic"/>
                <w:sz w:val="19"/>
                <w:szCs w:val="19"/>
              </w:rPr>
            </w:pPr>
            <w:r w:rsidRPr="009A501D">
              <w:rPr>
                <w:rFonts w:ascii="Century Gothic" w:hAnsi="Century Gothic"/>
                <w:noProof/>
                <w:sz w:val="19"/>
                <w:szCs w:val="19"/>
              </w:rPr>
              <w:drawing>
                <wp:inline distT="0" distB="0" distL="0" distR="0" wp14:anchorId="75B04172" wp14:editId="05CBABA7">
                  <wp:extent cx="4184248" cy="32987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r="11398" b="3439"/>
                          <a:stretch/>
                        </pic:blipFill>
                        <pic:spPr bwMode="auto">
                          <a:xfrm>
                            <a:off x="0" y="0"/>
                            <a:ext cx="4184248" cy="329879"/>
                          </a:xfrm>
                          <a:prstGeom prst="rect">
                            <a:avLst/>
                          </a:prstGeom>
                          <a:noFill/>
                          <a:ln>
                            <a:noFill/>
                          </a:ln>
                          <a:extLst>
                            <a:ext uri="{53640926-AAD7-44D8-BBD7-CCE9431645EC}">
                              <a14:shadowObscured xmlns:a14="http://schemas.microsoft.com/office/drawing/2010/main"/>
                            </a:ext>
                          </a:extLst>
                        </pic:spPr>
                      </pic:pic>
                    </a:graphicData>
                  </a:graphic>
                </wp:inline>
              </w:drawing>
            </w:r>
          </w:p>
          <w:p w14:paraId="7EF28900" w14:textId="77777777" w:rsidR="005A1399" w:rsidRPr="009A501D" w:rsidRDefault="005A1399" w:rsidP="00664A1D">
            <w:pPr>
              <w:spacing w:before="240"/>
              <w:rPr>
                <w:rFonts w:ascii="Century Gothic" w:hAnsi="Century Gothic"/>
                <w:bCs/>
                <w:sz w:val="16"/>
                <w:szCs w:val="16"/>
              </w:rPr>
            </w:pPr>
            <w:r w:rsidRPr="009A501D">
              <w:rPr>
                <w:rFonts w:ascii="Century Gothic" w:hAnsi="Century Gothic"/>
                <w:bCs/>
                <w:sz w:val="16"/>
                <w:szCs w:val="16"/>
              </w:rPr>
              <w:t>Donde</w:t>
            </w:r>
          </w:p>
          <w:p w14:paraId="397EC7E7" w14:textId="1E14B006" w:rsidR="005A1399" w:rsidRPr="009A501D" w:rsidRDefault="00000000" w:rsidP="00664A1D">
            <w:pPr>
              <w:spacing w:before="240"/>
              <w:rPr>
                <w:rFonts w:ascii="Century Gothic" w:hAnsi="Century Gothic"/>
                <w:bCs/>
                <w:sz w:val="16"/>
                <w:szCs w:val="16"/>
              </w:rPr>
            </w:pPr>
            <m:oMath>
              <m:sSub>
                <m:sSubPr>
                  <m:ctrlPr>
                    <w:rPr>
                      <w:rFonts w:ascii="Cambria Math" w:hAnsi="Cambria Math"/>
                      <w:bCs/>
                      <w:i/>
                      <w:iCs/>
                      <w:sz w:val="16"/>
                      <w:szCs w:val="16"/>
                    </w:rPr>
                  </m:ctrlPr>
                </m:sSubPr>
                <m:e>
                  <m:r>
                    <w:rPr>
                      <w:rFonts w:ascii="Cambria Math" w:hAnsi="Cambria Math"/>
                      <w:sz w:val="16"/>
                      <w:szCs w:val="16"/>
                    </w:rPr>
                    <m:t>N</m:t>
                  </m:r>
                </m:e>
                <m:sub>
                  <m:r>
                    <w:rPr>
                      <w:rFonts w:ascii="Cambria Math" w:hAnsi="Cambria Math"/>
                      <w:sz w:val="16"/>
                      <w:szCs w:val="16"/>
                    </w:rPr>
                    <m:t>g1</m:t>
                  </m:r>
                </m:sub>
              </m:sSub>
            </m:oMath>
            <w:r w:rsidR="005A1399" w:rsidRPr="009A501D">
              <w:rPr>
                <w:rFonts w:ascii="Century Gothic" w:hAnsi="Century Gothic"/>
                <w:bCs/>
                <w:sz w:val="16"/>
                <w:szCs w:val="16"/>
              </w:rPr>
              <w:t xml:space="preserve"> es el número total de unidades contenidas en los registros administrativos que no fueron proporcionados por los proveedores de </w:t>
            </w:r>
            <w:r w:rsidR="000A6153" w:rsidRPr="009A501D">
              <w:rPr>
                <w:rFonts w:ascii="Century Gothic" w:hAnsi="Century Gothic"/>
                <w:bCs/>
                <w:sz w:val="16"/>
                <w:szCs w:val="16"/>
              </w:rPr>
              <w:t>datos</w:t>
            </w:r>
            <w:r w:rsidR="005A1399" w:rsidRPr="009A501D">
              <w:rPr>
                <w:rFonts w:ascii="Century Gothic" w:hAnsi="Century Gothic"/>
                <w:bCs/>
                <w:sz w:val="16"/>
                <w:szCs w:val="16"/>
              </w:rPr>
              <w:t>,</w:t>
            </w:r>
          </w:p>
          <w:p w14:paraId="4FC7A8FB" w14:textId="5F00816A" w:rsidR="005A1399" w:rsidRPr="009A501D" w:rsidRDefault="00000000" w:rsidP="00664A1D">
            <w:pPr>
              <w:spacing w:before="240"/>
              <w:rPr>
                <w:rFonts w:ascii="Century Gothic" w:hAnsi="Century Gothic"/>
                <w:bCs/>
                <w:sz w:val="16"/>
                <w:szCs w:val="16"/>
              </w:rPr>
            </w:pPr>
            <m:oMath>
              <m:sSub>
                <m:sSubPr>
                  <m:ctrlPr>
                    <w:rPr>
                      <w:rFonts w:ascii="Cambria Math" w:hAnsi="Cambria Math"/>
                      <w:bCs/>
                      <w:i/>
                      <w:iCs/>
                      <w:sz w:val="16"/>
                      <w:szCs w:val="16"/>
                    </w:rPr>
                  </m:ctrlPr>
                </m:sSubPr>
                <m:e>
                  <m:r>
                    <w:rPr>
                      <w:rFonts w:ascii="Cambria Math" w:hAnsi="Cambria Math"/>
                      <w:sz w:val="16"/>
                      <w:szCs w:val="16"/>
                    </w:rPr>
                    <m:t>N</m:t>
                  </m:r>
                </m:e>
                <m:sub>
                  <m:r>
                    <w:rPr>
                      <w:rFonts w:ascii="Cambria Math" w:hAnsi="Cambria Math"/>
                      <w:sz w:val="16"/>
                      <w:szCs w:val="16"/>
                    </w:rPr>
                    <m:t>g2</m:t>
                  </m:r>
                </m:sub>
              </m:sSub>
            </m:oMath>
            <w:r w:rsidR="005A1399" w:rsidRPr="009A501D">
              <w:rPr>
                <w:rFonts w:ascii="Century Gothic" w:hAnsi="Century Gothic"/>
                <w:bCs/>
                <w:sz w:val="16"/>
                <w:szCs w:val="16"/>
              </w:rPr>
              <w:t xml:space="preserve"> es el número total de unidades bien identificadas de las cuales no se captó </w:t>
            </w:r>
            <w:r w:rsidR="000A6153" w:rsidRPr="009A501D">
              <w:rPr>
                <w:rFonts w:ascii="Century Gothic" w:hAnsi="Century Gothic"/>
                <w:bCs/>
                <w:sz w:val="16"/>
                <w:szCs w:val="16"/>
              </w:rPr>
              <w:t>datos</w:t>
            </w:r>
            <w:r w:rsidR="005A1399" w:rsidRPr="009A501D">
              <w:rPr>
                <w:rFonts w:ascii="Century Gothic" w:hAnsi="Century Gothic"/>
                <w:bCs/>
                <w:sz w:val="16"/>
                <w:szCs w:val="16"/>
              </w:rPr>
              <w:t xml:space="preserve"> aun cuando se tuvo acceso a los registros administrativos,</w:t>
            </w:r>
          </w:p>
          <w:p w14:paraId="39AA8AA3" w14:textId="270CD003" w:rsidR="005A1399" w:rsidRPr="009A501D" w:rsidRDefault="00000000" w:rsidP="00664A1D">
            <w:pPr>
              <w:spacing w:before="240"/>
              <w:rPr>
                <w:rFonts w:ascii="Century Gothic" w:hAnsi="Century Gothic"/>
                <w:bCs/>
                <w:sz w:val="16"/>
                <w:szCs w:val="16"/>
              </w:rPr>
            </w:pPr>
            <m:oMath>
              <m:sSub>
                <m:sSubPr>
                  <m:ctrlPr>
                    <w:rPr>
                      <w:rFonts w:ascii="Cambria Math" w:hAnsi="Cambria Math"/>
                      <w:bCs/>
                      <w:i/>
                      <w:iCs/>
                      <w:sz w:val="16"/>
                      <w:szCs w:val="16"/>
                    </w:rPr>
                  </m:ctrlPr>
                </m:sSubPr>
                <m:e>
                  <m:r>
                    <w:rPr>
                      <w:rFonts w:ascii="Cambria Math" w:hAnsi="Cambria Math"/>
                      <w:sz w:val="16"/>
                      <w:szCs w:val="16"/>
                    </w:rPr>
                    <m:t>N</m:t>
                  </m:r>
                </m:e>
                <m:sub>
                  <m:r>
                    <w:rPr>
                      <w:rFonts w:ascii="Cambria Math" w:hAnsi="Cambria Math"/>
                      <w:sz w:val="16"/>
                      <w:szCs w:val="16"/>
                    </w:rPr>
                    <m:t>g3</m:t>
                  </m:r>
                </m:sub>
              </m:sSub>
            </m:oMath>
            <w:r w:rsidR="005A1399" w:rsidRPr="009A501D">
              <w:rPr>
                <w:rFonts w:ascii="Century Gothic" w:hAnsi="Century Gothic"/>
                <w:bCs/>
                <w:sz w:val="16"/>
                <w:szCs w:val="16"/>
              </w:rPr>
              <w:t xml:space="preserve"> es el número total de unidades de las cuales aun cuando no se sabe su identidad se infiere que faltan dado que en el registro administrativo están ausentes unidades correspondientes a cierto aspecto temporal o espacial (</w:t>
            </w:r>
            <w:r w:rsidR="000A6153" w:rsidRPr="009A501D">
              <w:rPr>
                <w:rFonts w:ascii="Century Gothic" w:hAnsi="Century Gothic"/>
                <w:bCs/>
                <w:sz w:val="16"/>
                <w:szCs w:val="16"/>
              </w:rPr>
              <w:t>i.e</w:t>
            </w:r>
            <w:r w:rsidR="005A1399" w:rsidRPr="009A501D">
              <w:rPr>
                <w:rFonts w:ascii="Century Gothic" w:hAnsi="Century Gothic"/>
                <w:bCs/>
                <w:sz w:val="16"/>
                <w:szCs w:val="16"/>
              </w:rPr>
              <w:t>., falt</w:t>
            </w:r>
            <w:r w:rsidR="000A6153" w:rsidRPr="009A501D">
              <w:rPr>
                <w:rFonts w:ascii="Century Gothic" w:hAnsi="Century Gothic"/>
                <w:bCs/>
                <w:sz w:val="16"/>
                <w:szCs w:val="16"/>
              </w:rPr>
              <w:t>aron</w:t>
            </w:r>
            <w:r w:rsidR="005A1399" w:rsidRPr="009A501D">
              <w:rPr>
                <w:rFonts w:ascii="Century Gothic" w:hAnsi="Century Gothic"/>
                <w:bCs/>
                <w:sz w:val="16"/>
                <w:szCs w:val="16"/>
              </w:rPr>
              <w:t xml:space="preserve"> l</w:t>
            </w:r>
            <w:r w:rsidR="000A6153" w:rsidRPr="009A501D">
              <w:rPr>
                <w:rFonts w:ascii="Century Gothic" w:hAnsi="Century Gothic"/>
                <w:bCs/>
                <w:sz w:val="16"/>
                <w:szCs w:val="16"/>
              </w:rPr>
              <w:t>os</w:t>
            </w:r>
            <w:r w:rsidR="005A1399" w:rsidRPr="009A501D">
              <w:rPr>
                <w:rFonts w:ascii="Century Gothic" w:hAnsi="Century Gothic"/>
                <w:bCs/>
                <w:sz w:val="16"/>
                <w:szCs w:val="16"/>
              </w:rPr>
              <w:t xml:space="preserve"> </w:t>
            </w:r>
            <w:r w:rsidR="000A6153" w:rsidRPr="009A501D">
              <w:rPr>
                <w:rFonts w:ascii="Century Gothic" w:hAnsi="Century Gothic"/>
                <w:bCs/>
                <w:sz w:val="16"/>
                <w:szCs w:val="16"/>
              </w:rPr>
              <w:t>datos</w:t>
            </w:r>
            <w:r w:rsidR="005A1399" w:rsidRPr="009A501D">
              <w:rPr>
                <w:rFonts w:ascii="Century Gothic" w:hAnsi="Century Gothic"/>
                <w:bCs/>
                <w:sz w:val="16"/>
                <w:szCs w:val="16"/>
              </w:rPr>
              <w:t xml:space="preserve"> de uno de los doce meses)</w:t>
            </w:r>
          </w:p>
          <w:p w14:paraId="5E9566CE" w14:textId="3C838019" w:rsidR="005A1399" w:rsidRPr="009A501D" w:rsidRDefault="00000000" w:rsidP="00664A1D">
            <w:pPr>
              <w:spacing w:before="240"/>
              <w:rPr>
                <w:rFonts w:ascii="Century Gothic" w:hAnsi="Century Gothic"/>
                <w:bCs/>
                <w:sz w:val="16"/>
                <w:szCs w:val="16"/>
              </w:rPr>
            </w:pPr>
            <m:oMath>
              <m:sSub>
                <m:sSubPr>
                  <m:ctrlPr>
                    <w:rPr>
                      <w:rFonts w:ascii="Cambria Math" w:hAnsi="Cambria Math"/>
                      <w:bCs/>
                      <w:i/>
                      <w:iCs/>
                      <w:sz w:val="16"/>
                      <w:szCs w:val="16"/>
                    </w:rPr>
                  </m:ctrlPr>
                </m:sSubPr>
                <m:e>
                  <m:r>
                    <w:rPr>
                      <w:rFonts w:ascii="Cambria Math" w:hAnsi="Cambria Math"/>
                      <w:sz w:val="16"/>
                      <w:szCs w:val="16"/>
                    </w:rPr>
                    <m:t>N</m:t>
                  </m:r>
                </m:e>
                <m:sub>
                  <m:r>
                    <w:rPr>
                      <w:rFonts w:ascii="Cambria Math" w:hAnsi="Cambria Math"/>
                      <w:sz w:val="16"/>
                      <w:szCs w:val="16"/>
                    </w:rPr>
                    <m:t>g4</m:t>
                  </m:r>
                </m:sub>
              </m:sSub>
            </m:oMath>
            <w:r w:rsidR="005A1399" w:rsidRPr="009A501D">
              <w:rPr>
                <w:rFonts w:ascii="Century Gothic" w:hAnsi="Century Gothic"/>
                <w:bCs/>
                <w:sz w:val="16"/>
                <w:szCs w:val="16"/>
              </w:rPr>
              <w:t xml:space="preserve"> es el número total de unidades en los registros administrativos a los que se tuvo acceso con </w:t>
            </w:r>
            <w:r w:rsidR="00E44ED2" w:rsidRPr="009A501D">
              <w:rPr>
                <w:rFonts w:ascii="Century Gothic" w:hAnsi="Century Gothic"/>
                <w:bCs/>
                <w:sz w:val="16"/>
                <w:szCs w:val="16"/>
              </w:rPr>
              <w:t>datos</w:t>
            </w:r>
            <w:r w:rsidR="005A1399" w:rsidRPr="009A501D">
              <w:rPr>
                <w:rFonts w:ascii="Century Gothic" w:hAnsi="Century Gothic"/>
                <w:bCs/>
                <w:sz w:val="16"/>
                <w:szCs w:val="16"/>
              </w:rPr>
              <w:t xml:space="preserve"> no admisible</w:t>
            </w:r>
            <w:r w:rsidR="00E44ED2" w:rsidRPr="009A501D">
              <w:rPr>
                <w:rFonts w:ascii="Century Gothic" w:hAnsi="Century Gothic"/>
                <w:bCs/>
                <w:sz w:val="16"/>
                <w:szCs w:val="16"/>
              </w:rPr>
              <w:t>s</w:t>
            </w:r>
            <w:r w:rsidR="005A1399" w:rsidRPr="009A501D">
              <w:rPr>
                <w:rFonts w:ascii="Century Gothic" w:hAnsi="Century Gothic"/>
                <w:bCs/>
                <w:sz w:val="16"/>
                <w:szCs w:val="16"/>
              </w:rPr>
              <w:t xml:space="preserve"> en al menos una variable</w:t>
            </w:r>
          </w:p>
          <w:p w14:paraId="2495D3A4" w14:textId="1396272F" w:rsidR="005A1399" w:rsidRPr="009A501D" w:rsidRDefault="00000000" w:rsidP="00664A1D">
            <w:pPr>
              <w:spacing w:before="240"/>
              <w:rPr>
                <w:rFonts w:ascii="Century Gothic" w:hAnsi="Century Gothic"/>
                <w:bCs/>
                <w:sz w:val="16"/>
                <w:szCs w:val="16"/>
              </w:rPr>
            </w:pPr>
            <m:oMath>
              <m:sSub>
                <m:sSubPr>
                  <m:ctrlPr>
                    <w:rPr>
                      <w:rFonts w:ascii="Cambria Math" w:hAnsi="Cambria Math"/>
                      <w:bCs/>
                      <w:i/>
                      <w:iCs/>
                      <w:sz w:val="16"/>
                      <w:szCs w:val="16"/>
                    </w:rPr>
                  </m:ctrlPr>
                </m:sSubPr>
                <m:e>
                  <m:r>
                    <w:rPr>
                      <w:rFonts w:ascii="Cambria Math" w:hAnsi="Cambria Math"/>
                      <w:sz w:val="16"/>
                      <w:szCs w:val="16"/>
                    </w:rPr>
                    <m:t>N</m:t>
                  </m:r>
                </m:e>
                <m:sub>
                  <m:r>
                    <w:rPr>
                      <w:rFonts w:ascii="Cambria Math" w:hAnsi="Cambria Math"/>
                      <w:sz w:val="16"/>
                      <w:szCs w:val="16"/>
                    </w:rPr>
                    <m:t>g5</m:t>
                  </m:r>
                </m:sub>
              </m:sSub>
            </m:oMath>
            <w:r w:rsidR="005A1399" w:rsidRPr="009A501D">
              <w:rPr>
                <w:rFonts w:ascii="Century Gothic" w:hAnsi="Century Gothic"/>
                <w:bCs/>
                <w:sz w:val="16"/>
                <w:szCs w:val="16"/>
              </w:rPr>
              <w:t xml:space="preserve"> es el número total de unidades en los registros administrativos a los que se tuvo acceso con </w:t>
            </w:r>
            <w:r w:rsidR="00E44ED2" w:rsidRPr="009A501D">
              <w:rPr>
                <w:rFonts w:ascii="Century Gothic" w:hAnsi="Century Gothic"/>
                <w:bCs/>
                <w:sz w:val="16"/>
                <w:szCs w:val="16"/>
              </w:rPr>
              <w:t>datos</w:t>
            </w:r>
            <w:r w:rsidR="005A1399" w:rsidRPr="009A501D">
              <w:rPr>
                <w:rFonts w:ascii="Century Gothic" w:hAnsi="Century Gothic"/>
                <w:bCs/>
                <w:sz w:val="16"/>
                <w:szCs w:val="16"/>
              </w:rPr>
              <w:t xml:space="preserve"> admisible</w:t>
            </w:r>
            <w:r w:rsidR="00E44ED2" w:rsidRPr="009A501D">
              <w:rPr>
                <w:rFonts w:ascii="Century Gothic" w:hAnsi="Century Gothic"/>
                <w:bCs/>
                <w:sz w:val="16"/>
                <w:szCs w:val="16"/>
              </w:rPr>
              <w:t>s</w:t>
            </w:r>
            <w:r w:rsidR="005A1399" w:rsidRPr="009A501D">
              <w:rPr>
                <w:rFonts w:ascii="Century Gothic" w:hAnsi="Century Gothic"/>
                <w:bCs/>
                <w:sz w:val="16"/>
                <w:szCs w:val="16"/>
              </w:rPr>
              <w:t xml:space="preserve"> en todas las variables</w:t>
            </w:r>
          </w:p>
          <w:p w14:paraId="22E4F626" w14:textId="77777777" w:rsidR="005A1399" w:rsidRPr="009A501D" w:rsidRDefault="005A1399" w:rsidP="00664A1D">
            <w:pPr>
              <w:spacing w:before="240"/>
              <w:rPr>
                <w:rFonts w:ascii="Century Gothic" w:hAnsi="Century Gothic"/>
                <w:sz w:val="19"/>
                <w:szCs w:val="19"/>
              </w:rPr>
            </w:pPr>
            <w:r w:rsidRPr="009A501D">
              <w:rPr>
                <w:rFonts w:ascii="Century Gothic" w:hAnsi="Century Gothic"/>
                <w:bCs/>
                <w:sz w:val="16"/>
                <w:szCs w:val="16"/>
              </w:rPr>
              <w:t xml:space="preserve">Nota. Para realizar el cálculo se eliminan los casos considerados como </w:t>
            </w:r>
            <w:proofErr w:type="spellStart"/>
            <w:r w:rsidRPr="009A501D">
              <w:rPr>
                <w:rFonts w:ascii="Century Gothic" w:hAnsi="Century Gothic"/>
                <w:bCs/>
                <w:sz w:val="16"/>
                <w:szCs w:val="16"/>
              </w:rPr>
              <w:t>sobrecobertura</w:t>
            </w:r>
            <w:proofErr w:type="spellEnd"/>
            <w:r w:rsidRPr="009A501D">
              <w:rPr>
                <w:rFonts w:ascii="Century Gothic" w:hAnsi="Century Gothic"/>
                <w:bCs/>
                <w:sz w:val="16"/>
                <w:szCs w:val="16"/>
              </w:rPr>
              <w:t>, incluyendo duplicados.</w:t>
            </w:r>
          </w:p>
        </w:tc>
      </w:tr>
    </w:tbl>
    <w:p w14:paraId="277A780F" w14:textId="77777777" w:rsidR="005A1399" w:rsidRPr="009A501D" w:rsidRDefault="005A1399" w:rsidP="00664A1D">
      <w:pPr>
        <w:spacing w:before="240"/>
        <w:jc w:val="center"/>
        <w:rPr>
          <w:rFonts w:ascii="Century Gothic" w:hAnsi="Century Gothic"/>
          <w:bCs/>
          <w:sz w:val="19"/>
          <w:szCs w:val="19"/>
        </w:rPr>
      </w:pPr>
    </w:p>
    <w:p w14:paraId="30C6D9DD" w14:textId="77777777" w:rsidR="005A1399" w:rsidRPr="009A501D" w:rsidRDefault="005A1399" w:rsidP="00664A1D">
      <w:pPr>
        <w:numPr>
          <w:ilvl w:val="0"/>
          <w:numId w:val="8"/>
        </w:numPr>
        <w:spacing w:before="240" w:line="240" w:lineRule="auto"/>
        <w:ind w:left="284" w:hanging="284"/>
        <w:contextualSpacing/>
        <w:jc w:val="both"/>
        <w:rPr>
          <w:rFonts w:ascii="Century Gothic" w:hAnsi="Century Gothic"/>
          <w:b/>
          <w:sz w:val="19"/>
          <w:szCs w:val="19"/>
        </w:rPr>
      </w:pPr>
      <w:r w:rsidRPr="009A501D">
        <w:rPr>
          <w:rFonts w:ascii="Century Gothic" w:hAnsi="Century Gothic"/>
          <w:b/>
          <w:sz w:val="19"/>
          <w:szCs w:val="19"/>
        </w:rPr>
        <w:t>Tasa de no respuesta a nivel variable</w:t>
      </w:r>
    </w:p>
    <w:p w14:paraId="44EF3D65" w14:textId="54653E11"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Este indicador busca determinar si a nivel variable falta</w:t>
      </w:r>
      <w:r w:rsidR="00E44ED2" w:rsidRPr="009A501D">
        <w:rPr>
          <w:rFonts w:ascii="Century Gothic" w:hAnsi="Century Gothic"/>
          <w:sz w:val="19"/>
          <w:szCs w:val="19"/>
        </w:rPr>
        <w:t>n</w:t>
      </w:r>
      <w:r w:rsidRPr="009A501D">
        <w:rPr>
          <w:rFonts w:ascii="Century Gothic" w:hAnsi="Century Gothic"/>
          <w:sz w:val="19"/>
          <w:szCs w:val="19"/>
        </w:rPr>
        <w:t xml:space="preserve"> </w:t>
      </w:r>
      <w:r w:rsidR="00E44ED2" w:rsidRPr="009A501D">
        <w:rPr>
          <w:rFonts w:ascii="Century Gothic" w:hAnsi="Century Gothic"/>
          <w:sz w:val="19"/>
          <w:szCs w:val="19"/>
        </w:rPr>
        <w:t>datos</w:t>
      </w:r>
      <w:r w:rsidRPr="009A501D">
        <w:rPr>
          <w:rFonts w:ascii="Century Gothic" w:hAnsi="Century Gothic"/>
          <w:sz w:val="19"/>
          <w:szCs w:val="19"/>
        </w:rPr>
        <w:t xml:space="preserve"> del fenómeno a medir en la base de datos final. La </w:t>
      </w:r>
      <w:r w:rsidRPr="009A501D">
        <w:rPr>
          <w:rFonts w:ascii="Century Gothic" w:hAnsi="Century Gothic"/>
          <w:i/>
          <w:iCs/>
          <w:sz w:val="19"/>
          <w:szCs w:val="19"/>
        </w:rPr>
        <w:t>tasa de no respuesta a nivel variable</w:t>
      </w:r>
      <w:r w:rsidRPr="009A501D">
        <w:rPr>
          <w:rFonts w:ascii="Century Gothic" w:hAnsi="Century Gothic"/>
          <w:sz w:val="19"/>
          <w:szCs w:val="19"/>
        </w:rPr>
        <w:t xml:space="preserve"> se debe interpretar en conjunto y de forma adicional a la </w:t>
      </w:r>
      <w:r w:rsidRPr="009A501D">
        <w:rPr>
          <w:rFonts w:ascii="Century Gothic" w:hAnsi="Century Gothic"/>
          <w:i/>
          <w:iCs/>
          <w:sz w:val="19"/>
          <w:szCs w:val="19"/>
        </w:rPr>
        <w:t>tasa de no respuesta a nivel unidad</w:t>
      </w:r>
      <w:r w:rsidRPr="009A501D">
        <w:rPr>
          <w:rFonts w:ascii="Century Gothic" w:hAnsi="Century Gothic"/>
          <w:sz w:val="19"/>
          <w:szCs w:val="19"/>
        </w:rPr>
        <w:t>, pues esta última incluye aquellos casos en donde toda la unidad, incluyendo l</w:t>
      </w:r>
      <w:r w:rsidR="00E44ED2" w:rsidRPr="009A501D">
        <w:rPr>
          <w:rFonts w:ascii="Century Gothic" w:hAnsi="Century Gothic"/>
          <w:sz w:val="19"/>
          <w:szCs w:val="19"/>
        </w:rPr>
        <w:t>os</w:t>
      </w:r>
      <w:r w:rsidRPr="009A501D">
        <w:rPr>
          <w:rFonts w:ascii="Century Gothic" w:hAnsi="Century Gothic"/>
          <w:sz w:val="19"/>
          <w:szCs w:val="19"/>
        </w:rPr>
        <w:t xml:space="preserve"> </w:t>
      </w:r>
      <w:r w:rsidR="00E44ED2" w:rsidRPr="009A501D">
        <w:rPr>
          <w:rFonts w:ascii="Century Gothic" w:hAnsi="Century Gothic"/>
          <w:sz w:val="19"/>
          <w:szCs w:val="19"/>
        </w:rPr>
        <w:t>datos</w:t>
      </w:r>
      <w:r w:rsidRPr="009A501D">
        <w:rPr>
          <w:rFonts w:ascii="Century Gothic" w:hAnsi="Century Gothic"/>
          <w:sz w:val="19"/>
          <w:szCs w:val="19"/>
        </w:rPr>
        <w:t xml:space="preserve"> de la variable en cuestión, es considerada como no respuesta. La </w:t>
      </w:r>
      <w:r w:rsidRPr="009A501D">
        <w:rPr>
          <w:rFonts w:ascii="Century Gothic" w:hAnsi="Century Gothic"/>
          <w:i/>
          <w:iCs/>
          <w:sz w:val="19"/>
          <w:szCs w:val="19"/>
        </w:rPr>
        <w:t>tasa de no respuesta a nivel variable</w:t>
      </w:r>
      <w:r w:rsidRPr="009A501D">
        <w:rPr>
          <w:rFonts w:ascii="Century Gothic" w:hAnsi="Century Gothic"/>
          <w:sz w:val="19"/>
          <w:szCs w:val="19"/>
        </w:rPr>
        <w:t xml:space="preserve"> tiene como principal objetivo identificar la existencia de patrones en la no respuesta en una variable en particular.  Cuando se presentan variables con alto porcentaje de no respuesta convendrá revisar los objetivos del </w:t>
      </w:r>
      <w:r w:rsidR="005F6B27" w:rsidRPr="009A501D">
        <w:rPr>
          <w:rFonts w:ascii="Century Gothic" w:hAnsi="Century Gothic"/>
          <w:sz w:val="19"/>
          <w:szCs w:val="19"/>
        </w:rPr>
        <w:t>proceso de producción</w:t>
      </w:r>
      <w:r w:rsidRPr="009A501D">
        <w:rPr>
          <w:rFonts w:ascii="Century Gothic" w:hAnsi="Century Gothic"/>
          <w:sz w:val="19"/>
          <w:szCs w:val="19"/>
        </w:rPr>
        <w:t xml:space="preserve"> para especificar los indicadores relevantes a ser calculados y eliminar aquellas variables que no contribuyen a este objetivo, o si se consideran variables indispensables analizar la conveniencia de usar métodos de imputación o establecer estrategias con los proveedores del registro administrativo para mejorar la respuesta.  La pregunta relevante para este caso debe realizarse para cada una de las variables</w:t>
      </w:r>
      <w:r w:rsidR="001C18CA" w:rsidRPr="009A501D">
        <w:rPr>
          <w:rFonts w:ascii="Century Gothic" w:hAnsi="Century Gothic"/>
          <w:sz w:val="19"/>
          <w:szCs w:val="19"/>
        </w:rPr>
        <w:t xml:space="preserve"> (ver figura A</w:t>
      </w:r>
      <w:r w:rsidR="00186F4F" w:rsidRPr="009A501D">
        <w:rPr>
          <w:rFonts w:ascii="Century Gothic" w:hAnsi="Century Gothic"/>
          <w:sz w:val="19"/>
          <w:szCs w:val="19"/>
        </w:rPr>
        <w:t>.3.4).</w:t>
      </w:r>
    </w:p>
    <w:p w14:paraId="291324DC" w14:textId="6610F3E0" w:rsidR="000F55EC" w:rsidRPr="009A501D" w:rsidRDefault="000F55EC" w:rsidP="00664A1D">
      <w:pPr>
        <w:spacing w:before="240"/>
        <w:rPr>
          <w:rFonts w:ascii="Century Gothic" w:hAnsi="Century Gothic"/>
          <w:sz w:val="19"/>
          <w:szCs w:val="19"/>
        </w:rPr>
      </w:pPr>
      <w:r w:rsidRPr="009A501D">
        <w:rPr>
          <w:rFonts w:ascii="Century Gothic" w:hAnsi="Century Gothic"/>
          <w:sz w:val="19"/>
          <w:szCs w:val="19"/>
        </w:rPr>
        <w:br w:type="page"/>
      </w:r>
    </w:p>
    <w:p w14:paraId="727D4537" w14:textId="77777777" w:rsidR="005A1399" w:rsidRPr="009A501D" w:rsidRDefault="005A1399" w:rsidP="00664A1D">
      <w:pPr>
        <w:spacing w:before="240"/>
        <w:jc w:val="center"/>
        <w:rPr>
          <w:rFonts w:ascii="Century Gothic" w:hAnsi="Century Gothic"/>
          <w:sz w:val="19"/>
          <w:szCs w:val="19"/>
        </w:rPr>
      </w:pPr>
      <w:r w:rsidRPr="009A501D">
        <w:rPr>
          <w:rFonts w:ascii="Century Gothic" w:hAnsi="Century Gothic"/>
          <w:b/>
          <w:sz w:val="19"/>
          <w:szCs w:val="19"/>
        </w:rPr>
        <w:lastRenderedPageBreak/>
        <w:t>A.3.4. Pregunta relevante para la tasa de no respuesta a nivel variable</w:t>
      </w:r>
    </w:p>
    <w:tbl>
      <w:tblPr>
        <w:tblStyle w:val="Tablaconcuadrcula"/>
        <w:tblW w:w="0" w:type="auto"/>
        <w:tblLook w:val="04A0" w:firstRow="1" w:lastRow="0" w:firstColumn="1" w:lastColumn="0" w:noHBand="0" w:noVBand="1"/>
      </w:tblPr>
      <w:tblGrid>
        <w:gridCol w:w="7566"/>
        <w:gridCol w:w="6824"/>
      </w:tblGrid>
      <w:tr w:rsidR="009215C5" w:rsidRPr="009A501D" w14:paraId="21E129B8" w14:textId="77777777" w:rsidTr="001211BC">
        <w:tc>
          <w:tcPr>
            <w:tcW w:w="6941" w:type="dxa"/>
            <w:vAlign w:val="center"/>
          </w:tcPr>
          <w:p w14:paraId="4AD53D59" w14:textId="4642E565" w:rsidR="005A1399" w:rsidRPr="009A501D" w:rsidRDefault="002F6128" w:rsidP="00664A1D">
            <w:pPr>
              <w:spacing w:before="240"/>
              <w:jc w:val="both"/>
              <w:rPr>
                <w:rFonts w:ascii="Century Gothic" w:hAnsi="Century Gothic"/>
                <w:sz w:val="19"/>
                <w:szCs w:val="19"/>
              </w:rPr>
            </w:pPr>
            <w:r w:rsidRPr="009A501D">
              <w:rPr>
                <w:rFonts w:ascii="Century Gothic" w:hAnsi="Century Gothic"/>
                <w:noProof/>
                <w:sz w:val="19"/>
                <w:szCs w:val="19"/>
              </w:rPr>
              <w:drawing>
                <wp:inline distT="0" distB="0" distL="0" distR="0" wp14:anchorId="5ACE3C03" wp14:editId="4F1D494D">
                  <wp:extent cx="4667416" cy="19360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0863" cy="1962323"/>
                          </a:xfrm>
                          <a:prstGeom prst="rect">
                            <a:avLst/>
                          </a:prstGeom>
                          <a:noFill/>
                          <a:ln>
                            <a:noFill/>
                          </a:ln>
                        </pic:spPr>
                      </pic:pic>
                    </a:graphicData>
                  </a:graphic>
                </wp:inline>
              </w:drawing>
            </w:r>
          </w:p>
        </w:tc>
        <w:tc>
          <w:tcPr>
            <w:tcW w:w="7449" w:type="dxa"/>
            <w:vAlign w:val="center"/>
          </w:tcPr>
          <w:p w14:paraId="719F6E99" w14:textId="797DF1D4" w:rsidR="005A1399" w:rsidRPr="009A501D" w:rsidRDefault="005A1399" w:rsidP="00664A1D">
            <w:pPr>
              <w:spacing w:before="240"/>
              <w:jc w:val="both"/>
              <w:rPr>
                <w:rFonts w:ascii="Century Gothic" w:hAnsi="Century Gothic"/>
                <w:sz w:val="16"/>
                <w:szCs w:val="16"/>
              </w:rPr>
            </w:pPr>
            <w:r w:rsidRPr="009A501D">
              <w:rPr>
                <w:rFonts w:ascii="Century Gothic" w:hAnsi="Century Gothic"/>
                <w:sz w:val="16"/>
                <w:szCs w:val="16"/>
              </w:rPr>
              <w:t xml:space="preserve">Para una variable </w:t>
            </w:r>
            <w:r w:rsidRPr="009A501D">
              <w:rPr>
                <w:rFonts w:ascii="Cambria Math" w:hAnsi="Cambria Math" w:cs="Cambria Math"/>
                <w:sz w:val="16"/>
                <w:szCs w:val="16"/>
              </w:rPr>
              <w:t>𝑍</w:t>
            </w:r>
            <w:r w:rsidRPr="009A501D">
              <w:rPr>
                <w:rFonts w:ascii="Century Gothic" w:hAnsi="Century Gothic"/>
                <w:sz w:val="16"/>
                <w:szCs w:val="16"/>
              </w:rPr>
              <w:t xml:space="preserve"> se consideran sólo las unidades </w:t>
            </w:r>
            <w:r w:rsidR="00E75259" w:rsidRPr="009A501D">
              <w:rPr>
                <w:rFonts w:ascii="Century Gothic" w:hAnsi="Century Gothic"/>
                <w:sz w:val="16"/>
                <w:szCs w:val="16"/>
              </w:rPr>
              <w:t xml:space="preserve">en </w:t>
            </w:r>
            <w:r w:rsidR="008F7811" w:rsidRPr="009A501D">
              <w:rPr>
                <w:rFonts w:ascii="Century Gothic" w:hAnsi="Century Gothic"/>
                <w:sz w:val="16"/>
                <w:szCs w:val="16"/>
              </w:rPr>
              <w:t xml:space="preserve">las que </w:t>
            </w:r>
            <w:r w:rsidRPr="009A501D">
              <w:rPr>
                <w:rFonts w:ascii="Century Gothic" w:hAnsi="Century Gothic"/>
                <w:sz w:val="16"/>
                <w:szCs w:val="16"/>
              </w:rPr>
              <w:t xml:space="preserve">se requiere de </w:t>
            </w:r>
            <w:r w:rsidR="009C7DBB" w:rsidRPr="009A501D">
              <w:rPr>
                <w:rFonts w:ascii="Century Gothic" w:hAnsi="Century Gothic"/>
                <w:sz w:val="16"/>
                <w:szCs w:val="16"/>
              </w:rPr>
              <w:t xml:space="preserve">datos </w:t>
            </w:r>
            <w:r w:rsidR="00720AA9" w:rsidRPr="009A501D">
              <w:rPr>
                <w:rFonts w:ascii="Century Gothic" w:hAnsi="Century Gothic"/>
                <w:sz w:val="16"/>
                <w:szCs w:val="16"/>
              </w:rPr>
              <w:t>para dicha variable</w:t>
            </w:r>
            <w:r w:rsidRPr="009A501D">
              <w:rPr>
                <w:rFonts w:ascii="Century Gothic" w:hAnsi="Century Gothic"/>
                <w:sz w:val="16"/>
                <w:szCs w:val="16"/>
              </w:rPr>
              <w:t xml:space="preserve">, de manera que para un dominio de estudio </w:t>
            </w:r>
            <w:r w:rsidRPr="009A501D">
              <w:rPr>
                <w:rFonts w:ascii="Cambria Math" w:hAnsi="Cambria Math" w:cs="Cambria Math"/>
                <w:sz w:val="16"/>
                <w:szCs w:val="16"/>
              </w:rPr>
              <w:t>𝑔</w:t>
            </w:r>
            <w:r w:rsidRPr="009A501D">
              <w:rPr>
                <w:rFonts w:ascii="Century Gothic" w:hAnsi="Century Gothic"/>
                <w:sz w:val="16"/>
                <w:szCs w:val="16"/>
              </w:rPr>
              <w:t xml:space="preserve"> se calcula como:</w:t>
            </w:r>
          </w:p>
          <w:p w14:paraId="0C62D9AC" w14:textId="3B6394C1" w:rsidR="005A1399" w:rsidRPr="009A501D" w:rsidRDefault="005A1399" w:rsidP="00664A1D">
            <w:pPr>
              <w:spacing w:before="240"/>
              <w:jc w:val="center"/>
              <w:rPr>
                <w:rFonts w:ascii="Century Gothic" w:hAnsi="Century Gothic"/>
                <w:sz w:val="19"/>
                <w:szCs w:val="19"/>
              </w:rPr>
            </w:pPr>
            <w:r w:rsidRPr="009A501D">
              <w:rPr>
                <w:rFonts w:ascii="Century Gothic" w:hAnsi="Century Gothic"/>
                <w:noProof/>
                <w:sz w:val="19"/>
                <w:szCs w:val="19"/>
              </w:rPr>
              <w:drawing>
                <wp:inline distT="0" distB="0" distL="0" distR="0" wp14:anchorId="60C0D9C2" wp14:editId="616ED685">
                  <wp:extent cx="1747777" cy="29839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0677" cy="302300"/>
                          </a:xfrm>
                          <a:prstGeom prst="rect">
                            <a:avLst/>
                          </a:prstGeom>
                          <a:noFill/>
                          <a:ln>
                            <a:noFill/>
                          </a:ln>
                        </pic:spPr>
                      </pic:pic>
                    </a:graphicData>
                  </a:graphic>
                </wp:inline>
              </w:drawing>
            </w:r>
          </w:p>
          <w:p w14:paraId="47455926" w14:textId="77777777" w:rsidR="005A1399" w:rsidRPr="009A501D" w:rsidRDefault="005A1399" w:rsidP="00664A1D">
            <w:pPr>
              <w:spacing w:before="240"/>
              <w:jc w:val="both"/>
              <w:rPr>
                <w:rFonts w:ascii="Century Gothic" w:hAnsi="Century Gothic"/>
                <w:sz w:val="16"/>
                <w:szCs w:val="16"/>
              </w:rPr>
            </w:pPr>
            <w:r w:rsidRPr="009A501D">
              <w:rPr>
                <w:rFonts w:ascii="Century Gothic" w:hAnsi="Century Gothic"/>
                <w:sz w:val="16"/>
                <w:szCs w:val="16"/>
              </w:rPr>
              <w:t>Donde:</w:t>
            </w:r>
          </w:p>
          <w:p w14:paraId="4A79F373" w14:textId="60EA93CB" w:rsidR="005A1399" w:rsidRPr="009A501D" w:rsidRDefault="005A1399" w:rsidP="00664A1D">
            <w:pPr>
              <w:spacing w:before="240"/>
              <w:jc w:val="both"/>
              <w:rPr>
                <w:rFonts w:ascii="Century Gothic" w:hAnsi="Century Gothic"/>
                <w:sz w:val="16"/>
                <w:szCs w:val="16"/>
              </w:rPr>
            </w:pPr>
            <w:r w:rsidRPr="009A501D">
              <w:rPr>
                <w:rFonts w:ascii="Cambria Math" w:hAnsi="Cambria Math" w:cs="Cambria Math"/>
                <w:sz w:val="16"/>
                <w:szCs w:val="16"/>
              </w:rPr>
              <w:t>𝑁</w:t>
            </w:r>
            <w:r w:rsidRPr="009A501D">
              <w:rPr>
                <w:rFonts w:ascii="Century Gothic" w:hAnsi="Century Gothic"/>
                <w:sz w:val="16"/>
                <w:szCs w:val="16"/>
              </w:rPr>
              <w:t>_</w:t>
            </w:r>
            <w:r w:rsidRPr="009A501D">
              <w:rPr>
                <w:rFonts w:ascii="Cambria Math" w:hAnsi="Cambria Math" w:cs="Cambria Math"/>
                <w:sz w:val="16"/>
                <w:szCs w:val="16"/>
              </w:rPr>
              <w:t>𝑍𝑔</w:t>
            </w:r>
            <w:r w:rsidRPr="009A501D">
              <w:rPr>
                <w:rFonts w:ascii="Century Gothic" w:hAnsi="Century Gothic"/>
                <w:sz w:val="16"/>
                <w:szCs w:val="16"/>
              </w:rPr>
              <w:t xml:space="preserve">1 es el número total de unidades en donde en la variable </w:t>
            </w:r>
            <w:r w:rsidRPr="009A501D">
              <w:rPr>
                <w:rFonts w:ascii="Cambria Math" w:hAnsi="Cambria Math" w:cs="Cambria Math"/>
                <w:sz w:val="16"/>
                <w:szCs w:val="16"/>
              </w:rPr>
              <w:t>𝑍</w:t>
            </w:r>
            <w:r w:rsidRPr="009A501D">
              <w:rPr>
                <w:rFonts w:ascii="Century Gothic" w:hAnsi="Century Gothic"/>
                <w:sz w:val="16"/>
                <w:szCs w:val="16"/>
              </w:rPr>
              <w:t xml:space="preserve"> no hay </w:t>
            </w:r>
            <w:r w:rsidR="003E62E2" w:rsidRPr="009A501D">
              <w:rPr>
                <w:rFonts w:ascii="Century Gothic" w:hAnsi="Century Gothic"/>
                <w:sz w:val="16"/>
                <w:szCs w:val="16"/>
              </w:rPr>
              <w:t>datos</w:t>
            </w:r>
            <w:r w:rsidRPr="009A501D">
              <w:rPr>
                <w:rFonts w:ascii="Century Gothic" w:hAnsi="Century Gothic"/>
                <w:sz w:val="16"/>
                <w:szCs w:val="16"/>
              </w:rPr>
              <w:t xml:space="preserve"> o ést</w:t>
            </w:r>
            <w:r w:rsidR="003E62E2" w:rsidRPr="009A501D">
              <w:rPr>
                <w:rFonts w:ascii="Century Gothic" w:hAnsi="Century Gothic"/>
                <w:sz w:val="16"/>
                <w:szCs w:val="16"/>
              </w:rPr>
              <w:t>os</w:t>
            </w:r>
            <w:r w:rsidRPr="009A501D">
              <w:rPr>
                <w:rFonts w:ascii="Century Gothic" w:hAnsi="Century Gothic"/>
                <w:sz w:val="16"/>
                <w:szCs w:val="16"/>
              </w:rPr>
              <w:t xml:space="preserve"> desde un inicio corresponde</w:t>
            </w:r>
            <w:r w:rsidR="003E62E2" w:rsidRPr="009A501D">
              <w:rPr>
                <w:rFonts w:ascii="Century Gothic" w:hAnsi="Century Gothic"/>
                <w:sz w:val="16"/>
                <w:szCs w:val="16"/>
              </w:rPr>
              <w:t>n</w:t>
            </w:r>
            <w:r w:rsidRPr="009A501D">
              <w:rPr>
                <w:rFonts w:ascii="Century Gothic" w:hAnsi="Century Gothic"/>
                <w:sz w:val="16"/>
                <w:szCs w:val="16"/>
              </w:rPr>
              <w:t xml:space="preserve"> a un código de no respuesta</w:t>
            </w:r>
          </w:p>
          <w:p w14:paraId="437D6B27" w14:textId="6A16612B" w:rsidR="005A1399" w:rsidRPr="009A501D" w:rsidRDefault="005A1399" w:rsidP="00664A1D">
            <w:pPr>
              <w:spacing w:before="240"/>
              <w:jc w:val="both"/>
              <w:rPr>
                <w:rFonts w:ascii="Century Gothic" w:hAnsi="Century Gothic"/>
                <w:sz w:val="16"/>
                <w:szCs w:val="16"/>
              </w:rPr>
            </w:pPr>
            <w:r w:rsidRPr="009A501D">
              <w:rPr>
                <w:rFonts w:ascii="Cambria Math" w:hAnsi="Cambria Math" w:cs="Cambria Math"/>
                <w:sz w:val="16"/>
                <w:szCs w:val="16"/>
              </w:rPr>
              <w:t>𝑁</w:t>
            </w:r>
            <w:r w:rsidRPr="009A501D">
              <w:rPr>
                <w:rFonts w:ascii="Century Gothic" w:hAnsi="Century Gothic"/>
                <w:sz w:val="16"/>
                <w:szCs w:val="16"/>
              </w:rPr>
              <w:t>_</w:t>
            </w:r>
            <w:r w:rsidRPr="009A501D">
              <w:rPr>
                <w:rFonts w:ascii="Cambria Math" w:hAnsi="Cambria Math" w:cs="Cambria Math"/>
                <w:sz w:val="16"/>
                <w:szCs w:val="16"/>
              </w:rPr>
              <w:t>𝑍𝑔</w:t>
            </w:r>
            <w:r w:rsidRPr="009A501D">
              <w:rPr>
                <w:rFonts w:ascii="Century Gothic" w:hAnsi="Century Gothic"/>
                <w:sz w:val="16"/>
                <w:szCs w:val="16"/>
              </w:rPr>
              <w:t xml:space="preserve">2 es el número total de unidades en donde en la variable </w:t>
            </w:r>
            <w:r w:rsidRPr="009A501D">
              <w:rPr>
                <w:rFonts w:ascii="Cambria Math" w:hAnsi="Cambria Math" w:cs="Cambria Math"/>
                <w:sz w:val="16"/>
                <w:szCs w:val="16"/>
              </w:rPr>
              <w:t>𝑍</w:t>
            </w:r>
            <w:r w:rsidRPr="009A501D">
              <w:rPr>
                <w:rFonts w:ascii="Century Gothic" w:hAnsi="Century Gothic"/>
                <w:sz w:val="16"/>
                <w:szCs w:val="16"/>
              </w:rPr>
              <w:t xml:space="preserve"> hay </w:t>
            </w:r>
            <w:r w:rsidR="001E0AA8" w:rsidRPr="009A501D">
              <w:rPr>
                <w:rFonts w:ascii="Century Gothic" w:hAnsi="Century Gothic"/>
                <w:sz w:val="16"/>
                <w:szCs w:val="16"/>
              </w:rPr>
              <w:t>datos</w:t>
            </w:r>
            <w:r w:rsidRPr="009A501D">
              <w:rPr>
                <w:rFonts w:ascii="Century Gothic" w:hAnsi="Century Gothic"/>
                <w:sz w:val="16"/>
                <w:szCs w:val="16"/>
              </w:rPr>
              <w:t xml:space="preserve"> diferente</w:t>
            </w:r>
            <w:r w:rsidR="001E0AA8" w:rsidRPr="009A501D">
              <w:rPr>
                <w:rFonts w:ascii="Century Gothic" w:hAnsi="Century Gothic"/>
                <w:sz w:val="16"/>
                <w:szCs w:val="16"/>
              </w:rPr>
              <w:t>s</w:t>
            </w:r>
            <w:r w:rsidRPr="009A501D">
              <w:rPr>
                <w:rFonts w:ascii="Century Gothic" w:hAnsi="Century Gothic"/>
                <w:sz w:val="16"/>
                <w:szCs w:val="16"/>
              </w:rPr>
              <w:t xml:space="preserve"> a un código de no respuesta, pero al realizar la codificación, validación o edición se define como no respuesta</w:t>
            </w:r>
          </w:p>
          <w:p w14:paraId="19B9BC4B" w14:textId="77777777" w:rsidR="005A1399" w:rsidRPr="009A501D" w:rsidRDefault="005A1399" w:rsidP="00664A1D">
            <w:pPr>
              <w:spacing w:before="240"/>
              <w:jc w:val="both"/>
              <w:rPr>
                <w:rFonts w:ascii="Cambria Math" w:hAnsi="Cambria Math" w:cs="Cambria Math"/>
                <w:sz w:val="16"/>
                <w:szCs w:val="16"/>
              </w:rPr>
            </w:pPr>
            <w:r w:rsidRPr="009A501D">
              <w:rPr>
                <w:rFonts w:ascii="Cambria Math" w:hAnsi="Cambria Math" w:cs="Cambria Math"/>
                <w:sz w:val="16"/>
                <w:szCs w:val="16"/>
              </w:rPr>
              <w:t>𝑁</w:t>
            </w:r>
            <w:r w:rsidRPr="009A501D">
              <w:rPr>
                <w:rFonts w:ascii="Century Gothic" w:hAnsi="Century Gothic"/>
                <w:sz w:val="16"/>
                <w:szCs w:val="16"/>
              </w:rPr>
              <w:t>_</w:t>
            </w:r>
            <w:r w:rsidRPr="009A501D">
              <w:rPr>
                <w:rFonts w:ascii="Cambria Math" w:hAnsi="Cambria Math" w:cs="Cambria Math"/>
                <w:sz w:val="16"/>
                <w:szCs w:val="16"/>
              </w:rPr>
              <w:t>𝑍𝑔</w:t>
            </w:r>
            <w:r w:rsidRPr="009A501D">
              <w:rPr>
                <w:rFonts w:ascii="Century Gothic" w:hAnsi="Century Gothic"/>
                <w:sz w:val="16"/>
                <w:szCs w:val="16"/>
              </w:rPr>
              <w:t xml:space="preserve"> es el número total de unidades donde se requiere</w:t>
            </w:r>
            <w:r w:rsidR="0005634A" w:rsidRPr="009A501D">
              <w:rPr>
                <w:rFonts w:ascii="Century Gothic" w:hAnsi="Century Gothic"/>
                <w:sz w:val="16"/>
                <w:szCs w:val="16"/>
              </w:rPr>
              <w:t>n</w:t>
            </w:r>
            <w:r w:rsidRPr="009A501D">
              <w:rPr>
                <w:rFonts w:ascii="Century Gothic" w:hAnsi="Century Gothic"/>
                <w:sz w:val="16"/>
                <w:szCs w:val="16"/>
              </w:rPr>
              <w:t xml:space="preserve"> </w:t>
            </w:r>
            <w:r w:rsidR="0005634A" w:rsidRPr="009A501D">
              <w:rPr>
                <w:rFonts w:ascii="Century Gothic" w:hAnsi="Century Gothic"/>
                <w:sz w:val="16"/>
                <w:szCs w:val="16"/>
              </w:rPr>
              <w:t>datos</w:t>
            </w:r>
            <w:r w:rsidRPr="009A501D">
              <w:rPr>
                <w:rFonts w:ascii="Century Gothic" w:hAnsi="Century Gothic"/>
                <w:sz w:val="16"/>
                <w:szCs w:val="16"/>
              </w:rPr>
              <w:t xml:space="preserve"> de la variable </w:t>
            </w:r>
            <w:r w:rsidRPr="009A501D">
              <w:rPr>
                <w:rFonts w:ascii="Cambria Math" w:hAnsi="Cambria Math" w:cs="Cambria Math"/>
                <w:sz w:val="16"/>
                <w:szCs w:val="16"/>
              </w:rPr>
              <w:t>𝑍</w:t>
            </w:r>
          </w:p>
          <w:p w14:paraId="3D8491FB" w14:textId="6F5B397F" w:rsidR="002F6128" w:rsidRPr="009A501D" w:rsidRDefault="002F6128" w:rsidP="00664A1D">
            <w:pPr>
              <w:spacing w:before="240"/>
              <w:jc w:val="both"/>
              <w:rPr>
                <w:rFonts w:ascii="Century Gothic" w:hAnsi="Century Gothic"/>
                <w:sz w:val="19"/>
                <w:szCs w:val="19"/>
              </w:rPr>
            </w:pPr>
          </w:p>
        </w:tc>
      </w:tr>
    </w:tbl>
    <w:p w14:paraId="6293B346" w14:textId="60CDEB25"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 xml:space="preserve">En la segunda sesión 2019 del Comité, se aprobaron tres indicadores de uso interno para ser reportados en los metadatos por los responsables de </w:t>
      </w:r>
      <w:r w:rsidR="005F6B27" w:rsidRPr="009A501D">
        <w:rPr>
          <w:rFonts w:ascii="Century Gothic" w:hAnsi="Century Gothic"/>
          <w:sz w:val="19"/>
          <w:szCs w:val="19"/>
        </w:rPr>
        <w:t>procesos de producción</w:t>
      </w:r>
      <w:r w:rsidRPr="009A501D">
        <w:rPr>
          <w:rFonts w:ascii="Century Gothic" w:hAnsi="Century Gothic"/>
          <w:sz w:val="19"/>
          <w:szCs w:val="19"/>
        </w:rPr>
        <w:t xml:space="preserve"> basados en registros administrativos a partir del segundo semestre de 2019, considerando los siguientes puntos:</w:t>
      </w:r>
    </w:p>
    <w:p w14:paraId="57516F20" w14:textId="77777777" w:rsidR="005A1399" w:rsidRPr="009A501D" w:rsidRDefault="005A1399" w:rsidP="00664A1D">
      <w:pPr>
        <w:numPr>
          <w:ilvl w:val="0"/>
          <w:numId w:val="9"/>
        </w:numPr>
        <w:spacing w:before="240" w:line="240" w:lineRule="auto"/>
        <w:ind w:left="567" w:hanging="283"/>
        <w:contextualSpacing/>
        <w:jc w:val="both"/>
        <w:rPr>
          <w:rFonts w:ascii="Century Gothic" w:hAnsi="Century Gothic"/>
          <w:sz w:val="19"/>
          <w:szCs w:val="19"/>
        </w:rPr>
      </w:pPr>
      <w:r w:rsidRPr="009A501D">
        <w:rPr>
          <w:rFonts w:ascii="Century Gothic" w:hAnsi="Century Gothic"/>
          <w:sz w:val="19"/>
          <w:szCs w:val="19"/>
        </w:rPr>
        <w:t>el reporte se debe realizar a más tardar a los 30 días naturales contados a partir de la publicación de la información;</w:t>
      </w:r>
    </w:p>
    <w:p w14:paraId="6A2111A3" w14:textId="77777777" w:rsidR="005A1399" w:rsidRPr="009A501D" w:rsidRDefault="005A1399" w:rsidP="00664A1D">
      <w:pPr>
        <w:numPr>
          <w:ilvl w:val="0"/>
          <w:numId w:val="9"/>
        </w:numPr>
        <w:spacing w:before="240" w:line="240" w:lineRule="auto"/>
        <w:ind w:left="567" w:hanging="283"/>
        <w:contextualSpacing/>
        <w:jc w:val="both"/>
        <w:rPr>
          <w:rFonts w:ascii="Century Gothic" w:hAnsi="Century Gothic"/>
          <w:sz w:val="19"/>
          <w:szCs w:val="19"/>
        </w:rPr>
      </w:pPr>
      <w:r w:rsidRPr="009A501D">
        <w:rPr>
          <w:rFonts w:ascii="Century Gothic" w:hAnsi="Century Gothic"/>
          <w:sz w:val="19"/>
          <w:szCs w:val="19"/>
        </w:rPr>
        <w:t>se debe usar el formato definido en el grupo de trabajo;</w:t>
      </w:r>
    </w:p>
    <w:p w14:paraId="11AE9374" w14:textId="5614743D" w:rsidR="005A1399" w:rsidRPr="009A501D" w:rsidRDefault="005A1399" w:rsidP="00664A1D">
      <w:pPr>
        <w:numPr>
          <w:ilvl w:val="0"/>
          <w:numId w:val="9"/>
        </w:numPr>
        <w:spacing w:before="240" w:line="240" w:lineRule="auto"/>
        <w:ind w:left="567" w:hanging="283"/>
        <w:contextualSpacing/>
        <w:jc w:val="both"/>
        <w:rPr>
          <w:rFonts w:ascii="Century Gothic" w:hAnsi="Century Gothic"/>
          <w:sz w:val="19"/>
          <w:szCs w:val="19"/>
        </w:rPr>
      </w:pPr>
      <w:r w:rsidRPr="009A501D">
        <w:rPr>
          <w:rFonts w:ascii="Century Gothic" w:hAnsi="Century Gothic"/>
          <w:sz w:val="19"/>
          <w:szCs w:val="19"/>
        </w:rPr>
        <w:t xml:space="preserve">en el caso de la </w:t>
      </w:r>
      <w:r w:rsidRPr="009A501D">
        <w:rPr>
          <w:rFonts w:ascii="Century Gothic" w:hAnsi="Century Gothic"/>
          <w:i/>
          <w:iCs/>
          <w:sz w:val="19"/>
          <w:szCs w:val="19"/>
        </w:rPr>
        <w:t>tasa de no respuesta a nivel unidad</w:t>
      </w:r>
      <w:r w:rsidRPr="009A501D">
        <w:rPr>
          <w:rFonts w:ascii="Century Gothic" w:hAnsi="Century Gothic"/>
          <w:sz w:val="19"/>
          <w:szCs w:val="19"/>
        </w:rPr>
        <w:t xml:space="preserve">, para cada </w:t>
      </w:r>
      <w:r w:rsidR="005F6B27" w:rsidRPr="009A501D">
        <w:rPr>
          <w:rFonts w:ascii="Century Gothic" w:hAnsi="Century Gothic"/>
          <w:sz w:val="19"/>
          <w:szCs w:val="19"/>
        </w:rPr>
        <w:t>proceso</w:t>
      </w:r>
      <w:r w:rsidRPr="009A501D">
        <w:rPr>
          <w:rFonts w:ascii="Century Gothic" w:hAnsi="Century Gothic"/>
          <w:sz w:val="19"/>
          <w:szCs w:val="19"/>
        </w:rPr>
        <w:t xml:space="preserve"> se incluye en la sección de metadatos una nota técnica explicando el algoritmo específico usado para su cálculo.</w:t>
      </w:r>
    </w:p>
    <w:p w14:paraId="5D2D520D" w14:textId="0715908E"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 xml:space="preserve">En la segunda sesión 2022 del Comité, se aprobó que los indicadores para </w:t>
      </w:r>
      <w:r w:rsidR="005F6B27" w:rsidRPr="009A501D">
        <w:rPr>
          <w:rFonts w:ascii="Century Gothic" w:hAnsi="Century Gothic"/>
          <w:sz w:val="19"/>
          <w:szCs w:val="19"/>
        </w:rPr>
        <w:t>procesos</w:t>
      </w:r>
      <w:r w:rsidRPr="009A501D">
        <w:rPr>
          <w:rFonts w:ascii="Century Gothic" w:hAnsi="Century Gothic"/>
          <w:sz w:val="19"/>
          <w:szCs w:val="19"/>
        </w:rPr>
        <w:t xml:space="preserve"> cuyo único insumo son registros administrativos pasaran a ser de uso externo. A partir de esto, las áreas productoras iniciaron con los trabajos para hacer públicos estos </w:t>
      </w:r>
      <w:r w:rsidR="00015160" w:rsidRPr="009A501D">
        <w:rPr>
          <w:rFonts w:ascii="Century Gothic" w:hAnsi="Century Gothic"/>
          <w:sz w:val="19"/>
          <w:szCs w:val="19"/>
        </w:rPr>
        <w:t>indicadores de precisión</w:t>
      </w:r>
      <w:r w:rsidRPr="009A501D">
        <w:rPr>
          <w:rFonts w:ascii="Century Gothic" w:hAnsi="Century Gothic"/>
          <w:sz w:val="19"/>
          <w:szCs w:val="19"/>
        </w:rPr>
        <w:t>.</w:t>
      </w:r>
    </w:p>
    <w:p w14:paraId="47FB2FC4" w14:textId="702EA061" w:rsidR="005A1399" w:rsidRPr="009A501D" w:rsidRDefault="005A1399" w:rsidP="00664A1D">
      <w:pPr>
        <w:spacing w:before="240"/>
        <w:jc w:val="both"/>
        <w:rPr>
          <w:rFonts w:ascii="Century Gothic" w:hAnsi="Century Gothic" w:cs="Calibri"/>
          <w:color w:val="000000"/>
          <w:sz w:val="19"/>
          <w:szCs w:val="19"/>
        </w:rPr>
      </w:pPr>
      <w:r w:rsidRPr="009A501D">
        <w:rPr>
          <w:rFonts w:ascii="Century Gothic" w:hAnsi="Century Gothic"/>
          <w:sz w:val="19"/>
          <w:szCs w:val="19"/>
        </w:rPr>
        <w:t xml:space="preserve">Con el fin de dar un panorama general de los resultados de los indicadores reportados en 2022, en el cuadro A.3.5 se presentan los promedios de las </w:t>
      </w:r>
      <w:r w:rsidRPr="009A501D">
        <w:rPr>
          <w:rFonts w:ascii="Century Gothic" w:hAnsi="Century Gothic"/>
          <w:i/>
          <w:iCs/>
          <w:sz w:val="19"/>
          <w:szCs w:val="19"/>
        </w:rPr>
        <w:t>tasas de no respuesta a nivel unidad de observación</w:t>
      </w:r>
      <w:r w:rsidRPr="009A501D">
        <w:rPr>
          <w:rFonts w:ascii="Century Gothic" w:hAnsi="Century Gothic"/>
          <w:sz w:val="19"/>
          <w:szCs w:val="19"/>
        </w:rPr>
        <w:t xml:space="preserve"> y de las </w:t>
      </w:r>
      <w:r w:rsidRPr="009A501D">
        <w:rPr>
          <w:rFonts w:ascii="Century Gothic" w:hAnsi="Century Gothic"/>
          <w:i/>
          <w:iCs/>
          <w:sz w:val="19"/>
          <w:szCs w:val="19"/>
        </w:rPr>
        <w:t xml:space="preserve">tasas de </w:t>
      </w:r>
      <w:proofErr w:type="spellStart"/>
      <w:r w:rsidRPr="009A501D">
        <w:rPr>
          <w:rFonts w:ascii="Century Gothic" w:hAnsi="Century Gothic"/>
          <w:i/>
          <w:iCs/>
          <w:sz w:val="19"/>
          <w:szCs w:val="19"/>
        </w:rPr>
        <w:t>sobrecobertura</w:t>
      </w:r>
      <w:proofErr w:type="spellEnd"/>
      <w:r w:rsidRPr="009A501D">
        <w:rPr>
          <w:rFonts w:ascii="Century Gothic" w:hAnsi="Century Gothic"/>
          <w:sz w:val="19"/>
          <w:szCs w:val="19"/>
        </w:rPr>
        <w:t xml:space="preserve">. Como puede observarse, para la </w:t>
      </w:r>
      <w:r w:rsidRPr="009A501D">
        <w:rPr>
          <w:rFonts w:ascii="Century Gothic" w:hAnsi="Century Gothic"/>
          <w:i/>
          <w:iCs/>
          <w:sz w:val="19"/>
          <w:szCs w:val="19"/>
        </w:rPr>
        <w:t>tasa de no respuesta a nivel unidad</w:t>
      </w:r>
      <w:r w:rsidRPr="009A501D">
        <w:rPr>
          <w:rFonts w:ascii="Century Gothic" w:hAnsi="Century Gothic"/>
          <w:sz w:val="19"/>
          <w:szCs w:val="19"/>
        </w:rPr>
        <w:t xml:space="preserve"> </w:t>
      </w:r>
      <w:r w:rsidR="000F55EC" w:rsidRPr="009A501D">
        <w:rPr>
          <w:rFonts w:ascii="Century Gothic" w:hAnsi="Century Gothic"/>
          <w:sz w:val="19"/>
          <w:szCs w:val="19"/>
        </w:rPr>
        <w:t xml:space="preserve">se observa una disminución considerable en </w:t>
      </w:r>
      <w:r w:rsidRPr="009A501D">
        <w:rPr>
          <w:rFonts w:ascii="Century Gothic" w:hAnsi="Century Gothic"/>
          <w:sz w:val="19"/>
          <w:szCs w:val="19"/>
        </w:rPr>
        <w:t>Accidentes de Tránsito Terrestre (ATUS</w:t>
      </w:r>
      <w:r w:rsidR="000F55EC" w:rsidRPr="009A501D">
        <w:rPr>
          <w:rFonts w:ascii="Century Gothic" w:hAnsi="Century Gothic"/>
          <w:sz w:val="19"/>
          <w:szCs w:val="19"/>
        </w:rPr>
        <w:t xml:space="preserve">), </w:t>
      </w:r>
      <w:r w:rsidRPr="009A501D">
        <w:rPr>
          <w:rFonts w:ascii="Century Gothic" w:hAnsi="Century Gothic" w:cs="Calibri"/>
          <w:color w:val="000000"/>
          <w:sz w:val="19"/>
          <w:szCs w:val="19"/>
        </w:rPr>
        <w:t>seguido de</w:t>
      </w:r>
      <w:r w:rsidR="000F55EC" w:rsidRPr="009A501D">
        <w:rPr>
          <w:rFonts w:ascii="Century Gothic" w:hAnsi="Century Gothic" w:cs="Calibri"/>
          <w:color w:val="000000"/>
          <w:sz w:val="19"/>
          <w:szCs w:val="19"/>
        </w:rPr>
        <w:t xml:space="preserve"> </w:t>
      </w:r>
      <w:r w:rsidRPr="009A501D">
        <w:rPr>
          <w:rFonts w:ascii="Century Gothic" w:hAnsi="Century Gothic" w:cs="Calibri"/>
          <w:color w:val="000000"/>
          <w:sz w:val="19"/>
          <w:szCs w:val="19"/>
        </w:rPr>
        <w:t xml:space="preserve">Finanzas Públicas Estatales y Municipales (EFIPEM). En contraparte, en 2022 se observa un aumento de la no respuesta en </w:t>
      </w:r>
      <w:r w:rsidR="000F55EC" w:rsidRPr="009A501D">
        <w:rPr>
          <w:rFonts w:ascii="Century Gothic" w:hAnsi="Century Gothic" w:cs="Calibri"/>
          <w:color w:val="000000"/>
          <w:sz w:val="19"/>
          <w:szCs w:val="19"/>
        </w:rPr>
        <w:t xml:space="preserve">la </w:t>
      </w:r>
      <w:r w:rsidRPr="009A501D">
        <w:rPr>
          <w:rFonts w:ascii="Century Gothic" w:hAnsi="Century Gothic" w:cs="Calibri"/>
          <w:color w:val="000000"/>
          <w:sz w:val="19"/>
          <w:szCs w:val="19"/>
        </w:rPr>
        <w:t xml:space="preserve">Estadística de Museos (EM). En cuanto a las </w:t>
      </w:r>
      <w:r w:rsidRPr="009A501D">
        <w:rPr>
          <w:rFonts w:ascii="Century Gothic" w:hAnsi="Century Gothic" w:cs="Calibri"/>
          <w:i/>
          <w:iCs/>
          <w:color w:val="000000"/>
          <w:sz w:val="19"/>
          <w:szCs w:val="19"/>
        </w:rPr>
        <w:t xml:space="preserve">tasas de </w:t>
      </w:r>
      <w:proofErr w:type="spellStart"/>
      <w:r w:rsidRPr="009A501D">
        <w:rPr>
          <w:rFonts w:ascii="Century Gothic" w:hAnsi="Century Gothic" w:cs="Calibri"/>
          <w:i/>
          <w:iCs/>
          <w:color w:val="000000"/>
          <w:sz w:val="19"/>
          <w:szCs w:val="19"/>
        </w:rPr>
        <w:t>sobrecobertura</w:t>
      </w:r>
      <w:proofErr w:type="spellEnd"/>
      <w:r w:rsidRPr="009A501D">
        <w:rPr>
          <w:rFonts w:ascii="Century Gothic" w:hAnsi="Century Gothic" w:cs="Calibri"/>
          <w:color w:val="000000"/>
          <w:sz w:val="19"/>
          <w:szCs w:val="19"/>
        </w:rPr>
        <w:t xml:space="preserve">, se presenta una disminución en el </w:t>
      </w:r>
      <w:r w:rsidR="00AD2D5B" w:rsidRPr="009A501D">
        <w:rPr>
          <w:rFonts w:ascii="Century Gothic" w:hAnsi="Century Gothic" w:cs="Calibri"/>
          <w:color w:val="000000"/>
          <w:sz w:val="19"/>
          <w:szCs w:val="19"/>
        </w:rPr>
        <w:t>proceso</w:t>
      </w:r>
      <w:r w:rsidRPr="009A501D">
        <w:rPr>
          <w:rFonts w:ascii="Century Gothic" w:hAnsi="Century Gothic" w:cs="Calibri"/>
          <w:color w:val="000000"/>
          <w:sz w:val="19"/>
          <w:szCs w:val="19"/>
        </w:rPr>
        <w:t xml:space="preserve"> Estadísticas de Defunciones Fetales (EDF) y, en general, se observa consistencia a lo largo del tiempo para este indicador en la totalidad de los </w:t>
      </w:r>
      <w:r w:rsidR="00AD2D5B" w:rsidRPr="009A501D">
        <w:rPr>
          <w:rFonts w:ascii="Century Gothic" w:hAnsi="Century Gothic" w:cs="Calibri"/>
          <w:color w:val="000000"/>
          <w:sz w:val="19"/>
          <w:szCs w:val="19"/>
        </w:rPr>
        <w:t>procesos</w:t>
      </w:r>
      <w:r w:rsidRPr="009A501D">
        <w:rPr>
          <w:rFonts w:ascii="Century Gothic" w:hAnsi="Century Gothic" w:cs="Calibri"/>
          <w:color w:val="000000"/>
          <w:sz w:val="19"/>
          <w:szCs w:val="19"/>
        </w:rPr>
        <w:t xml:space="preserve">. </w:t>
      </w:r>
    </w:p>
    <w:p w14:paraId="12FCDF4E" w14:textId="684AC628" w:rsidR="000F55EC" w:rsidRPr="009A501D" w:rsidRDefault="000F55EC" w:rsidP="00664A1D">
      <w:pPr>
        <w:spacing w:before="240"/>
        <w:rPr>
          <w:rFonts w:ascii="Century Gothic" w:hAnsi="Century Gothic" w:cs="Calibri"/>
          <w:color w:val="000000"/>
          <w:sz w:val="19"/>
          <w:szCs w:val="19"/>
        </w:rPr>
      </w:pPr>
      <w:r w:rsidRPr="009A501D">
        <w:rPr>
          <w:rFonts w:ascii="Century Gothic" w:hAnsi="Century Gothic" w:cs="Calibri"/>
          <w:color w:val="000000"/>
          <w:sz w:val="19"/>
          <w:szCs w:val="19"/>
        </w:rPr>
        <w:br w:type="page"/>
      </w:r>
    </w:p>
    <w:p w14:paraId="0A0F804A" w14:textId="7BE7A6CF" w:rsidR="005A1399" w:rsidRPr="009A501D" w:rsidRDefault="005A1399" w:rsidP="00664A1D">
      <w:pPr>
        <w:spacing w:before="240"/>
        <w:jc w:val="center"/>
        <w:rPr>
          <w:rFonts w:ascii="Century Gothic" w:hAnsi="Century Gothic"/>
          <w:b/>
          <w:sz w:val="19"/>
          <w:szCs w:val="19"/>
        </w:rPr>
      </w:pPr>
      <w:r w:rsidRPr="009A501D">
        <w:rPr>
          <w:rFonts w:ascii="Century Gothic" w:hAnsi="Century Gothic"/>
          <w:b/>
          <w:sz w:val="19"/>
          <w:szCs w:val="19"/>
        </w:rPr>
        <w:lastRenderedPageBreak/>
        <w:t>A.3.5. Comparativo 2019</w:t>
      </w:r>
      <w:r w:rsidR="00F97E3C" w:rsidRPr="009A501D">
        <w:rPr>
          <w:rFonts w:ascii="Century Gothic" w:hAnsi="Century Gothic"/>
          <w:b/>
          <w:sz w:val="19"/>
          <w:szCs w:val="19"/>
        </w:rPr>
        <w:t>-</w:t>
      </w:r>
      <w:r w:rsidRPr="009A501D">
        <w:rPr>
          <w:rFonts w:ascii="Century Gothic" w:hAnsi="Century Gothic"/>
          <w:b/>
          <w:sz w:val="19"/>
          <w:szCs w:val="19"/>
        </w:rPr>
        <w:t xml:space="preserve">2022 del promedio de las tasas de </w:t>
      </w:r>
      <w:proofErr w:type="spellStart"/>
      <w:r w:rsidRPr="009A501D">
        <w:rPr>
          <w:rFonts w:ascii="Century Gothic" w:hAnsi="Century Gothic"/>
          <w:b/>
          <w:sz w:val="19"/>
          <w:szCs w:val="19"/>
        </w:rPr>
        <w:t>sobrecobertura</w:t>
      </w:r>
      <w:proofErr w:type="spellEnd"/>
      <w:r w:rsidRPr="009A501D">
        <w:rPr>
          <w:rFonts w:ascii="Century Gothic" w:hAnsi="Century Gothic"/>
          <w:b/>
          <w:sz w:val="19"/>
          <w:szCs w:val="19"/>
        </w:rPr>
        <w:t xml:space="preserve"> y de no respuesta a nivel unidad</w:t>
      </w:r>
    </w:p>
    <w:tbl>
      <w:tblPr>
        <w:tblW w:w="14360" w:type="dxa"/>
        <w:jc w:val="center"/>
        <w:tblCellMar>
          <w:left w:w="70" w:type="dxa"/>
          <w:right w:w="70" w:type="dxa"/>
        </w:tblCellMar>
        <w:tblLook w:val="04A0" w:firstRow="1" w:lastRow="0" w:firstColumn="1" w:lastColumn="0" w:noHBand="0" w:noVBand="1"/>
      </w:tblPr>
      <w:tblGrid>
        <w:gridCol w:w="571"/>
        <w:gridCol w:w="2362"/>
        <w:gridCol w:w="902"/>
        <w:gridCol w:w="518"/>
        <w:gridCol w:w="518"/>
        <w:gridCol w:w="536"/>
        <w:gridCol w:w="572"/>
        <w:gridCol w:w="633"/>
        <w:gridCol w:w="1149"/>
        <w:gridCol w:w="1167"/>
        <w:gridCol w:w="730"/>
        <w:gridCol w:w="1155"/>
        <w:gridCol w:w="1160"/>
        <w:gridCol w:w="1232"/>
        <w:gridCol w:w="1155"/>
      </w:tblGrid>
      <w:tr w:rsidR="005A1399" w:rsidRPr="009A501D" w14:paraId="4505E037" w14:textId="77777777" w:rsidTr="00C1649C">
        <w:trPr>
          <w:trHeight w:val="606"/>
          <w:tblHeader/>
          <w:jc w:val="center"/>
        </w:trPr>
        <w:tc>
          <w:tcPr>
            <w:tcW w:w="5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0FB95F44"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24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5887903" w14:textId="7A7CECF6" w:rsidR="005A1399" w:rsidRPr="009A501D" w:rsidRDefault="00AD2D5B"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8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F97429A"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Acrónimo</w:t>
            </w:r>
          </w:p>
        </w:tc>
        <w:tc>
          <w:tcPr>
            <w:tcW w:w="21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8E2F7F9"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Número de casos totales</w:t>
            </w:r>
          </w:p>
        </w:tc>
        <w:tc>
          <w:tcPr>
            <w:tcW w:w="37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64FBFD5"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Promedio de la tasa de </w:t>
            </w:r>
            <w:proofErr w:type="spellStart"/>
            <w:r w:rsidRPr="009A501D">
              <w:rPr>
                <w:rFonts w:ascii="Century Gothic" w:hAnsi="Century Gothic" w:cs="Calibri"/>
                <w:b/>
                <w:color w:val="FFFFFF"/>
                <w:sz w:val="16"/>
                <w:szCs w:val="16"/>
              </w:rPr>
              <w:t>sobrecobertura</w:t>
            </w:r>
            <w:proofErr w:type="spellEnd"/>
            <w:r w:rsidRPr="009A501D">
              <w:rPr>
                <w:rFonts w:ascii="Century Gothic" w:hAnsi="Century Gothic" w:cs="Calibri"/>
                <w:b/>
                <w:color w:val="FFFFFF"/>
                <w:sz w:val="16"/>
                <w:szCs w:val="16"/>
              </w:rPr>
              <w:t xml:space="preserve"> (%)</w:t>
            </w:r>
          </w:p>
        </w:tc>
        <w:tc>
          <w:tcPr>
            <w:tcW w:w="45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C7F26F2"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Promedio de la tasa de no respuesta por unidad (%)</w:t>
            </w:r>
          </w:p>
        </w:tc>
      </w:tr>
      <w:tr w:rsidR="005A1399" w:rsidRPr="009A501D" w14:paraId="6A74620C" w14:textId="77777777" w:rsidTr="00F729C4">
        <w:trPr>
          <w:trHeight w:val="340"/>
          <w:tblHeader/>
          <w:jc w:val="center"/>
        </w:trPr>
        <w:tc>
          <w:tcPr>
            <w:tcW w:w="5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7770B4" w14:textId="77777777" w:rsidR="005A1399" w:rsidRPr="009A501D" w:rsidRDefault="005A1399" w:rsidP="005F0418">
            <w:pPr>
              <w:spacing w:after="0"/>
              <w:rPr>
                <w:rFonts w:ascii="Century Gothic" w:hAnsi="Century Gothic" w:cs="Calibri"/>
                <w:b/>
                <w:color w:val="FFFFFF"/>
                <w:sz w:val="16"/>
                <w:szCs w:val="16"/>
              </w:rPr>
            </w:pPr>
          </w:p>
        </w:tc>
        <w:tc>
          <w:tcPr>
            <w:tcW w:w="24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2B713F" w14:textId="77777777" w:rsidR="005A1399" w:rsidRPr="009A501D" w:rsidRDefault="005A1399" w:rsidP="005F0418">
            <w:pPr>
              <w:spacing w:after="0"/>
              <w:rPr>
                <w:rFonts w:ascii="Century Gothic" w:hAnsi="Century Gothic" w:cs="Calibri"/>
                <w:b/>
                <w:color w:val="FFFFFF"/>
                <w:sz w:val="16"/>
                <w:szCs w:val="16"/>
              </w:rPr>
            </w:pPr>
          </w:p>
        </w:tc>
        <w:tc>
          <w:tcPr>
            <w:tcW w:w="88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A45F25" w14:textId="77777777" w:rsidR="005A1399" w:rsidRPr="009A501D" w:rsidRDefault="005A1399" w:rsidP="005F0418">
            <w:pPr>
              <w:spacing w:after="0"/>
              <w:rPr>
                <w:rFonts w:ascii="Century Gothic" w:hAnsi="Century Gothic" w:cs="Calibri"/>
                <w:b/>
                <w:color w:val="FFFFFF"/>
                <w:sz w:val="16"/>
                <w:szCs w:val="16"/>
              </w:rPr>
            </w:pP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FE2DF70"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DA2B317"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5BD464E"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93F0D14"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2E5A417"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ED4C884"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41D58B6"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4E0DFAF"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1F224CC"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17A996C"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75CB30F"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A4DEC71" w14:textId="77777777" w:rsidR="005A1399" w:rsidRPr="009A501D" w:rsidRDefault="005A1399" w:rsidP="005F0418">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5A1399" w:rsidRPr="009A501D" w14:paraId="4508B348"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E24CA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DA2E0BB"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Finanzas Públicas Estatales y Municipales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C9445C5"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EFIPEM</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45564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0AE49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6F03AB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90856D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FF94FD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782EF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AD8C7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F3BFC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510EE6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 xml:space="preserve">7 </w:t>
            </w:r>
            <w:r w:rsidRPr="009A501D">
              <w:rPr>
                <w:rFonts w:ascii="Century Gothic" w:hAnsi="Century Gothic" w:cs="Calibri"/>
                <w:sz w:val="16"/>
                <w:szCs w:val="16"/>
              </w:rPr>
              <w:br/>
              <w:t>(ponderado)</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96358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 xml:space="preserve">5 </w:t>
            </w:r>
            <w:r w:rsidRPr="009A501D">
              <w:rPr>
                <w:rFonts w:ascii="Century Gothic" w:hAnsi="Century Gothic" w:cs="Calibri"/>
                <w:sz w:val="16"/>
                <w:szCs w:val="16"/>
              </w:rPr>
              <w:br/>
              <w:t>(ponderado)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E90C65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5</w:t>
            </w:r>
            <w:r w:rsidRPr="009A501D">
              <w:rPr>
                <w:rFonts w:ascii="Century Gothic" w:hAnsi="Century Gothic" w:cs="Calibri"/>
                <w:sz w:val="16"/>
                <w:szCs w:val="16"/>
              </w:rPr>
              <w:br/>
              <w:t>(ponderado)</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162EA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w:t>
            </w:r>
            <w:r w:rsidRPr="009A501D">
              <w:rPr>
                <w:rFonts w:ascii="Century Gothic" w:hAnsi="Century Gothic" w:cs="Calibri"/>
                <w:sz w:val="16"/>
                <w:szCs w:val="16"/>
              </w:rPr>
              <w:br/>
              <w:t>(ponderado)</w:t>
            </w:r>
          </w:p>
        </w:tc>
      </w:tr>
      <w:tr w:rsidR="00317772" w:rsidRPr="009A501D" w14:paraId="37441C01"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9D2993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F4D88F6"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Accidentes de Tránsito Terrestre</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8C0A13"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ATUS</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36B6A6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ADD895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FE9E67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B3ADE0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65D13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174CA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E43BE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DB886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C0BBB3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9192B6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A3F2A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9FD1E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5A1399" w:rsidRPr="009A501D" w14:paraId="7C3B1A57"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F315B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953F5C"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Transporte Urbano de Pasajeros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AAC8E80"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ETUP</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8E3BBC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6</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3A7EE7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10</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C73A93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C2F6AF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22834B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7C25C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4C22B7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809915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18FFF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421306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84BA32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8C016E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317772" w:rsidRPr="009A501D" w14:paraId="043FA7E1"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26E830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4A47987"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Vehículos de Motor Registrados en Circulación</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4D72AC8"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VMRC</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D90F30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6</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C7379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1AD827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872CF7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78D157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A7C5F67" w14:textId="73A93BA0"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78063B" w:rsidRPr="009A501D">
              <w:rPr>
                <w:rFonts w:ascii="Century Gothic" w:hAnsi="Century Gothic" w:cs="Calibri"/>
                <w:sz w:val="16"/>
                <w:szCs w:val="16"/>
              </w:rPr>
              <w:t xml:space="preserve"> (mensual</w:t>
            </w:r>
            <w:r w:rsidR="00A243E8" w:rsidRPr="009A501D">
              <w:rPr>
                <w:rFonts w:ascii="Century Gothic" w:hAnsi="Century Gothic" w:cs="Calibri"/>
                <w:sz w:val="16"/>
                <w:szCs w:val="16"/>
              </w:rPr>
              <w:t xml:space="preserve">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064B39B" w14:textId="65AD002A"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A243E8"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24B1C3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8590A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D0BB62E" w14:textId="5D20F622"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A243E8"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558D62F" w14:textId="19C7B0AE"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A243E8"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C1D89E4" w14:textId="5D750691" w:rsidR="005A1399" w:rsidRPr="009A501D" w:rsidRDefault="004C0113" w:rsidP="005F0418">
            <w:pPr>
              <w:spacing w:after="0"/>
              <w:jc w:val="center"/>
              <w:rPr>
                <w:rFonts w:ascii="Century Gothic" w:hAnsi="Century Gothic" w:cs="Calibri"/>
                <w:sz w:val="16"/>
                <w:szCs w:val="16"/>
              </w:rPr>
            </w:pPr>
            <w:r w:rsidRPr="009A501D">
              <w:rPr>
                <w:rFonts w:ascii="Century Gothic" w:hAnsi="Century Gothic" w:cs="Calibri"/>
                <w:sz w:val="16"/>
                <w:szCs w:val="16"/>
              </w:rPr>
              <w:t xml:space="preserve">0 (mensual y anual) </w:t>
            </w:r>
            <w:r w:rsidRPr="009A501D">
              <w:rPr>
                <w:rFonts w:ascii="Century Gothic" w:hAnsi="Century Gothic" w:cs="Calibri"/>
                <w:sz w:val="16"/>
                <w:szCs w:val="16"/>
                <w:vertAlign w:val="superscript"/>
              </w:rPr>
              <w:t>/a</w:t>
            </w:r>
          </w:p>
        </w:tc>
      </w:tr>
      <w:tr w:rsidR="005A1399" w:rsidRPr="009A501D" w14:paraId="25DD2422"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918111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B559672"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Sacrificio de Ganado en Rastros Municipales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D79787E"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ESGRM</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81054E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10</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5955D8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E31244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E49D91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1B0A2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2611AC2" w14:textId="1D1459A9"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A243E8"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24C8535" w14:textId="347215AF"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r w:rsidR="00A243E8"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C9EF82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9A1D47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060C832" w14:textId="73176368"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5</w:t>
            </w:r>
            <w:r w:rsidR="00A243E8" w:rsidRPr="009A501D">
              <w:rPr>
                <w:rFonts w:ascii="Century Gothic" w:hAnsi="Century Gothic" w:cs="Calibri"/>
                <w:sz w:val="16"/>
                <w:szCs w:val="16"/>
              </w:rPr>
              <w:t xml:space="preserve"> (</w:t>
            </w:r>
            <w:r w:rsidR="00D870E0" w:rsidRPr="009A501D">
              <w:rPr>
                <w:rFonts w:ascii="Century Gothic" w:hAnsi="Century Gothic" w:cs="Calibri"/>
                <w:sz w:val="16"/>
                <w:szCs w:val="16"/>
              </w:rPr>
              <w:t>mensual)</w:t>
            </w:r>
            <w:r w:rsidRPr="009A501D">
              <w:rPr>
                <w:rFonts w:ascii="Century Gothic" w:hAnsi="Century Gothic" w:cs="Calibri"/>
                <w:sz w:val="16"/>
                <w:szCs w:val="16"/>
              </w:rPr>
              <w:br/>
              <w:t xml:space="preserve">0 </w:t>
            </w:r>
            <w:r w:rsidR="00D870E0"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BED26BE" w14:textId="3A4B0DD4"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4</w:t>
            </w:r>
            <w:r w:rsidR="00D870E0" w:rsidRPr="009A501D">
              <w:rPr>
                <w:rFonts w:ascii="Century Gothic" w:hAnsi="Century Gothic" w:cs="Calibri"/>
                <w:sz w:val="16"/>
                <w:szCs w:val="16"/>
              </w:rPr>
              <w:t xml:space="preserve"> (mensual)</w:t>
            </w:r>
            <w:r w:rsidRPr="009A501D">
              <w:rPr>
                <w:rFonts w:ascii="Century Gothic" w:hAnsi="Century Gothic" w:cs="Calibri"/>
                <w:sz w:val="16"/>
                <w:szCs w:val="16"/>
              </w:rPr>
              <w:br/>
              <w:t xml:space="preserve">1 </w:t>
            </w:r>
            <w:r w:rsidR="00D870E0"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3F4152C" w14:textId="2F5AF094" w:rsidR="005A1399" w:rsidRPr="009A501D" w:rsidRDefault="000F6852" w:rsidP="005F0418">
            <w:pPr>
              <w:spacing w:after="0"/>
              <w:jc w:val="center"/>
              <w:rPr>
                <w:rFonts w:ascii="Century Gothic" w:hAnsi="Century Gothic" w:cs="Calibri"/>
                <w:sz w:val="16"/>
                <w:szCs w:val="16"/>
              </w:rPr>
            </w:pPr>
            <w:r w:rsidRPr="009A501D">
              <w:rPr>
                <w:rFonts w:ascii="Century Gothic" w:hAnsi="Century Gothic" w:cs="Calibri"/>
                <w:sz w:val="16"/>
                <w:szCs w:val="16"/>
              </w:rPr>
              <w:t>4</w:t>
            </w:r>
            <w:r w:rsidR="004C0113" w:rsidRPr="009A501D">
              <w:rPr>
                <w:rFonts w:ascii="Century Gothic" w:hAnsi="Century Gothic" w:cs="Calibri"/>
                <w:sz w:val="16"/>
                <w:szCs w:val="16"/>
              </w:rPr>
              <w:t xml:space="preserve"> (mensual)</w:t>
            </w:r>
          </w:p>
        </w:tc>
      </w:tr>
      <w:tr w:rsidR="00317772" w:rsidRPr="009A501D" w14:paraId="00DB39F3"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FBFFC7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44A848"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 de Nacimientos Registrados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BF8D090"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ENR</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65E847" w14:textId="06B41BDD"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8C959A" w14:textId="6F604D3B"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7541C6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0D32F3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0C7B5A9" w14:textId="3C993D27"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890FC51" w14:textId="6A2B1761"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D2CAD2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5FBA96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29FA8E5" w14:textId="052C2F1E"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21F1B0E" w14:textId="291122DE"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E5DB4F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BF4292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5A1399" w:rsidRPr="009A501D" w14:paraId="07FBDC5C"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4ADA0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39ADB3E"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Estadísticas de Defunciones Registradas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6D9AE6A"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EDR</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80510F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569BD1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488B70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E2A24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780E4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8C8922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19B021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ACCB4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9FE69B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2A3C1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F4F9C0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208E3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317772" w:rsidRPr="009A501D" w14:paraId="02EF584E"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4417C8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F532F58"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Estadísticas de Defunciones Fetales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54C16D0"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EDF</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140D3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34BE74D" w14:textId="0068A010"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F5332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6B8B9F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7C2D4D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86BBE47" w14:textId="0BDDB857"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86F8DE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AA37DC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1E2C1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98E498B" w14:textId="0E1AF705" w:rsidR="005A1399" w:rsidRPr="009A501D" w:rsidRDefault="007D761D" w:rsidP="005F0418">
            <w:pPr>
              <w:spacing w:after="0"/>
              <w:jc w:val="center"/>
              <w:rPr>
                <w:rFonts w:ascii="Century Gothic" w:hAnsi="Century Gothic" w:cs="Calibri"/>
                <w:sz w:val="16"/>
                <w:szCs w:val="16"/>
              </w:rPr>
            </w:pPr>
            <w:r w:rsidRPr="009A501D">
              <w:rPr>
                <w:rFonts w:ascii="Century Gothic" w:hAnsi="Century Gothic" w:cs="Calibri"/>
                <w:sz w:val="16"/>
                <w:szCs w:val="16"/>
              </w:rPr>
              <w:t>NR</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2A83581"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A19982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5A1399" w:rsidRPr="009A501D" w14:paraId="08E3EB03"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1B620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C8CA181"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 de Matrimonios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A1C9F1C"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EMAT</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710FFC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231C3B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2E53C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E51667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3D3D2C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049A19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3C9D9E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1B952E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AE358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F48F63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D1AFC0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F43035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317772" w:rsidRPr="009A501D" w14:paraId="11C46899"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ABB93B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1F24E7"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 de Divorcios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AD7A60F"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E0A55E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D8E718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CA7517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9EE20D3"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F6DEE2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756548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5F5199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6E3237F"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2D5AC1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A377FA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E29750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77B56F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5A1399" w:rsidRPr="009A501D" w14:paraId="72A5BDA5"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ED7CC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D8341C"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Estadísticas de Salud en Establecimientos Particulares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453E5E6"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ESEP</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1A7663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E095EF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88DF84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97AE35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A70136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8A593B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31F9A0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E650F9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61479F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A97A53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6AAEAF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6046BB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317772" w:rsidRPr="009A501D" w14:paraId="5B26A63B"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B69658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569500C"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 de Museos</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430D24B"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EM</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00083D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ECF1EA7"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AD7F26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7BAF3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8FCA6BE"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F95ACDA"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C14FB4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BF831E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B9F285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DC292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023FEA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FEC668A" w14:textId="77777777" w:rsidR="005A1399" w:rsidRPr="009A501D" w:rsidRDefault="005A1399" w:rsidP="005F0418">
            <w:pPr>
              <w:spacing w:after="0"/>
              <w:jc w:val="center"/>
              <w:rPr>
                <w:rFonts w:ascii="Century Gothic" w:hAnsi="Century Gothic" w:cs="Calibri"/>
                <w:color w:val="FF0000"/>
                <w:sz w:val="16"/>
                <w:szCs w:val="16"/>
              </w:rPr>
            </w:pPr>
            <w:r w:rsidRPr="009A501D">
              <w:rPr>
                <w:rFonts w:ascii="Century Gothic" w:hAnsi="Century Gothic" w:cs="Calibri"/>
                <w:sz w:val="16"/>
                <w:szCs w:val="16"/>
              </w:rPr>
              <w:t>2</w:t>
            </w:r>
          </w:p>
        </w:tc>
      </w:tr>
      <w:tr w:rsidR="005A1399" w:rsidRPr="009A501D" w14:paraId="71964B88" w14:textId="77777777" w:rsidTr="00F729C4">
        <w:trPr>
          <w:trHeight w:val="283"/>
          <w:jc w:val="center"/>
        </w:trPr>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C4071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4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F4FE4A7" w14:textId="77777777" w:rsidR="005A1399" w:rsidRPr="009A501D" w:rsidRDefault="005A1399" w:rsidP="005F0418">
            <w:pPr>
              <w:spacing w:after="0"/>
              <w:rPr>
                <w:rFonts w:ascii="Century Gothic" w:hAnsi="Century Gothic" w:cs="Calibri"/>
                <w:sz w:val="16"/>
                <w:szCs w:val="16"/>
              </w:rPr>
            </w:pPr>
            <w:r w:rsidRPr="009A501D">
              <w:rPr>
                <w:rFonts w:ascii="Century Gothic" w:hAnsi="Century Gothic" w:cs="Calibri"/>
                <w:sz w:val="16"/>
                <w:szCs w:val="16"/>
              </w:rPr>
              <w:t>Estadísticas sobre Relaciones Laborales de Jurisdicción Local</w:t>
            </w:r>
          </w:p>
        </w:tc>
        <w:tc>
          <w:tcPr>
            <w:tcW w:w="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703AD9D"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ERLAJUL</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283CCC"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9B13300"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FE7F7D"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6D94E2"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264</w:t>
            </w:r>
          </w:p>
        </w:tc>
        <w:tc>
          <w:tcPr>
            <w:tcW w:w="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1F57DF6"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1EE3AB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B4FF525"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7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7C64C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0332C6B"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63BBD98"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CE536F4"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079F419" w14:textId="77777777" w:rsidR="005A1399" w:rsidRPr="009A501D" w:rsidRDefault="005A1399" w:rsidP="005F0418">
            <w:pPr>
              <w:spacing w:after="0"/>
              <w:jc w:val="center"/>
              <w:rPr>
                <w:rFonts w:ascii="Century Gothic" w:hAnsi="Century Gothic" w:cs="Calibri"/>
                <w:sz w:val="16"/>
                <w:szCs w:val="16"/>
              </w:rPr>
            </w:pPr>
            <w:r w:rsidRPr="009A501D">
              <w:rPr>
                <w:rFonts w:ascii="Century Gothic" w:hAnsi="Century Gothic" w:cs="Calibri"/>
                <w:sz w:val="16"/>
                <w:szCs w:val="16"/>
              </w:rPr>
              <w:t>0</w:t>
            </w:r>
          </w:p>
        </w:tc>
      </w:tr>
    </w:tbl>
    <w:p w14:paraId="2DDC8230" w14:textId="56BC8649" w:rsidR="005A1399" w:rsidRPr="009A501D" w:rsidRDefault="005A1399" w:rsidP="00664A1D">
      <w:pPr>
        <w:spacing w:after="0"/>
        <w:jc w:val="both"/>
        <w:rPr>
          <w:rFonts w:ascii="Century Gothic" w:hAnsi="Century Gothic"/>
          <w:sz w:val="14"/>
          <w:szCs w:val="14"/>
        </w:rPr>
      </w:pPr>
      <w:r w:rsidRPr="009A501D">
        <w:rPr>
          <w:rFonts w:ascii="Century Gothic" w:hAnsi="Century Gothic"/>
          <w:sz w:val="14"/>
          <w:szCs w:val="14"/>
          <w:vertAlign w:val="superscript"/>
        </w:rPr>
        <w:t xml:space="preserve">/a </w:t>
      </w:r>
      <w:r w:rsidRPr="009A501D">
        <w:rPr>
          <w:rFonts w:ascii="Century Gothic" w:hAnsi="Century Gothic"/>
          <w:sz w:val="14"/>
          <w:szCs w:val="14"/>
        </w:rPr>
        <w:t xml:space="preserve">Los </w:t>
      </w:r>
      <w:r w:rsidR="00AD2D5B" w:rsidRPr="009A501D">
        <w:rPr>
          <w:rFonts w:ascii="Century Gothic" w:hAnsi="Century Gothic"/>
          <w:sz w:val="14"/>
          <w:szCs w:val="14"/>
        </w:rPr>
        <w:t>proceso</w:t>
      </w:r>
      <w:r w:rsidRPr="009A501D">
        <w:rPr>
          <w:rFonts w:ascii="Century Gothic" w:hAnsi="Century Gothic"/>
          <w:sz w:val="14"/>
          <w:szCs w:val="14"/>
        </w:rPr>
        <w:t>s VMRC y ESGRM reportaron, en 2022, una versión anualizada de los indicadores correspondientes al periodo de referencia de la información 2021.</w:t>
      </w:r>
    </w:p>
    <w:p w14:paraId="7F7B46EC" w14:textId="0800FAE7" w:rsidR="005A1399" w:rsidRPr="009A501D" w:rsidRDefault="005A1399" w:rsidP="00664A1D">
      <w:pPr>
        <w:spacing w:after="0"/>
        <w:jc w:val="both"/>
        <w:rPr>
          <w:rFonts w:ascii="Century Gothic" w:hAnsi="Century Gothic"/>
          <w:sz w:val="14"/>
          <w:szCs w:val="14"/>
        </w:rPr>
      </w:pPr>
      <w:r w:rsidRPr="009A501D">
        <w:rPr>
          <w:rFonts w:ascii="Century Gothic" w:hAnsi="Century Gothic"/>
          <w:sz w:val="14"/>
          <w:szCs w:val="14"/>
        </w:rPr>
        <w:t xml:space="preserve">*Estos datos son los reportados en el Informe Anual de Resultados 2019. 2020 y 2021 respectivamente. </w:t>
      </w:r>
    </w:p>
    <w:p w14:paraId="375CC39F" w14:textId="28A621BF" w:rsidR="005A1399" w:rsidRPr="009A501D" w:rsidRDefault="005A1399" w:rsidP="00664A1D">
      <w:pPr>
        <w:spacing w:after="0"/>
        <w:jc w:val="both"/>
        <w:rPr>
          <w:rFonts w:ascii="Century Gothic" w:hAnsi="Century Gothic"/>
          <w:sz w:val="15"/>
          <w:szCs w:val="15"/>
        </w:rPr>
      </w:pPr>
      <w:r w:rsidRPr="009A501D">
        <w:rPr>
          <w:rFonts w:ascii="Century Gothic" w:hAnsi="Century Gothic"/>
          <w:sz w:val="14"/>
          <w:szCs w:val="14"/>
        </w:rPr>
        <w:t>**Estos datos corresponden a los indicadores registrados en metadatos durante 2022, independientemente del período de publicación de la información.</w:t>
      </w:r>
    </w:p>
    <w:p w14:paraId="57C8F272" w14:textId="4F448DFB" w:rsidR="005A1399" w:rsidRPr="009A501D" w:rsidRDefault="005A1399" w:rsidP="00664A1D">
      <w:pPr>
        <w:spacing w:before="240"/>
        <w:jc w:val="both"/>
        <w:rPr>
          <w:rFonts w:ascii="Century Gothic" w:hAnsi="Century Gothic"/>
          <w:sz w:val="19"/>
          <w:szCs w:val="19"/>
        </w:rPr>
      </w:pPr>
      <w:r w:rsidRPr="009A501D">
        <w:rPr>
          <w:rFonts w:ascii="Century Gothic" w:hAnsi="Century Gothic"/>
          <w:sz w:val="19"/>
          <w:szCs w:val="19"/>
        </w:rPr>
        <w:t xml:space="preserve">En el cuadro A.3.6., se presentan medidas de resumen para la </w:t>
      </w:r>
      <w:r w:rsidRPr="009A501D">
        <w:rPr>
          <w:rFonts w:ascii="Century Gothic" w:hAnsi="Century Gothic"/>
          <w:i/>
          <w:iCs/>
          <w:sz w:val="19"/>
          <w:szCs w:val="19"/>
        </w:rPr>
        <w:t>tasa de no respuesta a nivel variable</w:t>
      </w:r>
      <w:r w:rsidRPr="009A501D">
        <w:rPr>
          <w:rFonts w:ascii="Century Gothic" w:hAnsi="Century Gothic"/>
          <w:sz w:val="19"/>
          <w:szCs w:val="19"/>
        </w:rPr>
        <w:t xml:space="preserve">, con la información reportada de 2019, a 2022. Se observa que para 2022 se tiene una disminución en la no respuesta media a nivel variable para prácticamente todos los </w:t>
      </w:r>
      <w:r w:rsidR="00AD2D5B" w:rsidRPr="009A501D">
        <w:rPr>
          <w:rFonts w:ascii="Century Gothic" w:hAnsi="Century Gothic"/>
          <w:sz w:val="19"/>
          <w:szCs w:val="19"/>
        </w:rPr>
        <w:t>proceso</w:t>
      </w:r>
      <w:r w:rsidRPr="009A501D">
        <w:rPr>
          <w:rFonts w:ascii="Century Gothic" w:hAnsi="Century Gothic"/>
          <w:sz w:val="19"/>
          <w:szCs w:val="19"/>
        </w:rPr>
        <w:t xml:space="preserve">s que reportan este indicador distinto de cero, es decir, se tiene una mejoría en este indicador para los </w:t>
      </w:r>
      <w:r w:rsidR="00AD2D5B" w:rsidRPr="009A501D">
        <w:rPr>
          <w:rFonts w:ascii="Century Gothic" w:hAnsi="Century Gothic"/>
          <w:sz w:val="19"/>
          <w:szCs w:val="19"/>
        </w:rPr>
        <w:t>proceso</w:t>
      </w:r>
      <w:r w:rsidRPr="009A501D">
        <w:rPr>
          <w:rFonts w:ascii="Century Gothic" w:hAnsi="Century Gothic"/>
          <w:sz w:val="19"/>
          <w:szCs w:val="19"/>
        </w:rPr>
        <w:t xml:space="preserve">s Accidentes de Tránsito Terrestre (ATUS), Estadísticas de Defunciones Fetales (EDF), Estadística de Nacimientos Registrados (ENR), Estadística de Matrimonios (EMAT), Estadística de Divorcios (ED) y Estadísticas sobre Relaciones Laborales de Jurisdicción Local (ERLAJUL). Sin embargo, al revisar las </w:t>
      </w:r>
      <w:r w:rsidRPr="009A501D">
        <w:rPr>
          <w:rFonts w:ascii="Century Gothic" w:hAnsi="Century Gothic"/>
          <w:i/>
          <w:iCs/>
          <w:sz w:val="19"/>
          <w:szCs w:val="19"/>
        </w:rPr>
        <w:t>tasas de no respuesta</w:t>
      </w:r>
      <w:r w:rsidRPr="009A501D">
        <w:rPr>
          <w:rFonts w:ascii="Century Gothic" w:hAnsi="Century Gothic"/>
          <w:sz w:val="19"/>
          <w:szCs w:val="19"/>
        </w:rPr>
        <w:t xml:space="preserve"> máximas reportadas, se observa que los </w:t>
      </w:r>
      <w:r w:rsidR="00AD2D5B" w:rsidRPr="009A501D">
        <w:rPr>
          <w:rFonts w:ascii="Century Gothic" w:hAnsi="Century Gothic"/>
          <w:sz w:val="19"/>
          <w:szCs w:val="19"/>
        </w:rPr>
        <w:t>proceso</w:t>
      </w:r>
      <w:r w:rsidRPr="009A501D">
        <w:rPr>
          <w:rFonts w:ascii="Century Gothic" w:hAnsi="Century Gothic"/>
          <w:sz w:val="19"/>
          <w:szCs w:val="19"/>
        </w:rPr>
        <w:t xml:space="preserve">s ED y ERLAJUL presentan casos </w:t>
      </w:r>
      <w:r w:rsidRPr="009A501D">
        <w:rPr>
          <w:rFonts w:ascii="Century Gothic" w:hAnsi="Century Gothic"/>
          <w:sz w:val="19"/>
          <w:szCs w:val="19"/>
        </w:rPr>
        <w:lastRenderedPageBreak/>
        <w:t xml:space="preserve">con variables con no respuesta superiores a 75%, por lo que es necesario revisar si estas variables contribuyen al objetivo del </w:t>
      </w:r>
      <w:r w:rsidR="00AD2D5B" w:rsidRPr="009A501D">
        <w:rPr>
          <w:rFonts w:ascii="Century Gothic" w:hAnsi="Century Gothic"/>
          <w:sz w:val="19"/>
          <w:szCs w:val="19"/>
        </w:rPr>
        <w:t>proceso</w:t>
      </w:r>
      <w:r w:rsidRPr="009A501D">
        <w:rPr>
          <w:rFonts w:ascii="Century Gothic" w:hAnsi="Century Gothic"/>
          <w:sz w:val="19"/>
          <w:szCs w:val="19"/>
        </w:rPr>
        <w:t xml:space="preserve"> y, en su caso, definir estrategias para mejorar la respuesta.</w:t>
      </w:r>
    </w:p>
    <w:p w14:paraId="3F6CBB6B" w14:textId="77777777" w:rsidR="005A1399" w:rsidRPr="009A501D" w:rsidRDefault="005A1399" w:rsidP="00664A1D">
      <w:pPr>
        <w:spacing w:before="240"/>
        <w:ind w:left="284"/>
        <w:jc w:val="center"/>
        <w:rPr>
          <w:rFonts w:ascii="Century Gothic" w:hAnsi="Century Gothic"/>
          <w:sz w:val="19"/>
          <w:szCs w:val="19"/>
        </w:rPr>
      </w:pPr>
      <w:r w:rsidRPr="009A501D">
        <w:rPr>
          <w:rFonts w:ascii="Century Gothic" w:hAnsi="Century Gothic"/>
          <w:b/>
          <w:sz w:val="19"/>
          <w:szCs w:val="19"/>
        </w:rPr>
        <w:t>A.3.6. Valores medios y máximos alcanzados en tasa de no respuesta a nivel variable</w:t>
      </w:r>
    </w:p>
    <w:tbl>
      <w:tblPr>
        <w:tblW w:w="14170" w:type="dxa"/>
        <w:jc w:val="center"/>
        <w:tblLayout w:type="fixed"/>
        <w:tblCellMar>
          <w:left w:w="70" w:type="dxa"/>
          <w:right w:w="70" w:type="dxa"/>
        </w:tblCellMar>
        <w:tblLook w:val="04A0" w:firstRow="1" w:lastRow="0" w:firstColumn="1" w:lastColumn="0" w:noHBand="0" w:noVBand="1"/>
      </w:tblPr>
      <w:tblGrid>
        <w:gridCol w:w="598"/>
        <w:gridCol w:w="2743"/>
        <w:gridCol w:w="950"/>
        <w:gridCol w:w="596"/>
        <w:gridCol w:w="596"/>
        <w:gridCol w:w="596"/>
        <w:gridCol w:w="671"/>
        <w:gridCol w:w="596"/>
        <w:gridCol w:w="1146"/>
        <w:gridCol w:w="1133"/>
        <w:gridCol w:w="652"/>
        <w:gridCol w:w="596"/>
        <w:gridCol w:w="1029"/>
        <w:gridCol w:w="1134"/>
        <w:gridCol w:w="1134"/>
      </w:tblGrid>
      <w:tr w:rsidR="005A1399" w:rsidRPr="009A501D" w14:paraId="64A9422E" w14:textId="77777777" w:rsidTr="000E30B8">
        <w:trPr>
          <w:trHeight w:val="284"/>
          <w:tblHeader/>
          <w:jc w:val="center"/>
        </w:trPr>
        <w:tc>
          <w:tcPr>
            <w:tcW w:w="5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95ED35C"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274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5DF41F1" w14:textId="03E8CDDE" w:rsidR="005A1399" w:rsidRPr="009A501D" w:rsidRDefault="00AD2D5B"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95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0F1AC5D"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Acrónimo</w:t>
            </w:r>
          </w:p>
        </w:tc>
        <w:tc>
          <w:tcPr>
            <w:tcW w:w="2459" w:type="dxa"/>
            <w:gridSpan w:val="4"/>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26E689F"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Número de variables</w:t>
            </w:r>
          </w:p>
        </w:tc>
        <w:tc>
          <w:tcPr>
            <w:tcW w:w="742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0B0408D"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por variable (%)</w:t>
            </w:r>
          </w:p>
        </w:tc>
      </w:tr>
      <w:tr w:rsidR="005A1399" w:rsidRPr="009A501D" w14:paraId="61BF90D4" w14:textId="77777777" w:rsidTr="000E30B8">
        <w:trPr>
          <w:trHeight w:val="284"/>
          <w:tblHeader/>
          <w:jc w:val="center"/>
        </w:trPr>
        <w:tc>
          <w:tcPr>
            <w:tcW w:w="5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5CD133" w14:textId="77777777" w:rsidR="005A1399" w:rsidRPr="009A501D" w:rsidRDefault="005A1399" w:rsidP="00781395">
            <w:pPr>
              <w:spacing w:after="0"/>
              <w:rPr>
                <w:rFonts w:ascii="Century Gothic" w:hAnsi="Century Gothic" w:cs="Calibri"/>
                <w:b/>
                <w:color w:val="FFFFFF"/>
                <w:sz w:val="16"/>
                <w:szCs w:val="16"/>
              </w:rPr>
            </w:pPr>
          </w:p>
        </w:tc>
        <w:tc>
          <w:tcPr>
            <w:tcW w:w="274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D28059" w14:textId="77777777" w:rsidR="005A1399" w:rsidRPr="009A501D" w:rsidRDefault="005A1399" w:rsidP="00781395">
            <w:pPr>
              <w:spacing w:after="0"/>
              <w:rPr>
                <w:rFonts w:ascii="Century Gothic" w:hAnsi="Century Gothic" w:cs="Calibri"/>
                <w:b/>
                <w:color w:val="FFFFFF"/>
                <w:sz w:val="16"/>
                <w:szCs w:val="16"/>
              </w:rPr>
            </w:pPr>
          </w:p>
        </w:tc>
        <w:tc>
          <w:tcPr>
            <w:tcW w:w="95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92A29B" w14:textId="77777777" w:rsidR="005A1399" w:rsidRPr="009A501D" w:rsidRDefault="005A1399" w:rsidP="00781395">
            <w:pPr>
              <w:spacing w:after="0"/>
              <w:rPr>
                <w:rFonts w:ascii="Century Gothic" w:hAnsi="Century Gothic" w:cs="Calibri"/>
                <w:b/>
                <w:color w:val="FFFFFF"/>
                <w:sz w:val="16"/>
                <w:szCs w:val="16"/>
              </w:rPr>
            </w:pPr>
          </w:p>
        </w:tc>
        <w:tc>
          <w:tcPr>
            <w:tcW w:w="2459" w:type="dxa"/>
            <w:gridSpan w:val="4"/>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9751111" w14:textId="77777777" w:rsidR="005A1399" w:rsidRPr="009A501D" w:rsidRDefault="005A1399" w:rsidP="00781395">
            <w:pPr>
              <w:spacing w:after="0"/>
              <w:rPr>
                <w:rFonts w:ascii="Century Gothic" w:hAnsi="Century Gothic" w:cs="Calibri"/>
                <w:b/>
                <w:color w:val="FFFFFF"/>
                <w:sz w:val="16"/>
                <w:szCs w:val="16"/>
              </w:rPr>
            </w:pPr>
          </w:p>
        </w:tc>
        <w:tc>
          <w:tcPr>
            <w:tcW w:w="352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B1C7D36"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Media</w:t>
            </w:r>
          </w:p>
        </w:tc>
        <w:tc>
          <w:tcPr>
            <w:tcW w:w="389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EFC57C2"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Máxima</w:t>
            </w:r>
          </w:p>
        </w:tc>
      </w:tr>
      <w:tr w:rsidR="00664A1D" w:rsidRPr="009A501D" w14:paraId="51BFF546" w14:textId="77777777" w:rsidTr="000E30B8">
        <w:trPr>
          <w:trHeight w:val="284"/>
          <w:tblHeader/>
          <w:jc w:val="center"/>
        </w:trPr>
        <w:tc>
          <w:tcPr>
            <w:tcW w:w="5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240FD4" w14:textId="77777777" w:rsidR="005A1399" w:rsidRPr="009A501D" w:rsidRDefault="005A1399" w:rsidP="00781395">
            <w:pPr>
              <w:spacing w:after="0"/>
              <w:rPr>
                <w:rFonts w:ascii="Century Gothic" w:hAnsi="Century Gothic" w:cs="Calibri"/>
                <w:b/>
                <w:color w:val="FFFFFF"/>
                <w:sz w:val="16"/>
                <w:szCs w:val="16"/>
              </w:rPr>
            </w:pPr>
          </w:p>
        </w:tc>
        <w:tc>
          <w:tcPr>
            <w:tcW w:w="274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7FE054" w14:textId="77777777" w:rsidR="005A1399" w:rsidRPr="009A501D" w:rsidRDefault="005A1399" w:rsidP="00781395">
            <w:pPr>
              <w:spacing w:after="0"/>
              <w:rPr>
                <w:rFonts w:ascii="Century Gothic" w:hAnsi="Century Gothic" w:cs="Calibri"/>
                <w:b/>
                <w:color w:val="FFFFFF"/>
                <w:sz w:val="16"/>
                <w:szCs w:val="16"/>
              </w:rPr>
            </w:pPr>
          </w:p>
        </w:tc>
        <w:tc>
          <w:tcPr>
            <w:tcW w:w="95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CDC5B7" w14:textId="77777777" w:rsidR="005A1399" w:rsidRPr="009A501D" w:rsidRDefault="005A1399" w:rsidP="00781395">
            <w:pPr>
              <w:spacing w:after="0"/>
              <w:rPr>
                <w:rFonts w:ascii="Century Gothic" w:hAnsi="Century Gothic" w:cs="Calibri"/>
                <w:b/>
                <w:color w:val="FFFFFF"/>
                <w:sz w:val="16"/>
                <w:szCs w:val="16"/>
              </w:rPr>
            </w:pP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826D717"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51696DA"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EA5E8A9"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DDB6F77"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64FFA6C"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5470B66"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18D4629"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3C96158"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FA84DA0"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6B6D91A"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FB39C74"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885D818" w14:textId="77777777" w:rsidR="005A1399" w:rsidRPr="009A501D" w:rsidRDefault="005A1399" w:rsidP="0078139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A32765" w:rsidRPr="009A501D" w14:paraId="2F267080"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C314F2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AB57085"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Finanzas Públicas Estatales y Municipales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AA5564"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EFIPEM</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A9AA43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99A7F0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707764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452242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414D7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A44FC7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96F45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29936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30823B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A4E184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05BB5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3EFBCA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DC159D" w:rsidRPr="009A501D" w14:paraId="22E1E1A1"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B6A52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9EAD463"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Accidentes de Tránsito Terrestre</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0E2A053"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ATUS</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12D592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C1440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85C39E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5264B6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9278B4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16187A"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3B5CE5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B8FD0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3CEC15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DC065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ECFD0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B37D7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A32765" w:rsidRPr="009A501D" w14:paraId="5B263047"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E99A05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6A86AE3"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Transporte Urbano de Pasajeros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6198565"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ETUP</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C1F422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6393FB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D4EF54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924606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39472A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0FEE22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D36030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1FD53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C44D5A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7C687E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65836A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34A18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DC159D" w:rsidRPr="009A501D" w14:paraId="5A2BD680"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170B6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61C69A6"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Vehículos de Motor Registrados en Circulación</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B0DBDE1"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VMRC</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93A198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4F26A7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EB654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B99D71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DCABC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7B79E47" w14:textId="0B75A41E" w:rsidR="005A1399" w:rsidRPr="009A501D" w:rsidRDefault="005A1399" w:rsidP="00D858E6">
            <w:pPr>
              <w:spacing w:after="0"/>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w:t>
            </w:r>
            <w:r w:rsidR="00F729C4" w:rsidRPr="009A501D">
              <w:rPr>
                <w:rFonts w:ascii="Century Gothic" w:hAnsi="Century Gothic" w:cs="Calibri"/>
                <w:sz w:val="16"/>
                <w:szCs w:val="16"/>
              </w:rPr>
              <w:br/>
            </w:r>
            <w:r w:rsidRPr="009A501D">
              <w:rPr>
                <w:rFonts w:ascii="Century Gothic" w:hAnsi="Century Gothic" w:cs="Calibri"/>
                <w:sz w:val="16"/>
                <w:szCs w:val="16"/>
              </w:rPr>
              <w:t xml:space="preserve">2 </w:t>
            </w:r>
            <w:r w:rsidR="00F729C4"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3FFC95" w14:textId="57EEF8AA"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w:t>
            </w:r>
            <w:r w:rsidR="00F729C4" w:rsidRPr="009A501D">
              <w:rPr>
                <w:rFonts w:ascii="Century Gothic" w:hAnsi="Century Gothic" w:cs="Calibri"/>
                <w:sz w:val="16"/>
                <w:szCs w:val="16"/>
              </w:rPr>
              <w:br/>
            </w:r>
            <w:r w:rsidRPr="009A501D">
              <w:rPr>
                <w:rFonts w:ascii="Century Gothic" w:hAnsi="Century Gothic" w:cs="Calibri"/>
                <w:sz w:val="16"/>
                <w:szCs w:val="16"/>
              </w:rPr>
              <w:t xml:space="preserve">2 </w:t>
            </w:r>
            <w:r w:rsidR="00F729C4"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3C9C47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E829EA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40D914A" w14:textId="2800BF6B"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w:t>
            </w:r>
            <w:r w:rsidR="00F729C4" w:rsidRPr="009A501D">
              <w:rPr>
                <w:rFonts w:ascii="Century Gothic" w:hAnsi="Century Gothic" w:cs="Calibri"/>
                <w:sz w:val="16"/>
                <w:szCs w:val="16"/>
              </w:rPr>
              <w:br/>
            </w:r>
            <w:r w:rsidRPr="009A501D">
              <w:rPr>
                <w:rFonts w:ascii="Century Gothic" w:hAnsi="Century Gothic" w:cs="Calibri"/>
                <w:sz w:val="16"/>
                <w:szCs w:val="16"/>
              </w:rPr>
              <w:t xml:space="preserve">2 </w:t>
            </w:r>
            <w:r w:rsidR="00F729C4"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8B79D5" w14:textId="34890BC4"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w:t>
            </w:r>
            <w:r w:rsidR="00F729C4" w:rsidRPr="009A501D">
              <w:rPr>
                <w:rFonts w:ascii="Century Gothic" w:hAnsi="Century Gothic" w:cs="Calibri"/>
                <w:sz w:val="16"/>
                <w:szCs w:val="16"/>
              </w:rPr>
              <w:br/>
            </w:r>
            <w:r w:rsidRPr="009A501D">
              <w:rPr>
                <w:rFonts w:ascii="Century Gothic" w:hAnsi="Century Gothic" w:cs="Calibri"/>
                <w:sz w:val="16"/>
                <w:szCs w:val="16"/>
              </w:rPr>
              <w:t xml:space="preserve">2 </w:t>
            </w:r>
            <w:r w:rsidR="00F729C4" w:rsidRPr="009A501D">
              <w:rPr>
                <w:rFonts w:ascii="Century Gothic" w:hAnsi="Century Gothic" w:cs="Calibri"/>
                <w:sz w:val="16"/>
                <w:szCs w:val="16"/>
              </w:rPr>
              <w:t>(</w:t>
            </w:r>
            <w:r w:rsidRPr="009A501D">
              <w:rPr>
                <w:rFonts w:ascii="Century Gothic" w:hAnsi="Century Gothic" w:cs="Calibri"/>
                <w:sz w:val="16"/>
                <w:szCs w:val="16"/>
              </w:rPr>
              <w:t xml:space="preserve">anual) </w:t>
            </w:r>
            <w:r w:rsidRPr="009A501D">
              <w:rPr>
                <w:rFonts w:ascii="Century Gothic" w:hAnsi="Century Gothic" w:cs="Calibri"/>
                <w:sz w:val="16"/>
                <w:szCs w:val="16"/>
                <w:vertAlign w:val="superscript"/>
              </w:rPr>
              <w:t>/a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CDB1D3" w14:textId="7840CDBC" w:rsidR="005A1399" w:rsidRPr="009A501D" w:rsidRDefault="004C0113" w:rsidP="00781395">
            <w:pPr>
              <w:spacing w:after="0"/>
              <w:jc w:val="center"/>
              <w:rPr>
                <w:rFonts w:ascii="Century Gothic" w:hAnsi="Century Gothic" w:cs="Calibri"/>
                <w:sz w:val="16"/>
                <w:szCs w:val="16"/>
              </w:rPr>
            </w:pPr>
            <w:r w:rsidRPr="009A501D">
              <w:rPr>
                <w:rFonts w:ascii="Century Gothic" w:hAnsi="Century Gothic" w:cs="Calibri"/>
                <w:sz w:val="16"/>
                <w:szCs w:val="16"/>
              </w:rPr>
              <w:t>0 (mensual)</w:t>
            </w:r>
            <w:r w:rsidRPr="009A501D">
              <w:rPr>
                <w:rFonts w:ascii="Century Gothic" w:hAnsi="Century Gothic" w:cs="Calibri"/>
                <w:sz w:val="16"/>
                <w:szCs w:val="16"/>
              </w:rPr>
              <w:br/>
              <w:t xml:space="preserve">2 (anual) </w:t>
            </w:r>
            <w:r w:rsidRPr="009A501D">
              <w:rPr>
                <w:rFonts w:ascii="Century Gothic" w:hAnsi="Century Gothic" w:cs="Calibri"/>
                <w:sz w:val="16"/>
                <w:szCs w:val="16"/>
                <w:vertAlign w:val="superscript"/>
              </w:rPr>
              <w:t>/a</w:t>
            </w:r>
          </w:p>
        </w:tc>
      </w:tr>
      <w:tr w:rsidR="00A32765" w:rsidRPr="009A501D" w14:paraId="20D02D71"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ED0C71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DGEE</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A7287FD"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Sacrificio de Ganado en Rastros Municipales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D7A516"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ESGRM</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E5355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3BA66A"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06C14B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62782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5A876A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ADD3352" w14:textId="0AF2F5BC"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06A949" w14:textId="4EA6A7BF"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198F67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434F04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DF1CC1A" w14:textId="034C41BD"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02FB6CC" w14:textId="72689F7F"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r w:rsidR="00F729C4" w:rsidRPr="009A501D">
              <w:rPr>
                <w:rFonts w:ascii="Century Gothic" w:hAnsi="Century Gothic" w:cs="Calibri"/>
                <w:sz w:val="16"/>
                <w:szCs w:val="16"/>
              </w:rPr>
              <w:t xml:space="preserve"> (mensual y</w:t>
            </w:r>
            <w:r w:rsidRPr="009A501D">
              <w:rPr>
                <w:rFonts w:ascii="Century Gothic" w:hAnsi="Century Gothic" w:cs="Calibri"/>
                <w:sz w:val="16"/>
                <w:szCs w:val="16"/>
              </w:rPr>
              <w:t xml:space="preserve"> anual) </w:t>
            </w:r>
            <w:r w:rsidRPr="009A501D">
              <w:rPr>
                <w:rFonts w:ascii="Century Gothic" w:hAnsi="Century Gothic" w:cs="Calibri"/>
                <w:sz w:val="16"/>
                <w:szCs w:val="16"/>
                <w:vertAlign w:val="superscript"/>
              </w:rPr>
              <w:t>/a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84702D" w14:textId="726CF415" w:rsidR="005A1399" w:rsidRPr="009A501D" w:rsidRDefault="009D604A" w:rsidP="00781395">
            <w:pPr>
              <w:spacing w:after="0"/>
              <w:jc w:val="center"/>
              <w:rPr>
                <w:rFonts w:ascii="Century Gothic" w:hAnsi="Century Gothic" w:cs="Calibri"/>
                <w:sz w:val="16"/>
                <w:szCs w:val="16"/>
              </w:rPr>
            </w:pPr>
            <w:r w:rsidRPr="009A501D">
              <w:rPr>
                <w:rFonts w:ascii="Century Gothic" w:hAnsi="Century Gothic" w:cs="Calibri"/>
                <w:sz w:val="16"/>
                <w:szCs w:val="16"/>
              </w:rPr>
              <w:t xml:space="preserve">0 (mensual y anual) </w:t>
            </w:r>
            <w:r w:rsidRPr="009A501D">
              <w:rPr>
                <w:rFonts w:ascii="Century Gothic" w:hAnsi="Century Gothic" w:cs="Calibri"/>
                <w:sz w:val="16"/>
                <w:szCs w:val="16"/>
                <w:vertAlign w:val="superscript"/>
              </w:rPr>
              <w:t>/a</w:t>
            </w:r>
          </w:p>
        </w:tc>
      </w:tr>
      <w:tr w:rsidR="00DC159D" w:rsidRPr="009A501D" w14:paraId="3D4A994E"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6BF94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246FF98"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Estadísticas de Defunciones Registradas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8C84C26"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EDR</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1E372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D36BBD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7D11DC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C70C3C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39</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D1434CA"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B39EE8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6</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881171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5EFFCE"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6885BB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13</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834AD6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7ECAA9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597E2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43</w:t>
            </w:r>
          </w:p>
        </w:tc>
      </w:tr>
      <w:tr w:rsidR="00A32765" w:rsidRPr="009A501D" w14:paraId="21E541B9"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1E8231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1964C4B"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Estadísticas de Defunciones Fetales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DF9C2AC"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EDF</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1AE09D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CBC504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F607F1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F8AAB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5B8FC2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4AE325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9CD38A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5</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030F6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718BE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70</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810CEF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7E0E6D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A03E14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54</w:t>
            </w:r>
          </w:p>
        </w:tc>
      </w:tr>
      <w:tr w:rsidR="00DC159D" w:rsidRPr="009A501D" w14:paraId="3C70355C"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317182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8061749"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 de Nacimientos Registrados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B82F3F"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ENR</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0F97B0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DF167D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128F0E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AEB34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33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B213B4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4ED113A"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BABB8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7B8311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5</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40D29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78</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1DAE4E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58B94A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92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6D1DF4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57</w:t>
            </w:r>
          </w:p>
        </w:tc>
      </w:tr>
      <w:tr w:rsidR="00A32765" w:rsidRPr="009A501D" w14:paraId="59EDFACB"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BBE09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A3D659"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 de Matrimonios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162F7D6"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EMAT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CAAEF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A7655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E6AC9E"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278FB3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4A7AA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250DE7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736E1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E537A0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37CC97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56</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4A98C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9D2DD8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988A35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48</w:t>
            </w:r>
          </w:p>
        </w:tc>
      </w:tr>
      <w:tr w:rsidR="00DC159D" w:rsidRPr="009A501D" w14:paraId="63B84CB9"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9BB2992"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C368820" w14:textId="77777777" w:rsidR="005A1399" w:rsidRPr="009A501D" w:rsidRDefault="005A1399" w:rsidP="00CF64B1">
            <w:pPr>
              <w:spacing w:after="0"/>
              <w:rPr>
                <w:rFonts w:ascii="Century Gothic" w:hAnsi="Century Gothic" w:cs="Calibri"/>
                <w:sz w:val="16"/>
                <w:szCs w:val="16"/>
              </w:rPr>
            </w:pPr>
            <w:r w:rsidRPr="009A501D">
              <w:rPr>
                <w:rFonts w:ascii="Century Gothic" w:hAnsi="Century Gothic" w:cs="Calibri"/>
                <w:sz w:val="16"/>
                <w:szCs w:val="16"/>
              </w:rPr>
              <w:t>Estadística de Divorcios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3111569"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ED</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16F1232"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D19D2B7"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2B5AC6C"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EA45B1D"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54</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24843FF"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9656D06"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3143B6D"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387993"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39CBFFD"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44</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F7E209B"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90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4B5B007" w14:textId="77777777" w:rsidR="005A1399" w:rsidRPr="009A501D" w:rsidRDefault="005A1399" w:rsidP="00CF64B1">
            <w:pPr>
              <w:spacing w:after="0"/>
              <w:jc w:val="center"/>
              <w:rPr>
                <w:rFonts w:ascii="Century Gothic" w:hAnsi="Century Gothic" w:cs="Calibri"/>
                <w:sz w:val="16"/>
                <w:szCs w:val="16"/>
              </w:rPr>
            </w:pPr>
            <w:r w:rsidRPr="009A501D">
              <w:rPr>
                <w:rFonts w:ascii="Century Gothic" w:hAnsi="Century Gothic" w:cs="Calibri"/>
                <w:sz w:val="16"/>
                <w:szCs w:val="16"/>
              </w:rPr>
              <w:t>91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92ECE98" w14:textId="03BA10B4" w:rsidR="005A1399" w:rsidRPr="009A501D" w:rsidRDefault="005A1399" w:rsidP="00CF64B1">
            <w:pPr>
              <w:spacing w:after="0"/>
              <w:jc w:val="center"/>
              <w:rPr>
                <w:rFonts w:ascii="Century Gothic" w:hAnsi="Century Gothic" w:cs="Calibri"/>
                <w:color w:val="FF0000"/>
                <w:sz w:val="16"/>
                <w:szCs w:val="16"/>
              </w:rPr>
            </w:pPr>
            <w:r w:rsidRPr="009A501D">
              <w:rPr>
                <w:rFonts w:ascii="Century Gothic" w:hAnsi="Century Gothic" w:cs="Calibri"/>
                <w:sz w:val="16"/>
                <w:szCs w:val="16"/>
              </w:rPr>
              <w:t>87</w:t>
            </w:r>
          </w:p>
        </w:tc>
      </w:tr>
      <w:tr w:rsidR="00A32765" w:rsidRPr="009A501D" w14:paraId="08CCE9E2"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64353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F59666E"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Estadísticas de Salud en Establecimientos Particulares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BB4454"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ESEP</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239377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81187E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97814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646A0B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6</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E912B8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23FD51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5DE1D7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51DE0E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64918D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4AC8A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013CC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F85BDBE"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r>
      <w:tr w:rsidR="00DC159D" w:rsidRPr="009A501D" w14:paraId="117D4065"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353DF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D9830A2"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 de Museos</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28E9E42" w14:textId="77777777" w:rsidR="005A1399" w:rsidRPr="009A501D" w:rsidRDefault="005A1399" w:rsidP="00186F4F">
            <w:pPr>
              <w:spacing w:after="0"/>
              <w:jc w:val="center"/>
              <w:rPr>
                <w:rFonts w:ascii="Century Gothic" w:hAnsi="Century Gothic" w:cs="Calibri"/>
                <w:sz w:val="16"/>
                <w:szCs w:val="16"/>
              </w:rPr>
            </w:pPr>
            <w:r w:rsidRPr="009A501D">
              <w:rPr>
                <w:rFonts w:ascii="Century Gothic" w:hAnsi="Century Gothic" w:cs="Calibri"/>
                <w:sz w:val="16"/>
                <w:szCs w:val="16"/>
              </w:rPr>
              <w:t>EM</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459F091"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 xml:space="preserve"> -</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96EB30E"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6D822C3"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23</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CBA644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23</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A62F5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 xml:space="preserve">- </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37403B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4C0344A"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CA2D16D"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0</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D49149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 xml:space="preserve">- </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7A6F3F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9</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E9224C"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14</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CD56480"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27</w:t>
            </w:r>
          </w:p>
        </w:tc>
      </w:tr>
      <w:tr w:rsidR="00A32765" w:rsidRPr="009A501D" w14:paraId="5C4D4AC0" w14:textId="77777777" w:rsidTr="000E30B8">
        <w:trPr>
          <w:trHeight w:val="284"/>
          <w:jc w:val="center"/>
        </w:trPr>
        <w:tc>
          <w:tcPr>
            <w:tcW w:w="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D1C1785"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DGES</w:t>
            </w:r>
          </w:p>
        </w:tc>
        <w:tc>
          <w:tcPr>
            <w:tcW w:w="2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9BEFEF8" w14:textId="77777777" w:rsidR="005A1399" w:rsidRPr="009A501D" w:rsidRDefault="005A1399" w:rsidP="00781395">
            <w:pPr>
              <w:spacing w:after="0"/>
              <w:rPr>
                <w:rFonts w:ascii="Century Gothic" w:hAnsi="Century Gothic" w:cs="Calibri"/>
                <w:sz w:val="16"/>
                <w:szCs w:val="16"/>
              </w:rPr>
            </w:pPr>
            <w:r w:rsidRPr="009A501D">
              <w:rPr>
                <w:rFonts w:ascii="Century Gothic" w:hAnsi="Century Gothic" w:cs="Calibri"/>
                <w:sz w:val="16"/>
                <w:szCs w:val="16"/>
              </w:rPr>
              <w:t>Estadísticas sobre Relaciones Laborales de Jurisdicción Local</w:t>
            </w:r>
          </w:p>
        </w:tc>
        <w:tc>
          <w:tcPr>
            <w:tcW w:w="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F4825AA" w14:textId="06229FE7" w:rsidR="005A1399" w:rsidRPr="009A501D" w:rsidRDefault="005A1399" w:rsidP="00186F4F">
            <w:pPr>
              <w:spacing w:after="0"/>
              <w:jc w:val="center"/>
              <w:rPr>
                <w:rFonts w:ascii="Century Gothic" w:hAnsi="Century Gothic" w:cs="Calibri"/>
                <w:sz w:val="16"/>
                <w:szCs w:val="16"/>
              </w:rPr>
            </w:pPr>
            <w:bookmarkStart w:id="33" w:name="_Hlk124928957"/>
            <w:r w:rsidRPr="009A501D">
              <w:rPr>
                <w:rFonts w:ascii="Century Gothic" w:hAnsi="Century Gothic" w:cs="Calibri"/>
                <w:sz w:val="16"/>
                <w:szCs w:val="16"/>
              </w:rPr>
              <w:t>ERLAJUL</w:t>
            </w:r>
            <w:bookmarkEnd w:id="33"/>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DD9E61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B5CD997"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7</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41482D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ED7929"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E4DCCB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1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B2A858"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12</w:t>
            </w:r>
          </w:p>
        </w:tc>
        <w:tc>
          <w:tcPr>
            <w:tcW w:w="1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5F13674"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11</w:t>
            </w:r>
          </w:p>
        </w:tc>
        <w:tc>
          <w:tcPr>
            <w:tcW w:w="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C2A4A2"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8</w:t>
            </w:r>
          </w:p>
        </w:tc>
        <w:tc>
          <w:tcPr>
            <w:tcW w:w="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329FEF"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w:t>
            </w:r>
          </w:p>
        </w:tc>
        <w:tc>
          <w:tcPr>
            <w:tcW w:w="10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82E7FCB"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AE98536" w14:textId="77777777" w:rsidR="005A1399" w:rsidRPr="009A501D" w:rsidRDefault="005A1399" w:rsidP="00781395">
            <w:pPr>
              <w:spacing w:after="0"/>
              <w:jc w:val="center"/>
              <w:rPr>
                <w:rFonts w:ascii="Century Gothic" w:hAnsi="Century Gothic" w:cs="Calibri"/>
                <w:sz w:val="16"/>
                <w:szCs w:val="16"/>
              </w:rPr>
            </w:pPr>
            <w:r w:rsidRPr="009A501D">
              <w:rPr>
                <w:rFonts w:ascii="Century Gothic" w:hAnsi="Century Gothic" w:cs="Calibri"/>
                <w:sz w:val="16"/>
                <w:szCs w:val="16"/>
              </w:rPr>
              <w:t>100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BA822D6" w14:textId="77777777" w:rsidR="005A1399" w:rsidRPr="009A501D" w:rsidRDefault="005A1399" w:rsidP="00781395">
            <w:pPr>
              <w:spacing w:after="0"/>
              <w:jc w:val="center"/>
              <w:rPr>
                <w:rFonts w:ascii="Century Gothic" w:hAnsi="Century Gothic" w:cs="Calibri"/>
                <w:color w:val="FF0000"/>
                <w:sz w:val="16"/>
                <w:szCs w:val="16"/>
              </w:rPr>
            </w:pPr>
            <w:r w:rsidRPr="009A501D">
              <w:rPr>
                <w:rFonts w:ascii="Century Gothic" w:hAnsi="Century Gothic" w:cs="Calibri"/>
                <w:sz w:val="16"/>
                <w:szCs w:val="16"/>
              </w:rPr>
              <w:t>100</w:t>
            </w:r>
          </w:p>
        </w:tc>
      </w:tr>
    </w:tbl>
    <w:p w14:paraId="1C398DE1" w14:textId="19787B49" w:rsidR="005A1399" w:rsidRPr="009A501D" w:rsidRDefault="005A1399" w:rsidP="00F729C4">
      <w:pPr>
        <w:spacing w:after="0"/>
        <w:ind w:firstLine="284"/>
        <w:jc w:val="both"/>
        <w:rPr>
          <w:rFonts w:ascii="Century Gothic" w:hAnsi="Century Gothic"/>
          <w:sz w:val="14"/>
          <w:szCs w:val="14"/>
        </w:rPr>
      </w:pPr>
      <w:r w:rsidRPr="009A501D">
        <w:rPr>
          <w:rFonts w:ascii="Century Gothic" w:hAnsi="Century Gothic"/>
          <w:sz w:val="14"/>
          <w:szCs w:val="14"/>
          <w:vertAlign w:val="superscript"/>
        </w:rPr>
        <w:t xml:space="preserve">/a </w:t>
      </w:r>
      <w:r w:rsidRPr="009A501D">
        <w:rPr>
          <w:rFonts w:ascii="Century Gothic" w:hAnsi="Century Gothic"/>
          <w:sz w:val="14"/>
          <w:szCs w:val="14"/>
        </w:rPr>
        <w:t xml:space="preserve">Los </w:t>
      </w:r>
      <w:r w:rsidR="00EC4113" w:rsidRPr="009A501D">
        <w:rPr>
          <w:rFonts w:ascii="Century Gothic" w:hAnsi="Century Gothic"/>
          <w:sz w:val="14"/>
          <w:szCs w:val="14"/>
        </w:rPr>
        <w:t>proceso</w:t>
      </w:r>
      <w:r w:rsidRPr="009A501D">
        <w:rPr>
          <w:rFonts w:ascii="Century Gothic" w:hAnsi="Century Gothic"/>
          <w:sz w:val="14"/>
          <w:szCs w:val="14"/>
        </w:rPr>
        <w:t>s VMRC y ESGRM reportaron en 2021, una versión anualizada de los indicadores correspondientes al periodo de referencia de la información (2020).</w:t>
      </w:r>
    </w:p>
    <w:p w14:paraId="6704BA51" w14:textId="583DD3D3" w:rsidR="005A1399" w:rsidRPr="009A501D" w:rsidRDefault="005A1399" w:rsidP="00F729C4">
      <w:pPr>
        <w:spacing w:after="0"/>
        <w:ind w:firstLine="284"/>
        <w:jc w:val="both"/>
        <w:rPr>
          <w:rFonts w:ascii="Century Gothic" w:hAnsi="Century Gothic"/>
          <w:sz w:val="14"/>
          <w:szCs w:val="14"/>
        </w:rPr>
      </w:pPr>
      <w:r w:rsidRPr="009A501D">
        <w:rPr>
          <w:rFonts w:ascii="Century Gothic" w:hAnsi="Century Gothic"/>
          <w:sz w:val="14"/>
          <w:szCs w:val="14"/>
        </w:rPr>
        <w:t>*Estos datos son los reportados en el Informe Anual de Resultados 2019, 2020 y 2021</w:t>
      </w:r>
      <w:r w:rsidR="00A32765" w:rsidRPr="009A501D">
        <w:rPr>
          <w:rFonts w:ascii="Century Gothic" w:hAnsi="Century Gothic"/>
          <w:sz w:val="14"/>
          <w:szCs w:val="14"/>
        </w:rPr>
        <w:t>,</w:t>
      </w:r>
      <w:r w:rsidRPr="009A501D">
        <w:rPr>
          <w:rFonts w:ascii="Century Gothic" w:hAnsi="Century Gothic"/>
          <w:sz w:val="14"/>
          <w:szCs w:val="14"/>
        </w:rPr>
        <w:t xml:space="preserve"> respectivamente</w:t>
      </w:r>
      <w:r w:rsidR="00A32765" w:rsidRPr="009A501D">
        <w:rPr>
          <w:rFonts w:ascii="Century Gothic" w:hAnsi="Century Gothic"/>
          <w:sz w:val="14"/>
          <w:szCs w:val="14"/>
        </w:rPr>
        <w:t>.</w:t>
      </w:r>
    </w:p>
    <w:p w14:paraId="3B6C9D80" w14:textId="56F42689" w:rsidR="005A1399" w:rsidRPr="009A501D" w:rsidRDefault="005A1399" w:rsidP="00F729C4">
      <w:pPr>
        <w:spacing w:after="0"/>
        <w:ind w:firstLine="284"/>
        <w:jc w:val="both"/>
        <w:rPr>
          <w:rFonts w:ascii="Century Gothic" w:hAnsi="Century Gothic"/>
          <w:sz w:val="14"/>
          <w:szCs w:val="14"/>
        </w:rPr>
      </w:pPr>
      <w:r w:rsidRPr="009A501D">
        <w:rPr>
          <w:rFonts w:ascii="Century Gothic" w:hAnsi="Century Gothic"/>
          <w:sz w:val="14"/>
          <w:szCs w:val="14"/>
        </w:rPr>
        <w:t>**Estos datos corresponden a los indicadores registrados en metadatos durante 2022, independientemente del período de publicación de la información.</w:t>
      </w:r>
    </w:p>
    <w:p w14:paraId="642D4F2F" w14:textId="7D3E8B8F" w:rsidR="005A1399" w:rsidRPr="009A501D" w:rsidRDefault="005A1399" w:rsidP="00664A1D">
      <w:pPr>
        <w:spacing w:before="240"/>
        <w:rPr>
          <w:rFonts w:ascii="Century Gothic" w:hAnsi="Century Gothic"/>
          <w:sz w:val="19"/>
          <w:szCs w:val="19"/>
        </w:rPr>
      </w:pPr>
    </w:p>
    <w:p w14:paraId="637CED00" w14:textId="4A9D032C" w:rsidR="00AE6C80" w:rsidRPr="009A501D" w:rsidRDefault="00AE6C80" w:rsidP="00664A1D">
      <w:pPr>
        <w:spacing w:before="240"/>
        <w:rPr>
          <w:rFonts w:ascii="Century Gothic" w:hAnsi="Century Gothic"/>
          <w:sz w:val="19"/>
          <w:szCs w:val="19"/>
        </w:rPr>
      </w:pPr>
      <w:r w:rsidRPr="009A501D">
        <w:rPr>
          <w:rFonts w:ascii="Century Gothic" w:hAnsi="Century Gothic"/>
          <w:sz w:val="19"/>
          <w:szCs w:val="19"/>
        </w:rPr>
        <w:br w:type="page"/>
      </w:r>
    </w:p>
    <w:p w14:paraId="73273E00" w14:textId="1DE7D2CA" w:rsidR="00AE6C80" w:rsidRPr="009A501D" w:rsidRDefault="00AE6C80" w:rsidP="00664A1D">
      <w:pPr>
        <w:pStyle w:val="Ttulo2"/>
        <w:rPr>
          <w:rFonts w:ascii="Century Gothic" w:eastAsiaTheme="minorHAnsi" w:hAnsi="Century Gothic" w:cstheme="minorBidi"/>
          <w:bCs/>
          <w:color w:val="0079BF"/>
          <w:sz w:val="24"/>
          <w:szCs w:val="24"/>
        </w:rPr>
      </w:pPr>
      <w:bookmarkStart w:id="34" w:name="_Toc131161815"/>
      <w:bookmarkStart w:id="35" w:name="_Toc91055967"/>
      <w:bookmarkStart w:id="36" w:name="_Toc94796739"/>
      <w:r w:rsidRPr="009A501D">
        <w:rPr>
          <w:rFonts w:ascii="Century Gothic" w:eastAsiaTheme="minorHAnsi" w:hAnsi="Century Gothic" w:cstheme="minorBidi"/>
          <w:bCs/>
          <w:color w:val="0079BF"/>
          <w:sz w:val="24"/>
          <w:szCs w:val="24"/>
        </w:rPr>
        <w:lastRenderedPageBreak/>
        <w:t>Anexo 4: Indicadores de precisión y confiabilidad para censos</w:t>
      </w:r>
      <w:bookmarkEnd w:id="34"/>
      <w:r w:rsidRPr="009A501D">
        <w:rPr>
          <w:rFonts w:ascii="Century Gothic" w:eastAsiaTheme="minorHAnsi" w:hAnsi="Century Gothic" w:cstheme="minorBidi"/>
          <w:bCs/>
          <w:color w:val="0079BF"/>
          <w:sz w:val="24"/>
          <w:szCs w:val="24"/>
        </w:rPr>
        <w:t xml:space="preserve"> </w:t>
      </w:r>
      <w:bookmarkEnd w:id="35"/>
      <w:bookmarkEnd w:id="36"/>
    </w:p>
    <w:p w14:paraId="7F35A3B9" w14:textId="43E51470" w:rsidR="00AE6C80" w:rsidRPr="009A501D" w:rsidRDefault="00AE6C80" w:rsidP="00664A1D">
      <w:pPr>
        <w:spacing w:before="240"/>
        <w:jc w:val="both"/>
        <w:rPr>
          <w:rFonts w:ascii="Century Gothic" w:hAnsi="Century Gothic"/>
          <w:sz w:val="19"/>
          <w:szCs w:val="19"/>
        </w:rPr>
      </w:pPr>
      <w:r w:rsidRPr="009A501D">
        <w:rPr>
          <w:rFonts w:ascii="Century Gothic" w:hAnsi="Century Gothic"/>
          <w:sz w:val="19"/>
          <w:szCs w:val="19"/>
        </w:rPr>
        <w:t>En la quinta sesión del Comité</w:t>
      </w:r>
      <w:r w:rsidR="41887FB0" w:rsidRPr="009A501D">
        <w:rPr>
          <w:rFonts w:ascii="Century Gothic" w:hAnsi="Century Gothic"/>
          <w:sz w:val="19"/>
          <w:szCs w:val="19"/>
        </w:rPr>
        <w:t xml:space="preserve"> en 2021</w:t>
      </w:r>
      <w:r w:rsidRPr="009A501D">
        <w:rPr>
          <w:rFonts w:ascii="Century Gothic" w:hAnsi="Century Gothic"/>
          <w:sz w:val="19"/>
          <w:szCs w:val="19"/>
        </w:rPr>
        <w:t xml:space="preserve">, se aprobaron cuatro indicadores de precisión estadística a ser reportados en los metadatos por los responsables de </w:t>
      </w:r>
      <w:r w:rsidR="00EC4113" w:rsidRPr="009A501D">
        <w:rPr>
          <w:rFonts w:ascii="Century Gothic" w:hAnsi="Century Gothic"/>
          <w:sz w:val="19"/>
          <w:szCs w:val="19"/>
        </w:rPr>
        <w:t>procesos de producción</w:t>
      </w:r>
      <w:r w:rsidRPr="009A501D">
        <w:rPr>
          <w:rFonts w:ascii="Century Gothic" w:hAnsi="Century Gothic"/>
          <w:sz w:val="19"/>
          <w:szCs w:val="19"/>
        </w:rPr>
        <w:t xml:space="preserve"> censales, a partir de la información publicada en diciembre de 2021, considerando los siguientes puntos:</w:t>
      </w:r>
    </w:p>
    <w:p w14:paraId="47D6F0C9" w14:textId="77777777" w:rsidR="00AE6C80" w:rsidRPr="009A501D" w:rsidRDefault="00AE6C80" w:rsidP="00664A1D">
      <w:pPr>
        <w:pStyle w:val="Prrafodelista"/>
        <w:numPr>
          <w:ilvl w:val="0"/>
          <w:numId w:val="13"/>
        </w:numPr>
        <w:spacing w:before="240"/>
        <w:jc w:val="both"/>
        <w:rPr>
          <w:rFonts w:ascii="Century Gothic" w:hAnsi="Century Gothic"/>
          <w:sz w:val="19"/>
          <w:szCs w:val="19"/>
        </w:rPr>
      </w:pPr>
      <w:r w:rsidRPr="009A501D">
        <w:rPr>
          <w:rFonts w:ascii="Century Gothic" w:hAnsi="Century Gothic"/>
          <w:sz w:val="19"/>
          <w:szCs w:val="19"/>
        </w:rPr>
        <w:t>Serán de carácter interno,</w:t>
      </w:r>
    </w:p>
    <w:p w14:paraId="1BE01D2C" w14:textId="77777777" w:rsidR="00AE6C80" w:rsidRPr="009A501D" w:rsidRDefault="00AE6C80" w:rsidP="00664A1D">
      <w:pPr>
        <w:pStyle w:val="Prrafodelista"/>
        <w:numPr>
          <w:ilvl w:val="0"/>
          <w:numId w:val="13"/>
        </w:numPr>
        <w:spacing w:before="240"/>
        <w:jc w:val="both"/>
        <w:rPr>
          <w:rFonts w:ascii="Century Gothic" w:hAnsi="Century Gothic"/>
          <w:sz w:val="19"/>
          <w:szCs w:val="19"/>
        </w:rPr>
      </w:pPr>
      <w:r w:rsidRPr="009A501D">
        <w:rPr>
          <w:rFonts w:ascii="Century Gothic" w:hAnsi="Century Gothic"/>
          <w:sz w:val="19"/>
          <w:szCs w:val="19"/>
        </w:rPr>
        <w:t>Se reportarán conforme a las especificaciones de las fichas técnicas aprobadas por el Comité,</w:t>
      </w:r>
    </w:p>
    <w:p w14:paraId="7FCBE5C4" w14:textId="77777777" w:rsidR="00AE6C80" w:rsidRPr="009A501D" w:rsidRDefault="00AE6C80" w:rsidP="00664A1D">
      <w:pPr>
        <w:pStyle w:val="Prrafodelista"/>
        <w:numPr>
          <w:ilvl w:val="0"/>
          <w:numId w:val="13"/>
        </w:numPr>
        <w:spacing w:before="240"/>
        <w:jc w:val="both"/>
        <w:rPr>
          <w:rFonts w:ascii="Century Gothic" w:hAnsi="Century Gothic"/>
          <w:sz w:val="19"/>
          <w:szCs w:val="19"/>
        </w:rPr>
      </w:pPr>
      <w:r w:rsidRPr="009A501D">
        <w:rPr>
          <w:rFonts w:ascii="Century Gothic" w:hAnsi="Century Gothic"/>
          <w:sz w:val="19"/>
          <w:szCs w:val="19"/>
        </w:rPr>
        <w:t>Se reportarán tanto para información preliminar como definitiva, y</w:t>
      </w:r>
    </w:p>
    <w:p w14:paraId="4C3A86AA" w14:textId="77777777" w:rsidR="00AE6C80" w:rsidRPr="009A501D" w:rsidRDefault="00AE6C80" w:rsidP="00664A1D">
      <w:pPr>
        <w:pStyle w:val="Prrafodelista"/>
        <w:numPr>
          <w:ilvl w:val="0"/>
          <w:numId w:val="13"/>
        </w:numPr>
        <w:spacing w:before="240"/>
        <w:jc w:val="both"/>
        <w:rPr>
          <w:rFonts w:ascii="Century Gothic" w:hAnsi="Century Gothic"/>
          <w:sz w:val="19"/>
          <w:szCs w:val="19"/>
        </w:rPr>
      </w:pPr>
      <w:r w:rsidRPr="009A501D">
        <w:rPr>
          <w:rFonts w:ascii="Century Gothic" w:hAnsi="Century Gothic"/>
          <w:sz w:val="19"/>
          <w:szCs w:val="19"/>
        </w:rPr>
        <w:t>El plazo para el reporte de estos indicadores es de 30 días naturales posteriores a la publicación de resultados.</w:t>
      </w:r>
    </w:p>
    <w:p w14:paraId="3245D09E" w14:textId="3C8D62C4" w:rsidR="00AE6C80" w:rsidRPr="009A501D" w:rsidRDefault="00AE6C80" w:rsidP="00664A1D">
      <w:pPr>
        <w:spacing w:before="240"/>
        <w:jc w:val="both"/>
        <w:rPr>
          <w:rFonts w:ascii="Century Gothic" w:hAnsi="Century Gothic"/>
          <w:sz w:val="19"/>
          <w:szCs w:val="19"/>
        </w:rPr>
      </w:pPr>
      <w:r w:rsidRPr="009A501D">
        <w:rPr>
          <w:rFonts w:ascii="Century Gothic" w:hAnsi="Century Gothic"/>
          <w:sz w:val="19"/>
          <w:szCs w:val="19"/>
        </w:rPr>
        <w:t>A continuación, se describen los cuatro indicadores:</w:t>
      </w:r>
    </w:p>
    <w:p w14:paraId="12DCFDD7" w14:textId="77777777" w:rsidR="00AE6C80" w:rsidRPr="009A501D" w:rsidRDefault="00AE6C80" w:rsidP="00664A1D">
      <w:pPr>
        <w:pStyle w:val="Prrafodelista"/>
        <w:numPr>
          <w:ilvl w:val="0"/>
          <w:numId w:val="14"/>
        </w:numPr>
        <w:spacing w:before="240"/>
        <w:jc w:val="both"/>
        <w:rPr>
          <w:rFonts w:ascii="Century Gothic" w:hAnsi="Century Gothic"/>
          <w:b/>
          <w:sz w:val="19"/>
          <w:szCs w:val="19"/>
        </w:rPr>
      </w:pPr>
      <w:r w:rsidRPr="009A501D">
        <w:rPr>
          <w:rFonts w:ascii="Century Gothic" w:hAnsi="Century Gothic"/>
          <w:b/>
          <w:sz w:val="19"/>
          <w:szCs w:val="19"/>
        </w:rPr>
        <w:t>Tasa de no respuesta antes de imputación a nivel unidad de observación (TNR_AI)</w:t>
      </w:r>
    </w:p>
    <w:p w14:paraId="60C4513A" w14:textId="70658CFB"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no respuesta antes de imputación a nivel unidad de observación</w:t>
      </w:r>
      <w:r w:rsidRPr="009A501D">
        <w:rPr>
          <w:rFonts w:ascii="Century Gothic" w:hAnsi="Century Gothic"/>
          <w:bCs/>
          <w:sz w:val="19"/>
          <w:szCs w:val="19"/>
        </w:rPr>
        <w:t xml:space="preserve"> se calcula considerando el conjunto de unidades de observación sobre el que se intenta recabar </w:t>
      </w:r>
      <w:r w:rsidR="00804AA9" w:rsidRPr="009A501D">
        <w:rPr>
          <w:rFonts w:ascii="Century Gothic" w:hAnsi="Century Gothic"/>
          <w:bCs/>
          <w:sz w:val="19"/>
          <w:szCs w:val="19"/>
        </w:rPr>
        <w:t>datos</w:t>
      </w:r>
      <w:r w:rsidRPr="009A501D">
        <w:rPr>
          <w:rFonts w:ascii="Century Gothic" w:hAnsi="Century Gothic"/>
          <w:bCs/>
          <w:sz w:val="19"/>
          <w:szCs w:val="19"/>
        </w:rPr>
        <w:t>. Tiene como fin medir la no respuesta a nivel de unidad de observación; o sea, contabilizar las unidades de observación sobre las que no se obtuv</w:t>
      </w:r>
      <w:r w:rsidR="00804AA9" w:rsidRPr="009A501D">
        <w:rPr>
          <w:rFonts w:ascii="Century Gothic" w:hAnsi="Century Gothic"/>
          <w:bCs/>
          <w:sz w:val="19"/>
          <w:szCs w:val="19"/>
        </w:rPr>
        <w:t>ieron</w:t>
      </w:r>
      <w:r w:rsidRPr="009A501D">
        <w:rPr>
          <w:rFonts w:ascii="Century Gothic" w:hAnsi="Century Gothic"/>
          <w:bCs/>
          <w:sz w:val="19"/>
          <w:szCs w:val="19"/>
        </w:rPr>
        <w:t xml:space="preserve"> </w:t>
      </w:r>
      <w:r w:rsidR="00804AA9" w:rsidRPr="009A501D">
        <w:rPr>
          <w:rFonts w:ascii="Century Gothic" w:hAnsi="Century Gothic"/>
          <w:bCs/>
          <w:sz w:val="19"/>
          <w:szCs w:val="19"/>
        </w:rPr>
        <w:t>datos</w:t>
      </w:r>
      <w:r w:rsidRPr="009A501D">
        <w:rPr>
          <w:rFonts w:ascii="Century Gothic" w:hAnsi="Century Gothic"/>
          <w:bCs/>
          <w:sz w:val="19"/>
          <w:szCs w:val="19"/>
        </w:rPr>
        <w:t xml:space="preserve"> o que no proveyeron </w:t>
      </w:r>
      <w:r w:rsidR="00804AA9" w:rsidRPr="009A501D">
        <w:rPr>
          <w:rFonts w:ascii="Century Gothic" w:hAnsi="Century Gothic"/>
          <w:bCs/>
          <w:sz w:val="19"/>
          <w:szCs w:val="19"/>
        </w:rPr>
        <w:t>datos</w:t>
      </w:r>
      <w:r w:rsidRPr="009A501D">
        <w:rPr>
          <w:rFonts w:ascii="Century Gothic" w:hAnsi="Century Gothic"/>
          <w:bCs/>
          <w:sz w:val="19"/>
          <w:szCs w:val="19"/>
        </w:rPr>
        <w:t xml:space="preserve"> complet</w:t>
      </w:r>
      <w:r w:rsidR="00804AA9" w:rsidRPr="009A501D">
        <w:rPr>
          <w:rFonts w:ascii="Century Gothic" w:hAnsi="Century Gothic"/>
          <w:bCs/>
          <w:sz w:val="19"/>
          <w:szCs w:val="19"/>
        </w:rPr>
        <w:t>os</w:t>
      </w:r>
      <w:r w:rsidRPr="009A501D">
        <w:rPr>
          <w:rFonts w:ascii="Century Gothic" w:hAnsi="Century Gothic"/>
          <w:bCs/>
          <w:sz w:val="19"/>
          <w:szCs w:val="19"/>
        </w:rPr>
        <w:t xml:space="preserve"> para las variables </w:t>
      </w:r>
      <w:r w:rsidR="003022B8" w:rsidRPr="009A501D">
        <w:rPr>
          <w:rFonts w:ascii="Century Gothic" w:hAnsi="Century Gothic"/>
          <w:bCs/>
          <w:sz w:val="19"/>
          <w:szCs w:val="19"/>
        </w:rPr>
        <w:t>de los indicadores-</w:t>
      </w:r>
      <w:r w:rsidRPr="009A501D">
        <w:rPr>
          <w:rFonts w:ascii="Century Gothic" w:hAnsi="Century Gothic"/>
          <w:bCs/>
          <w:sz w:val="19"/>
          <w:szCs w:val="19"/>
        </w:rPr>
        <w:t>objetivo (ver figura A.4.1).</w:t>
      </w:r>
    </w:p>
    <w:p w14:paraId="00C2510A" w14:textId="549A424D"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El objetivo principal de este indicador es tratar de identificar la existencia de patrones en la no respuesta a nivel de las unidades de observación que pudieran inducir</w:t>
      </w:r>
      <w:r w:rsidRPr="009A501D">
        <w:t xml:space="preserve"> </w:t>
      </w:r>
      <w:r w:rsidRPr="009A501D">
        <w:rPr>
          <w:rFonts w:ascii="Century Gothic" w:hAnsi="Century Gothic"/>
          <w:bCs/>
          <w:sz w:val="19"/>
          <w:szCs w:val="19"/>
        </w:rPr>
        <w:t>un sesgo en las estadísticas o indicadores que se generen a partir de l</w:t>
      </w:r>
      <w:r w:rsidR="003022B8" w:rsidRPr="009A501D">
        <w:rPr>
          <w:rFonts w:ascii="Century Gothic" w:hAnsi="Century Gothic"/>
          <w:bCs/>
          <w:sz w:val="19"/>
          <w:szCs w:val="19"/>
        </w:rPr>
        <w:t>os</w:t>
      </w:r>
      <w:r w:rsidRPr="009A501D">
        <w:rPr>
          <w:rFonts w:ascii="Century Gothic" w:hAnsi="Century Gothic"/>
          <w:bCs/>
          <w:sz w:val="19"/>
          <w:szCs w:val="19"/>
        </w:rPr>
        <w:t xml:space="preserve"> </w:t>
      </w:r>
      <w:r w:rsidR="003022B8" w:rsidRPr="009A501D">
        <w:rPr>
          <w:rFonts w:ascii="Century Gothic" w:hAnsi="Century Gothic"/>
          <w:bCs/>
          <w:sz w:val="19"/>
          <w:szCs w:val="19"/>
        </w:rPr>
        <w:t>datos</w:t>
      </w:r>
      <w:r w:rsidRPr="009A501D">
        <w:rPr>
          <w:rFonts w:ascii="Century Gothic" w:hAnsi="Century Gothic"/>
          <w:bCs/>
          <w:sz w:val="19"/>
          <w:szCs w:val="19"/>
        </w:rPr>
        <w:t>; por lo tanto, se debe calcular y comparar para los diferentes dominios de estudio o agrupaciones de interés.</w:t>
      </w:r>
    </w:p>
    <w:p w14:paraId="0943D72D" w14:textId="69021C7B"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no respuesta antes de imputación a nivel unidad de observación</w:t>
      </w:r>
      <w:r w:rsidRPr="009A501D">
        <w:rPr>
          <w:rFonts w:ascii="Century Gothic" w:hAnsi="Century Gothic"/>
          <w:bCs/>
          <w:sz w:val="19"/>
          <w:szCs w:val="19"/>
        </w:rPr>
        <w:t xml:space="preserve"> se define como el cociente resultante de dividir el número de unidades de observación sobre las no se obtuv</w:t>
      </w:r>
      <w:r w:rsidR="003022B8" w:rsidRPr="009A501D">
        <w:rPr>
          <w:rFonts w:ascii="Century Gothic" w:hAnsi="Century Gothic"/>
          <w:bCs/>
          <w:sz w:val="19"/>
          <w:szCs w:val="19"/>
        </w:rPr>
        <w:t>ieron</w:t>
      </w:r>
      <w:r w:rsidRPr="009A501D">
        <w:rPr>
          <w:rFonts w:ascii="Century Gothic" w:hAnsi="Century Gothic"/>
          <w:bCs/>
          <w:sz w:val="19"/>
          <w:szCs w:val="19"/>
        </w:rPr>
        <w:t xml:space="preserve"> </w:t>
      </w:r>
      <w:r w:rsidR="003022B8" w:rsidRPr="009A501D">
        <w:rPr>
          <w:rFonts w:ascii="Century Gothic" w:hAnsi="Century Gothic"/>
          <w:bCs/>
          <w:sz w:val="19"/>
          <w:szCs w:val="19"/>
        </w:rPr>
        <w:t>datos</w:t>
      </w:r>
      <w:r w:rsidRPr="009A501D">
        <w:rPr>
          <w:rFonts w:ascii="Century Gothic" w:hAnsi="Century Gothic"/>
          <w:bCs/>
          <w:sz w:val="19"/>
          <w:szCs w:val="19"/>
        </w:rPr>
        <w:t xml:space="preserve">, o que no cuentan con </w:t>
      </w:r>
      <w:r w:rsidR="003022B8" w:rsidRPr="009A501D">
        <w:rPr>
          <w:rFonts w:ascii="Century Gothic" w:hAnsi="Century Gothic"/>
          <w:bCs/>
          <w:sz w:val="19"/>
          <w:szCs w:val="19"/>
        </w:rPr>
        <w:t>datos</w:t>
      </w:r>
      <w:r w:rsidRPr="009A501D">
        <w:rPr>
          <w:rFonts w:ascii="Century Gothic" w:hAnsi="Century Gothic"/>
          <w:bCs/>
          <w:sz w:val="19"/>
          <w:szCs w:val="19"/>
        </w:rPr>
        <w:t xml:space="preserve"> complet</w:t>
      </w:r>
      <w:r w:rsidR="003022B8" w:rsidRPr="009A501D">
        <w:rPr>
          <w:rFonts w:ascii="Century Gothic" w:hAnsi="Century Gothic"/>
          <w:bCs/>
          <w:sz w:val="19"/>
          <w:szCs w:val="19"/>
        </w:rPr>
        <w:t>os</w:t>
      </w:r>
      <w:r w:rsidRPr="009A501D">
        <w:rPr>
          <w:rFonts w:ascii="Century Gothic" w:hAnsi="Century Gothic"/>
          <w:bCs/>
          <w:sz w:val="19"/>
          <w:szCs w:val="19"/>
        </w:rPr>
        <w:t xml:space="preserve"> para las variables principales objetivo del levantamiento, entre el total de unidades de observación en el universo censal del que se intentó recabar </w:t>
      </w:r>
      <w:r w:rsidR="003022B8" w:rsidRPr="009A501D">
        <w:rPr>
          <w:rFonts w:ascii="Century Gothic" w:hAnsi="Century Gothic"/>
          <w:bCs/>
          <w:sz w:val="19"/>
          <w:szCs w:val="19"/>
        </w:rPr>
        <w:t>datos</w:t>
      </w:r>
      <w:r w:rsidRPr="009A501D">
        <w:rPr>
          <w:rFonts w:ascii="Century Gothic" w:hAnsi="Century Gothic"/>
          <w:bCs/>
          <w:sz w:val="19"/>
          <w:szCs w:val="19"/>
        </w:rPr>
        <w:t>, multiplicado por 100.</w:t>
      </w:r>
    </w:p>
    <w:p w14:paraId="0AA2839C" w14:textId="77777777" w:rsidR="00AE6C80" w:rsidRPr="009A501D" w:rsidRDefault="00AE6C80" w:rsidP="00664A1D">
      <w:pPr>
        <w:spacing w:before="240"/>
        <w:jc w:val="both"/>
        <w:rPr>
          <w:rFonts w:ascii="Century Gothic" w:hAnsi="Century Gothic"/>
          <w:bCs/>
          <w:sz w:val="19"/>
          <w:szCs w:val="19"/>
        </w:rPr>
      </w:pPr>
    </w:p>
    <w:p w14:paraId="179FBC3C" w14:textId="7FE1FFF4" w:rsidR="00AE6C80" w:rsidRPr="009A501D" w:rsidRDefault="000077C0" w:rsidP="00664A1D">
      <w:pPr>
        <w:spacing w:before="240"/>
        <w:jc w:val="center"/>
        <w:textAlignment w:val="baseline"/>
        <w:rPr>
          <w:rFonts w:ascii="Calibri" w:hAnsi="Calibri"/>
          <w:color w:val="000000"/>
          <w:kern w:val="24"/>
          <w:sz w:val="19"/>
          <w:szCs w:val="19"/>
        </w:rPr>
      </w:pPr>
      <m:oMath>
        <m:r>
          <m:rPr>
            <m:sty m:val="p"/>
          </m:rPr>
          <w:rPr>
            <w:rFonts w:ascii="Cambria Math" w:hAnsi="Cambria Math"/>
            <w:color w:val="000000"/>
            <w:kern w:val="24"/>
          </w:rPr>
          <m:t>TNR_AI</m:t>
        </m:r>
        <m:r>
          <w:rPr>
            <w:rFonts w:ascii="Cambria Math" w:hAnsi="Cambria Math"/>
            <w:color w:val="000000"/>
            <w:kern w:val="24"/>
          </w:rPr>
          <m:t>=</m:t>
        </m:r>
        <m:f>
          <m:fPr>
            <m:ctrlPr>
              <w:rPr>
                <w:rFonts w:ascii="Cambria Math" w:eastAsia="Cambria Math" w:hAnsi="Cambria Math"/>
                <w:i/>
                <w:iCs/>
                <w:color w:val="000000"/>
                <w:kern w:val="24"/>
              </w:rPr>
            </m:ctrlPr>
          </m:fPr>
          <m:num>
            <m:r>
              <w:rPr>
                <w:rFonts w:ascii="Cambria Math" w:hAnsi="Cambria Math"/>
                <w:color w:val="000000"/>
                <w:kern w:val="24"/>
              </w:rPr>
              <m:t>Número de unidades de observación</m:t>
            </m:r>
            <m:func>
              <m:funcPr>
                <m:ctrlPr>
                  <w:rPr>
                    <w:rFonts w:ascii="Cambria Math" w:eastAsiaTheme="minorEastAsia" w:hAnsi="Cambria Math"/>
                    <w:i/>
                    <w:iCs/>
                    <w:color w:val="000000"/>
                    <w:kern w:val="24"/>
                  </w:rPr>
                </m:ctrlPr>
              </m:funcPr>
              <m:fName>
                <m:r>
                  <m:rPr>
                    <m:sty m:val="p"/>
                  </m:rPr>
                  <w:rPr>
                    <w:rFonts w:ascii="Cambria Math" w:hAnsi="Cambria Math"/>
                    <w:color w:val="000000"/>
                    <w:kern w:val="24"/>
                  </w:rPr>
                  <m:t>sin</m:t>
                </m:r>
              </m:fName>
              <m:e>
                <m:r>
                  <w:rPr>
                    <w:rFonts w:ascii="Cambria Math" w:hAnsi="Cambria Math"/>
                    <w:color w:val="000000"/>
                    <w:kern w:val="24"/>
                  </w:rPr>
                  <m:t>datos o</m:t>
                </m:r>
              </m:e>
            </m:func>
            <m:r>
              <w:rPr>
                <w:rFonts w:ascii="Cambria Math" w:hAnsi="Cambria Math"/>
                <w:color w:val="000000"/>
                <w:kern w:val="24"/>
              </w:rPr>
              <m:t> que no cuentan con completos para las variables de los indicadores-objetivo</m:t>
            </m:r>
          </m:num>
          <m:den>
            <m:r>
              <w:rPr>
                <w:rFonts w:ascii="Cambria Math" w:hAnsi="Cambria Math"/>
                <w:color w:val="000000" w:themeColor="text1"/>
                <w:kern w:val="24"/>
              </w:rPr>
              <m:t>Total de unidades de observación en el universo censal del que se intentó recabar datos</m:t>
            </m:r>
          </m:den>
        </m:f>
        <m:r>
          <w:rPr>
            <w:rFonts w:ascii="Cambria Math" w:eastAsia="Cambria Math" w:hAnsi="Cambria Math"/>
            <w:color w:val="000000"/>
            <w:kern w:val="24"/>
          </w:rPr>
          <m:t>×100</m:t>
        </m:r>
      </m:oMath>
      <w:r w:rsidR="00AE6C80" w:rsidRPr="009A501D">
        <w:rPr>
          <w:rFonts w:ascii="Calibri" w:hAnsi="Calibri"/>
          <w:color w:val="000000"/>
          <w:kern w:val="24"/>
          <w:sz w:val="19"/>
          <w:szCs w:val="19"/>
        </w:rPr>
        <w:t>.</w:t>
      </w:r>
    </w:p>
    <w:p w14:paraId="7198E95D" w14:textId="25B07F64" w:rsidR="00075CFB" w:rsidRPr="009A501D" w:rsidRDefault="00D858E6">
      <w:pPr>
        <w:rPr>
          <w:rFonts w:ascii="Calibri" w:hAnsi="Calibri"/>
          <w:color w:val="000000"/>
          <w:kern w:val="24"/>
          <w:sz w:val="19"/>
          <w:szCs w:val="19"/>
        </w:rPr>
      </w:pPr>
      <w:r w:rsidRPr="009A501D">
        <w:rPr>
          <w:rFonts w:ascii="Calibri" w:hAnsi="Calibri"/>
          <w:color w:val="000000"/>
          <w:kern w:val="24"/>
          <w:sz w:val="19"/>
          <w:szCs w:val="19"/>
        </w:rPr>
        <w:br w:type="page"/>
      </w:r>
    </w:p>
    <w:p w14:paraId="06B2C22D" w14:textId="02D1B02D" w:rsidR="00AE6C80" w:rsidRPr="009A501D" w:rsidRDefault="00AE6C80" w:rsidP="00664A1D">
      <w:pPr>
        <w:tabs>
          <w:tab w:val="left" w:pos="2830"/>
        </w:tabs>
        <w:spacing w:before="240"/>
        <w:jc w:val="center"/>
        <w:rPr>
          <w:rFonts w:ascii="Century Gothic" w:hAnsi="Century Gothic"/>
          <w:bCs/>
          <w:sz w:val="19"/>
          <w:szCs w:val="19"/>
        </w:rPr>
      </w:pPr>
      <w:r w:rsidRPr="009A501D">
        <w:rPr>
          <w:rFonts w:ascii="Century Gothic" w:hAnsi="Century Gothic" w:cstheme="majorHAnsi"/>
          <w:b/>
          <w:sz w:val="19"/>
          <w:szCs w:val="19"/>
        </w:rPr>
        <w:lastRenderedPageBreak/>
        <w:t>A.4.1. Componentes de la tasa de no respuesta antes de imputación a nivel unidad de observación (TNR_AI)</w:t>
      </w:r>
    </w:p>
    <w:p w14:paraId="12CFF412" w14:textId="24656F64" w:rsidR="00AE6C80" w:rsidRPr="009A501D" w:rsidRDefault="00BE715D" w:rsidP="00664A1D">
      <w:pPr>
        <w:spacing w:before="240"/>
        <w:jc w:val="center"/>
        <w:rPr>
          <w:rFonts w:ascii="Century Gothic" w:hAnsi="Century Gothic"/>
          <w:bCs/>
          <w:sz w:val="19"/>
          <w:szCs w:val="19"/>
        </w:rPr>
      </w:pPr>
      <w:r w:rsidRPr="009A501D">
        <w:rPr>
          <w:noProof/>
        </w:rPr>
        <w:drawing>
          <wp:inline distT="0" distB="0" distL="0" distR="0" wp14:anchorId="30693E52" wp14:editId="7E653B20">
            <wp:extent cx="5044438" cy="3323724"/>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7750" cy="3332495"/>
                    </a:xfrm>
                    <a:prstGeom prst="rect">
                      <a:avLst/>
                    </a:prstGeom>
                    <a:noFill/>
                    <a:ln>
                      <a:noFill/>
                    </a:ln>
                  </pic:spPr>
                </pic:pic>
              </a:graphicData>
            </a:graphic>
          </wp:inline>
        </w:drawing>
      </w:r>
    </w:p>
    <w:p w14:paraId="4ED30119" w14:textId="77777777" w:rsidR="00AE6C80" w:rsidRPr="009A501D" w:rsidRDefault="00AE6C80" w:rsidP="00664A1D">
      <w:pPr>
        <w:pStyle w:val="Prrafodelista"/>
        <w:numPr>
          <w:ilvl w:val="0"/>
          <w:numId w:val="14"/>
        </w:numPr>
        <w:spacing w:before="240"/>
        <w:jc w:val="both"/>
        <w:rPr>
          <w:rFonts w:ascii="Century Gothic" w:hAnsi="Century Gothic"/>
          <w:b/>
          <w:sz w:val="19"/>
          <w:szCs w:val="19"/>
        </w:rPr>
      </w:pPr>
      <w:r w:rsidRPr="009A501D">
        <w:rPr>
          <w:rFonts w:ascii="Century Gothic" w:hAnsi="Century Gothic"/>
          <w:b/>
          <w:sz w:val="19"/>
          <w:szCs w:val="19"/>
        </w:rPr>
        <w:t>Tasa de no respuesta después de imputación a nivel unidad de observación (TNR_DI)</w:t>
      </w:r>
    </w:p>
    <w:p w14:paraId="522D2506" w14:textId="53964DF6"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no respuesta después de imputación a nivel unidad de observación</w:t>
      </w:r>
      <w:r w:rsidRPr="009A501D">
        <w:rPr>
          <w:rFonts w:ascii="Century Gothic" w:hAnsi="Century Gothic"/>
          <w:bCs/>
          <w:sz w:val="19"/>
          <w:szCs w:val="19"/>
        </w:rPr>
        <w:t xml:space="preserve"> se calcula considerando el conjunto de unidades de observación sobre el que se intenta recabar </w:t>
      </w:r>
      <w:r w:rsidR="003022B8" w:rsidRPr="009A501D">
        <w:rPr>
          <w:rFonts w:ascii="Century Gothic" w:hAnsi="Century Gothic"/>
          <w:bCs/>
          <w:sz w:val="19"/>
          <w:szCs w:val="19"/>
        </w:rPr>
        <w:t>datos</w:t>
      </w:r>
      <w:r w:rsidRPr="009A501D">
        <w:rPr>
          <w:rFonts w:ascii="Century Gothic" w:hAnsi="Century Gothic"/>
          <w:bCs/>
          <w:sz w:val="19"/>
          <w:szCs w:val="19"/>
        </w:rPr>
        <w:t>. Tiene como fin medir, después de aplicar métodos de imputación, la no respuesta a nivel de unidad de observación; o sea, contabilizar las unidades de observación sobre las que no se obtuv</w:t>
      </w:r>
      <w:r w:rsidR="003022B8" w:rsidRPr="009A501D">
        <w:rPr>
          <w:rFonts w:ascii="Century Gothic" w:hAnsi="Century Gothic"/>
          <w:bCs/>
          <w:sz w:val="19"/>
          <w:szCs w:val="19"/>
        </w:rPr>
        <w:t>ieron</w:t>
      </w:r>
      <w:r w:rsidRPr="009A501D">
        <w:rPr>
          <w:rFonts w:ascii="Century Gothic" w:hAnsi="Century Gothic"/>
          <w:bCs/>
          <w:sz w:val="19"/>
          <w:szCs w:val="19"/>
        </w:rPr>
        <w:t xml:space="preserve"> </w:t>
      </w:r>
      <w:r w:rsidR="003022B8" w:rsidRPr="009A501D">
        <w:rPr>
          <w:rFonts w:ascii="Century Gothic" w:hAnsi="Century Gothic"/>
          <w:bCs/>
          <w:sz w:val="19"/>
          <w:szCs w:val="19"/>
        </w:rPr>
        <w:t>datos</w:t>
      </w:r>
      <w:r w:rsidRPr="009A501D">
        <w:rPr>
          <w:rFonts w:ascii="Century Gothic" w:hAnsi="Century Gothic"/>
          <w:bCs/>
          <w:sz w:val="19"/>
          <w:szCs w:val="19"/>
        </w:rPr>
        <w:t xml:space="preserve"> o que no proveyeron </w:t>
      </w:r>
      <w:r w:rsidR="003022B8" w:rsidRPr="009A501D">
        <w:rPr>
          <w:rFonts w:ascii="Century Gothic" w:hAnsi="Century Gothic"/>
          <w:bCs/>
          <w:sz w:val="19"/>
          <w:szCs w:val="19"/>
        </w:rPr>
        <w:t>datos</w:t>
      </w:r>
      <w:r w:rsidRPr="009A501D">
        <w:rPr>
          <w:rFonts w:ascii="Century Gothic" w:hAnsi="Century Gothic"/>
          <w:bCs/>
          <w:sz w:val="19"/>
          <w:szCs w:val="19"/>
        </w:rPr>
        <w:t xml:space="preserve"> complet</w:t>
      </w:r>
      <w:r w:rsidR="003022B8" w:rsidRPr="009A501D">
        <w:rPr>
          <w:rFonts w:ascii="Century Gothic" w:hAnsi="Century Gothic"/>
          <w:bCs/>
          <w:sz w:val="19"/>
          <w:szCs w:val="19"/>
        </w:rPr>
        <w:t>os</w:t>
      </w:r>
      <w:r w:rsidRPr="009A501D">
        <w:rPr>
          <w:rFonts w:ascii="Century Gothic" w:hAnsi="Century Gothic"/>
          <w:bCs/>
          <w:sz w:val="19"/>
          <w:szCs w:val="19"/>
        </w:rPr>
        <w:t xml:space="preserve"> para las variables </w:t>
      </w:r>
      <w:r w:rsidR="003022B8" w:rsidRPr="009A501D">
        <w:rPr>
          <w:rFonts w:ascii="Century Gothic" w:hAnsi="Century Gothic"/>
          <w:bCs/>
          <w:sz w:val="19"/>
          <w:szCs w:val="19"/>
        </w:rPr>
        <w:t>de los indicadores-</w:t>
      </w:r>
      <w:r w:rsidRPr="009A501D">
        <w:rPr>
          <w:rFonts w:ascii="Century Gothic" w:hAnsi="Century Gothic"/>
          <w:bCs/>
          <w:sz w:val="19"/>
          <w:szCs w:val="19"/>
        </w:rPr>
        <w:t>objetivo, y que no fueron imputadas (ver figura A.4.2).</w:t>
      </w:r>
    </w:p>
    <w:p w14:paraId="7162FB0D" w14:textId="5966C14E"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El objetivo principal de este indicador es identificar la existencia de patrones en la no respuesta que pudieran inducir algún sesgo en las estimaciones. Se obtiene una vez que se ha realizado el proceso de imputación y se debe calcular y comparar para los diferentes dominios de estudio, variables más importantes usadas para la estratificación o agrupaciones que pudieran estar relacionadas con las variables principales de otros </w:t>
      </w:r>
      <w:r w:rsidR="00EC4113" w:rsidRPr="009A501D">
        <w:rPr>
          <w:rFonts w:ascii="Century Gothic" w:hAnsi="Century Gothic"/>
          <w:bCs/>
          <w:sz w:val="19"/>
          <w:szCs w:val="19"/>
        </w:rPr>
        <w:t>proceso</w:t>
      </w:r>
      <w:r w:rsidRPr="009A501D">
        <w:rPr>
          <w:rFonts w:ascii="Century Gothic" w:hAnsi="Century Gothic"/>
          <w:bCs/>
          <w:sz w:val="19"/>
          <w:szCs w:val="19"/>
        </w:rPr>
        <w:t>s u otras fuentes de datos.</w:t>
      </w:r>
    </w:p>
    <w:p w14:paraId="0400F056" w14:textId="751C5685"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no respuesta después de imputación a nivel unidad de observación</w:t>
      </w:r>
      <w:r w:rsidRPr="009A501D">
        <w:rPr>
          <w:rFonts w:ascii="Century Gothic" w:hAnsi="Century Gothic"/>
          <w:bCs/>
          <w:sz w:val="19"/>
          <w:szCs w:val="19"/>
        </w:rPr>
        <w:t xml:space="preserve"> se define como el cociente resultante de dividir el número de unidades que, después de aplicar métodos de imputación, mantienen su condición de unidad sin </w:t>
      </w:r>
      <w:r w:rsidR="00340F5B" w:rsidRPr="009A501D">
        <w:rPr>
          <w:rFonts w:ascii="Century Gothic" w:hAnsi="Century Gothic"/>
          <w:bCs/>
          <w:sz w:val="19"/>
          <w:szCs w:val="19"/>
        </w:rPr>
        <w:t>datos</w:t>
      </w:r>
      <w:r w:rsidRPr="009A501D">
        <w:rPr>
          <w:rFonts w:ascii="Century Gothic" w:hAnsi="Century Gothic"/>
          <w:bCs/>
          <w:sz w:val="19"/>
          <w:szCs w:val="19"/>
        </w:rPr>
        <w:t xml:space="preserve"> o incomplet</w:t>
      </w:r>
      <w:r w:rsidR="00340F5B" w:rsidRPr="009A501D">
        <w:rPr>
          <w:rFonts w:ascii="Century Gothic" w:hAnsi="Century Gothic"/>
          <w:bCs/>
          <w:sz w:val="19"/>
          <w:szCs w:val="19"/>
        </w:rPr>
        <w:t>os</w:t>
      </w:r>
      <w:r w:rsidRPr="009A501D">
        <w:rPr>
          <w:rFonts w:ascii="Century Gothic" w:hAnsi="Century Gothic"/>
          <w:bCs/>
          <w:sz w:val="19"/>
          <w:szCs w:val="19"/>
        </w:rPr>
        <w:t xml:space="preserve">, entre el total de unidades de observación en el universo censal sobre el que se intentó recabar </w:t>
      </w:r>
      <w:r w:rsidR="00340F5B" w:rsidRPr="009A501D">
        <w:rPr>
          <w:rFonts w:ascii="Century Gothic" w:hAnsi="Century Gothic"/>
          <w:bCs/>
          <w:sz w:val="19"/>
          <w:szCs w:val="19"/>
        </w:rPr>
        <w:t>datos</w:t>
      </w:r>
      <w:r w:rsidRPr="009A501D">
        <w:rPr>
          <w:rFonts w:ascii="Century Gothic" w:hAnsi="Century Gothic"/>
          <w:bCs/>
          <w:sz w:val="19"/>
          <w:szCs w:val="19"/>
        </w:rPr>
        <w:t xml:space="preserve">. El numerador también se puede describir como el número de unidades sobre el que no se pudo obtener </w:t>
      </w:r>
      <w:r w:rsidR="00D00CB4" w:rsidRPr="009A501D">
        <w:rPr>
          <w:rFonts w:ascii="Century Gothic" w:hAnsi="Century Gothic"/>
          <w:bCs/>
          <w:sz w:val="19"/>
          <w:szCs w:val="19"/>
        </w:rPr>
        <w:t>datos</w:t>
      </w:r>
      <w:r w:rsidRPr="009A501D">
        <w:rPr>
          <w:rFonts w:ascii="Century Gothic" w:hAnsi="Century Gothic"/>
          <w:bCs/>
          <w:sz w:val="19"/>
          <w:szCs w:val="19"/>
        </w:rPr>
        <w:t xml:space="preserve"> o que no proveyó </w:t>
      </w:r>
      <w:r w:rsidR="00D00CB4" w:rsidRPr="009A501D">
        <w:rPr>
          <w:rFonts w:ascii="Century Gothic" w:hAnsi="Century Gothic"/>
          <w:bCs/>
          <w:sz w:val="19"/>
          <w:szCs w:val="19"/>
        </w:rPr>
        <w:t>datos completos</w:t>
      </w:r>
      <w:r w:rsidRPr="009A501D">
        <w:rPr>
          <w:rFonts w:ascii="Century Gothic" w:hAnsi="Century Gothic"/>
          <w:bCs/>
          <w:sz w:val="19"/>
          <w:szCs w:val="19"/>
        </w:rPr>
        <w:t xml:space="preserve"> para las variables </w:t>
      </w:r>
      <w:r w:rsidR="00D00CB4" w:rsidRPr="009A501D">
        <w:rPr>
          <w:rFonts w:ascii="Century Gothic" w:hAnsi="Century Gothic"/>
          <w:bCs/>
          <w:sz w:val="19"/>
          <w:szCs w:val="19"/>
        </w:rPr>
        <w:t>de los indicadores-</w:t>
      </w:r>
      <w:r w:rsidRPr="009A501D">
        <w:rPr>
          <w:rFonts w:ascii="Century Gothic" w:hAnsi="Century Gothic"/>
          <w:bCs/>
          <w:sz w:val="19"/>
          <w:szCs w:val="19"/>
        </w:rPr>
        <w:t>objetivo y que no fueron imputadas.</w:t>
      </w:r>
    </w:p>
    <w:p w14:paraId="23B5E8C3" w14:textId="6F1EC97E" w:rsidR="00AE6C80" w:rsidRPr="009A501D" w:rsidRDefault="0005634A" w:rsidP="00664A1D">
      <w:pPr>
        <w:spacing w:before="240"/>
        <w:jc w:val="center"/>
        <w:rPr>
          <w:rFonts w:ascii="Century Gothic" w:hAnsi="Century Gothic"/>
          <w:bCs/>
          <w:sz w:val="19"/>
          <w:szCs w:val="19"/>
        </w:rPr>
      </w:pPr>
      <m:oMath>
        <m:r>
          <m:rPr>
            <m:sty m:val="p"/>
          </m:rPr>
          <w:rPr>
            <w:rFonts w:ascii="Cambria Math" w:hAnsi="Cambria Math"/>
          </w:rPr>
          <w:lastRenderedPageBreak/>
          <m:t>TNR_DI</m:t>
        </m:r>
        <m:r>
          <w:rPr>
            <w:rFonts w:ascii="Cambria Math" w:hAnsi="Cambria Math"/>
          </w:rPr>
          <m:t>=</m:t>
        </m:r>
        <m:f>
          <m:fPr>
            <m:ctrlPr>
              <w:rPr>
                <w:rFonts w:ascii="Cambria Math" w:hAnsi="Cambria Math"/>
                <w:bCs/>
                <w:i/>
                <w:iCs/>
              </w:rPr>
            </m:ctrlPr>
          </m:fPr>
          <m:num>
            <m:r>
              <w:rPr>
                <w:rFonts w:ascii="Cambria Math" w:hAnsi="Cambria Math"/>
              </w:rPr>
              <m:t>Número de unidades de observación sobre las que no se obtuvieorn datos o se obtuvieron datos incompletos y no fueron imputadas</m:t>
            </m:r>
          </m:num>
          <m:den>
            <m:r>
              <w:rPr>
                <w:rFonts w:ascii="Cambria Math" w:hAnsi="Cambria Math"/>
              </w:rPr>
              <m:t>Total de unidades de observación en el universo censal del que se intentó recabar datos</m:t>
            </m:r>
          </m:den>
        </m:f>
        <m:r>
          <w:rPr>
            <w:rFonts w:ascii="Cambria Math" w:hAnsi="Cambria Math"/>
          </w:rPr>
          <m:t>×100</m:t>
        </m:r>
      </m:oMath>
      <w:r w:rsidR="00AE6C80" w:rsidRPr="009A501D">
        <w:rPr>
          <w:rFonts w:ascii="Century Gothic" w:hAnsi="Century Gothic"/>
          <w:bCs/>
          <w:sz w:val="19"/>
          <w:szCs w:val="19"/>
        </w:rPr>
        <w:t>.</w:t>
      </w:r>
    </w:p>
    <w:p w14:paraId="14AF4627" w14:textId="1B3CDD4D" w:rsidR="00AE6C80" w:rsidRPr="009A501D" w:rsidRDefault="00AE6C80">
      <w:pPr>
        <w:rPr>
          <w:rFonts w:ascii="Century Gothic" w:hAnsi="Century Gothic" w:cstheme="majorHAnsi"/>
          <w:b/>
          <w:sz w:val="19"/>
          <w:szCs w:val="19"/>
        </w:rPr>
      </w:pPr>
    </w:p>
    <w:p w14:paraId="0FE9DF74" w14:textId="47229B0C" w:rsidR="00AE6C80" w:rsidRPr="009A501D" w:rsidRDefault="00AE6C80" w:rsidP="00664A1D">
      <w:pPr>
        <w:tabs>
          <w:tab w:val="left" w:pos="2830"/>
        </w:tabs>
        <w:spacing w:before="240"/>
        <w:jc w:val="center"/>
        <w:rPr>
          <w:rFonts w:ascii="Century Gothic" w:hAnsi="Century Gothic" w:cstheme="majorHAnsi"/>
          <w:b/>
          <w:sz w:val="19"/>
          <w:szCs w:val="19"/>
        </w:rPr>
      </w:pPr>
      <w:r w:rsidRPr="009A501D">
        <w:rPr>
          <w:rFonts w:ascii="Century Gothic" w:hAnsi="Century Gothic" w:cstheme="majorHAnsi"/>
          <w:b/>
          <w:sz w:val="19"/>
          <w:szCs w:val="19"/>
        </w:rPr>
        <w:t>A.4.2. Componentes de la tasa de no respuesta después de imputación a nivel unidad de observación (TNR_DI)</w:t>
      </w:r>
    </w:p>
    <w:p w14:paraId="1A2E1971" w14:textId="201CDCB7" w:rsidR="00AE6C80" w:rsidRPr="009A501D" w:rsidRDefault="00861F35" w:rsidP="00664A1D">
      <w:pPr>
        <w:tabs>
          <w:tab w:val="left" w:pos="2830"/>
        </w:tabs>
        <w:spacing w:before="240"/>
        <w:jc w:val="center"/>
        <w:rPr>
          <w:rFonts w:ascii="Century Gothic" w:hAnsi="Century Gothic"/>
          <w:bCs/>
          <w:sz w:val="19"/>
          <w:szCs w:val="19"/>
        </w:rPr>
      </w:pPr>
      <w:r w:rsidRPr="009A501D">
        <w:rPr>
          <w:noProof/>
        </w:rPr>
        <w:drawing>
          <wp:inline distT="0" distB="0" distL="0" distR="0" wp14:anchorId="0E812EBE" wp14:editId="7AF99954">
            <wp:extent cx="4922077" cy="339520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32070" cy="3402100"/>
                    </a:xfrm>
                    <a:prstGeom prst="rect">
                      <a:avLst/>
                    </a:prstGeom>
                    <a:noFill/>
                    <a:ln>
                      <a:noFill/>
                    </a:ln>
                  </pic:spPr>
                </pic:pic>
              </a:graphicData>
            </a:graphic>
          </wp:inline>
        </w:drawing>
      </w:r>
    </w:p>
    <w:p w14:paraId="2FF6A7C8" w14:textId="248F74BB" w:rsidR="00AE3ABC" w:rsidRPr="009A501D" w:rsidRDefault="00AE3ABC">
      <w:pPr>
        <w:rPr>
          <w:rFonts w:ascii="Century Gothic" w:hAnsi="Century Gothic"/>
          <w:bCs/>
          <w:sz w:val="19"/>
          <w:szCs w:val="19"/>
        </w:rPr>
      </w:pPr>
      <w:r w:rsidRPr="009A501D">
        <w:rPr>
          <w:rFonts w:ascii="Century Gothic" w:hAnsi="Century Gothic"/>
          <w:bCs/>
          <w:sz w:val="19"/>
          <w:szCs w:val="19"/>
        </w:rPr>
        <w:br w:type="page"/>
      </w:r>
    </w:p>
    <w:p w14:paraId="7592D5A5" w14:textId="77777777" w:rsidR="00AE6C80" w:rsidRPr="009A501D" w:rsidRDefault="00AE6C80" w:rsidP="00664A1D">
      <w:pPr>
        <w:pStyle w:val="Prrafodelista"/>
        <w:numPr>
          <w:ilvl w:val="0"/>
          <w:numId w:val="14"/>
        </w:numPr>
        <w:spacing w:before="240"/>
        <w:jc w:val="both"/>
        <w:rPr>
          <w:rFonts w:ascii="Century Gothic" w:hAnsi="Century Gothic"/>
          <w:b/>
          <w:sz w:val="19"/>
          <w:szCs w:val="19"/>
        </w:rPr>
      </w:pPr>
      <w:r w:rsidRPr="009A501D">
        <w:rPr>
          <w:rFonts w:ascii="Century Gothic" w:hAnsi="Century Gothic"/>
          <w:b/>
          <w:sz w:val="19"/>
          <w:szCs w:val="19"/>
        </w:rPr>
        <w:lastRenderedPageBreak/>
        <w:t>Tasa de imputación a nivel unidad de observación (TI)</w:t>
      </w:r>
    </w:p>
    <w:p w14:paraId="32D098EB" w14:textId="65C00985"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imputación es un procedimiento que se emplea en algunos </w:t>
      </w:r>
      <w:r w:rsidR="00EC4113" w:rsidRPr="009A501D">
        <w:rPr>
          <w:rFonts w:ascii="Century Gothic" w:hAnsi="Century Gothic"/>
          <w:bCs/>
          <w:sz w:val="19"/>
          <w:szCs w:val="19"/>
        </w:rPr>
        <w:t>procesos de producción</w:t>
      </w:r>
      <w:r w:rsidRPr="009A501D">
        <w:rPr>
          <w:rFonts w:ascii="Century Gothic" w:hAnsi="Century Gothic"/>
          <w:bCs/>
          <w:sz w:val="19"/>
          <w:szCs w:val="19"/>
        </w:rPr>
        <w:t xml:space="preserve"> debido a la falta de respuesta de unidades de observación.</w:t>
      </w:r>
    </w:p>
    <w:p w14:paraId="07873AC1" w14:textId="5E786781"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imputación a nivel unidad de observación</w:t>
      </w:r>
      <w:r w:rsidRPr="009A501D">
        <w:rPr>
          <w:rFonts w:ascii="Century Gothic" w:hAnsi="Century Gothic"/>
          <w:bCs/>
          <w:sz w:val="19"/>
          <w:szCs w:val="19"/>
        </w:rPr>
        <w:t xml:space="preserve"> se calcula considerando el conjunto de unidades de observación sobre el que tod</w:t>
      </w:r>
      <w:r w:rsidR="00E9531D" w:rsidRPr="009A501D">
        <w:rPr>
          <w:rFonts w:ascii="Century Gothic" w:hAnsi="Century Gothic"/>
          <w:bCs/>
          <w:sz w:val="19"/>
          <w:szCs w:val="19"/>
        </w:rPr>
        <w:t>os</w:t>
      </w:r>
      <w:r w:rsidRPr="009A501D">
        <w:rPr>
          <w:rFonts w:ascii="Century Gothic" w:hAnsi="Century Gothic"/>
          <w:bCs/>
          <w:sz w:val="19"/>
          <w:szCs w:val="19"/>
        </w:rPr>
        <w:t xml:space="preserve"> l</w:t>
      </w:r>
      <w:r w:rsidR="00E9531D" w:rsidRPr="009A501D">
        <w:rPr>
          <w:rFonts w:ascii="Century Gothic" w:hAnsi="Century Gothic"/>
          <w:bCs/>
          <w:sz w:val="19"/>
          <w:szCs w:val="19"/>
        </w:rPr>
        <w:t>os</w:t>
      </w:r>
      <w:r w:rsidRPr="009A501D">
        <w:rPr>
          <w:rFonts w:ascii="Century Gothic" w:hAnsi="Century Gothic"/>
          <w:bCs/>
          <w:sz w:val="19"/>
          <w:szCs w:val="19"/>
        </w:rPr>
        <w:t xml:space="preserve"> </w:t>
      </w:r>
      <w:r w:rsidR="00E9531D" w:rsidRPr="009A501D">
        <w:rPr>
          <w:rFonts w:ascii="Century Gothic" w:hAnsi="Century Gothic"/>
          <w:bCs/>
          <w:sz w:val="19"/>
          <w:szCs w:val="19"/>
        </w:rPr>
        <w:t>datos</w:t>
      </w:r>
      <w:r w:rsidRPr="009A501D">
        <w:rPr>
          <w:rFonts w:ascii="Century Gothic" w:hAnsi="Century Gothic"/>
          <w:bCs/>
          <w:sz w:val="19"/>
          <w:szCs w:val="19"/>
        </w:rPr>
        <w:t xml:space="preserve"> </w:t>
      </w:r>
      <w:r w:rsidR="00E9531D" w:rsidRPr="009A501D">
        <w:rPr>
          <w:rFonts w:ascii="Century Gothic" w:hAnsi="Century Gothic"/>
          <w:bCs/>
          <w:sz w:val="19"/>
          <w:szCs w:val="19"/>
        </w:rPr>
        <w:t>son</w:t>
      </w:r>
      <w:r w:rsidRPr="009A501D">
        <w:rPr>
          <w:rFonts w:ascii="Century Gothic" w:hAnsi="Century Gothic"/>
          <w:bCs/>
          <w:sz w:val="19"/>
          <w:szCs w:val="19"/>
        </w:rPr>
        <w:t xml:space="preserve"> complet</w:t>
      </w:r>
      <w:r w:rsidR="00E9531D" w:rsidRPr="009A501D">
        <w:rPr>
          <w:rFonts w:ascii="Century Gothic" w:hAnsi="Century Gothic"/>
          <w:bCs/>
          <w:sz w:val="19"/>
          <w:szCs w:val="19"/>
        </w:rPr>
        <w:t>os</w:t>
      </w:r>
      <w:r w:rsidRPr="009A501D">
        <w:rPr>
          <w:rFonts w:ascii="Century Gothic" w:hAnsi="Century Gothic"/>
          <w:bCs/>
          <w:sz w:val="19"/>
          <w:szCs w:val="19"/>
        </w:rPr>
        <w:t xml:space="preserve"> para las variables </w:t>
      </w:r>
      <w:r w:rsidR="00E9531D" w:rsidRPr="009A501D">
        <w:rPr>
          <w:rFonts w:ascii="Century Gothic" w:hAnsi="Century Gothic"/>
          <w:bCs/>
          <w:sz w:val="19"/>
          <w:szCs w:val="19"/>
        </w:rPr>
        <w:t>de los indicadores-</w:t>
      </w:r>
      <w:r w:rsidRPr="009A501D">
        <w:rPr>
          <w:rFonts w:ascii="Century Gothic" w:hAnsi="Century Gothic"/>
          <w:bCs/>
          <w:sz w:val="19"/>
          <w:szCs w:val="19"/>
        </w:rPr>
        <w:t xml:space="preserve">objetivo y las unidades sin </w:t>
      </w:r>
      <w:r w:rsidR="00E9531D" w:rsidRPr="009A501D">
        <w:rPr>
          <w:rFonts w:ascii="Century Gothic" w:hAnsi="Century Gothic"/>
          <w:bCs/>
          <w:sz w:val="19"/>
          <w:szCs w:val="19"/>
        </w:rPr>
        <w:t>datos</w:t>
      </w:r>
      <w:r w:rsidRPr="009A501D">
        <w:rPr>
          <w:rFonts w:ascii="Century Gothic" w:hAnsi="Century Gothic"/>
          <w:bCs/>
          <w:sz w:val="19"/>
          <w:szCs w:val="19"/>
        </w:rPr>
        <w:t xml:space="preserve"> o incomplet</w:t>
      </w:r>
      <w:r w:rsidR="00E9531D" w:rsidRPr="009A501D">
        <w:rPr>
          <w:rFonts w:ascii="Century Gothic" w:hAnsi="Century Gothic"/>
          <w:bCs/>
          <w:sz w:val="19"/>
          <w:szCs w:val="19"/>
        </w:rPr>
        <w:t>o</w:t>
      </w:r>
      <w:r w:rsidRPr="009A501D">
        <w:rPr>
          <w:rFonts w:ascii="Century Gothic" w:hAnsi="Century Gothic"/>
          <w:bCs/>
          <w:sz w:val="19"/>
          <w:szCs w:val="19"/>
        </w:rPr>
        <w:t>s, y que fueron imputadas. Es decir, el universo del indicador sólo incluye los cuestionarios que se utilizan para la información que se publicará (ver figura A.4.3).</w:t>
      </w:r>
    </w:p>
    <w:p w14:paraId="2A4E1160" w14:textId="1CB947A2"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El objetivo principal de este indicador es tener un parámetro que permita medir el porcentaje de observaciones que se imputan y, por tanto, se debe calcular y comparar para los diferentes dominios de estudio, variables más importantes o agrupaciones que pudieran estar relacionadas con las variables principales de los diferentes </w:t>
      </w:r>
      <w:r w:rsidR="00EC4113" w:rsidRPr="009A501D">
        <w:rPr>
          <w:rFonts w:ascii="Century Gothic" w:hAnsi="Century Gothic"/>
          <w:bCs/>
          <w:sz w:val="19"/>
          <w:szCs w:val="19"/>
        </w:rPr>
        <w:t>proceso</w:t>
      </w:r>
      <w:r w:rsidRPr="009A501D">
        <w:rPr>
          <w:rFonts w:ascii="Century Gothic" w:hAnsi="Century Gothic"/>
          <w:bCs/>
          <w:sz w:val="19"/>
          <w:szCs w:val="19"/>
        </w:rPr>
        <w:t>s.</w:t>
      </w:r>
    </w:p>
    <w:p w14:paraId="06B96F92" w14:textId="46A98E37"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imputación a nivel unidad de observación</w:t>
      </w:r>
      <w:r w:rsidRPr="009A501D">
        <w:rPr>
          <w:rFonts w:ascii="Century Gothic" w:hAnsi="Century Gothic"/>
          <w:bCs/>
          <w:sz w:val="19"/>
          <w:szCs w:val="19"/>
        </w:rPr>
        <w:t xml:space="preserve"> se define como el cociente resultante de dividir el número de unidades de observación sin </w:t>
      </w:r>
      <w:r w:rsidR="00E9531D" w:rsidRPr="009A501D">
        <w:rPr>
          <w:rFonts w:ascii="Century Gothic" w:hAnsi="Century Gothic"/>
          <w:bCs/>
          <w:sz w:val="19"/>
          <w:szCs w:val="19"/>
        </w:rPr>
        <w:t>datos</w:t>
      </w:r>
      <w:r w:rsidRPr="009A501D">
        <w:rPr>
          <w:rFonts w:ascii="Century Gothic" w:hAnsi="Century Gothic"/>
          <w:bCs/>
          <w:sz w:val="19"/>
          <w:szCs w:val="19"/>
        </w:rPr>
        <w:t xml:space="preserve"> o con </w:t>
      </w:r>
      <w:r w:rsidR="00E9531D" w:rsidRPr="009A501D">
        <w:rPr>
          <w:rFonts w:ascii="Century Gothic" w:hAnsi="Century Gothic"/>
          <w:bCs/>
          <w:sz w:val="19"/>
          <w:szCs w:val="19"/>
        </w:rPr>
        <w:t>datos</w:t>
      </w:r>
      <w:r w:rsidRPr="009A501D">
        <w:rPr>
          <w:rFonts w:ascii="Century Gothic" w:hAnsi="Century Gothic"/>
          <w:bCs/>
          <w:sz w:val="19"/>
          <w:szCs w:val="19"/>
        </w:rPr>
        <w:t xml:space="preserve"> incomplet</w:t>
      </w:r>
      <w:r w:rsidR="00E9531D" w:rsidRPr="009A501D">
        <w:rPr>
          <w:rFonts w:ascii="Century Gothic" w:hAnsi="Century Gothic"/>
          <w:bCs/>
          <w:sz w:val="19"/>
          <w:szCs w:val="19"/>
        </w:rPr>
        <w:t>os</w:t>
      </w:r>
      <w:r w:rsidRPr="009A501D">
        <w:rPr>
          <w:rFonts w:ascii="Century Gothic" w:hAnsi="Century Gothic"/>
          <w:bCs/>
          <w:sz w:val="19"/>
          <w:szCs w:val="19"/>
        </w:rPr>
        <w:t xml:space="preserve"> y que fueron imputadas, entre el total de unidades de observación sobre </w:t>
      </w:r>
      <w:r w:rsidR="003319CF" w:rsidRPr="009A501D">
        <w:rPr>
          <w:rFonts w:ascii="Century Gothic" w:hAnsi="Century Gothic"/>
          <w:bCs/>
          <w:sz w:val="19"/>
          <w:szCs w:val="19"/>
        </w:rPr>
        <w:t>las</w:t>
      </w:r>
      <w:r w:rsidRPr="009A501D">
        <w:rPr>
          <w:rFonts w:ascii="Century Gothic" w:hAnsi="Century Gothic"/>
          <w:bCs/>
          <w:sz w:val="19"/>
          <w:szCs w:val="19"/>
        </w:rPr>
        <w:t xml:space="preserve"> que se tiene</w:t>
      </w:r>
      <w:r w:rsidR="00E9531D" w:rsidRPr="009A501D">
        <w:rPr>
          <w:rFonts w:ascii="Century Gothic" w:hAnsi="Century Gothic"/>
          <w:bCs/>
          <w:sz w:val="19"/>
          <w:szCs w:val="19"/>
        </w:rPr>
        <w:t>n</w:t>
      </w:r>
      <w:r w:rsidRPr="009A501D">
        <w:rPr>
          <w:rFonts w:ascii="Century Gothic" w:hAnsi="Century Gothic"/>
          <w:bCs/>
          <w:sz w:val="19"/>
          <w:szCs w:val="19"/>
        </w:rPr>
        <w:t xml:space="preserve"> </w:t>
      </w:r>
      <w:r w:rsidR="00E9531D" w:rsidRPr="009A501D">
        <w:rPr>
          <w:rFonts w:ascii="Century Gothic" w:hAnsi="Century Gothic"/>
          <w:bCs/>
          <w:sz w:val="19"/>
          <w:szCs w:val="19"/>
        </w:rPr>
        <w:t>datos</w:t>
      </w:r>
      <w:r w:rsidRPr="009A501D">
        <w:rPr>
          <w:rFonts w:ascii="Century Gothic" w:hAnsi="Century Gothic"/>
          <w:bCs/>
          <w:sz w:val="19"/>
          <w:szCs w:val="19"/>
        </w:rPr>
        <w:t xml:space="preserve"> complet</w:t>
      </w:r>
      <w:r w:rsidR="00E9531D" w:rsidRPr="009A501D">
        <w:rPr>
          <w:rFonts w:ascii="Century Gothic" w:hAnsi="Century Gothic"/>
          <w:bCs/>
          <w:sz w:val="19"/>
          <w:szCs w:val="19"/>
        </w:rPr>
        <w:t>os</w:t>
      </w:r>
      <w:r w:rsidRPr="009A501D">
        <w:rPr>
          <w:rFonts w:ascii="Century Gothic" w:hAnsi="Century Gothic"/>
          <w:bCs/>
          <w:sz w:val="19"/>
          <w:szCs w:val="19"/>
        </w:rPr>
        <w:t xml:space="preserve"> o </w:t>
      </w:r>
      <w:r w:rsidR="00FE680E" w:rsidRPr="009A501D">
        <w:rPr>
          <w:rFonts w:ascii="Century Gothic" w:hAnsi="Century Gothic"/>
          <w:bCs/>
          <w:sz w:val="19"/>
          <w:szCs w:val="19"/>
        </w:rPr>
        <w:t xml:space="preserve">unidades </w:t>
      </w:r>
      <w:r w:rsidRPr="009A501D">
        <w:rPr>
          <w:rFonts w:ascii="Century Gothic" w:hAnsi="Century Gothic"/>
          <w:bCs/>
          <w:sz w:val="19"/>
          <w:szCs w:val="19"/>
        </w:rPr>
        <w:t>imputada</w:t>
      </w:r>
      <w:r w:rsidR="003319CF" w:rsidRPr="009A501D">
        <w:rPr>
          <w:rFonts w:ascii="Century Gothic" w:hAnsi="Century Gothic"/>
          <w:bCs/>
          <w:sz w:val="19"/>
          <w:szCs w:val="19"/>
        </w:rPr>
        <w:t>s</w:t>
      </w:r>
      <w:r w:rsidRPr="009A501D">
        <w:rPr>
          <w:rFonts w:ascii="Century Gothic" w:hAnsi="Century Gothic"/>
          <w:bCs/>
          <w:sz w:val="19"/>
          <w:szCs w:val="19"/>
        </w:rPr>
        <w:t>, multiplicado por 100.</w:t>
      </w:r>
    </w:p>
    <w:p w14:paraId="19EE30B6" w14:textId="4B330668" w:rsidR="00AE6C80" w:rsidRPr="009A501D" w:rsidRDefault="0005634A" w:rsidP="00664A1D">
      <w:pPr>
        <w:spacing w:before="240"/>
        <w:jc w:val="center"/>
        <w:rPr>
          <w:rFonts w:ascii="Century Gothic" w:hAnsi="Century Gothic"/>
          <w:bCs/>
          <w:sz w:val="19"/>
          <w:szCs w:val="19"/>
        </w:rPr>
      </w:pPr>
      <m:oMath>
        <m:r>
          <m:rPr>
            <m:sty m:val="p"/>
          </m:rPr>
          <w:rPr>
            <w:rFonts w:ascii="Cambria Math" w:hAnsi="Cambria Math"/>
          </w:rPr>
          <m:t>TI</m:t>
        </m:r>
        <m:r>
          <w:rPr>
            <w:rFonts w:ascii="Cambria Math" w:hAnsi="Cambria Math"/>
          </w:rPr>
          <m:t>=</m:t>
        </m:r>
        <m:f>
          <m:fPr>
            <m:ctrlPr>
              <w:rPr>
                <w:rFonts w:ascii="Cambria Math" w:hAnsi="Cambria Math"/>
                <w:bCs/>
                <w:i/>
                <w:iCs/>
              </w:rPr>
            </m:ctrlPr>
          </m:fPr>
          <m:num>
            <m:r>
              <w:rPr>
                <w:rFonts w:ascii="Cambria Math" w:hAnsi="Cambria Math"/>
              </w:rPr>
              <m:t>Número de unidades de observación</m:t>
            </m:r>
            <m:func>
              <m:funcPr>
                <m:ctrlPr>
                  <w:rPr>
                    <w:rFonts w:ascii="Cambria Math" w:hAnsi="Cambria Math"/>
                    <w:bCs/>
                    <w:i/>
                    <w:iCs/>
                  </w:rPr>
                </m:ctrlPr>
              </m:funcPr>
              <m:fName>
                <m:r>
                  <m:rPr>
                    <m:sty m:val="p"/>
                  </m:rPr>
                  <w:rPr>
                    <w:rFonts w:ascii="Cambria Math" w:hAnsi="Cambria Math"/>
                  </w:rPr>
                  <m:t>sin</m:t>
                </m:r>
              </m:fName>
              <m:e>
                <m:r>
                  <w:rPr>
                    <w:rFonts w:ascii="Cambria Math" w:hAnsi="Cambria Math"/>
                  </w:rPr>
                  <m:t>datos o con datos incompletos</m:t>
                </m:r>
              </m:e>
            </m:func>
            <m:r>
              <w:rPr>
                <w:rFonts w:ascii="Cambria Math" w:hAnsi="Cambria Math"/>
              </w:rPr>
              <m:t xml:space="preserve"> y que fueron imputadas</m:t>
            </m:r>
          </m:num>
          <m:den>
            <m:r>
              <w:rPr>
                <w:rFonts w:ascii="Cambria Math" w:hAnsi="Cambria Math"/>
              </w:rPr>
              <m:t>Total de unidades de observación con datos completos o unidades imputadas</m:t>
            </m:r>
          </m:den>
        </m:f>
        <m:r>
          <w:rPr>
            <w:rFonts w:ascii="Cambria Math" w:hAnsi="Cambria Math"/>
          </w:rPr>
          <m:t>×100</m:t>
        </m:r>
      </m:oMath>
      <w:r w:rsidR="00AE6C80" w:rsidRPr="009A501D">
        <w:rPr>
          <w:rFonts w:ascii="Century Gothic" w:hAnsi="Century Gothic"/>
          <w:bCs/>
          <w:sz w:val="19"/>
          <w:szCs w:val="19"/>
        </w:rPr>
        <w:t>.</w:t>
      </w:r>
    </w:p>
    <w:p w14:paraId="02965749" w14:textId="4A7DB9E9" w:rsidR="00AE6C80" w:rsidRPr="009A501D" w:rsidRDefault="00AE6C80"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t>A.4.3. Componentes de la tasa de imputación a nivel unidad de observación (TI)</w:t>
      </w:r>
    </w:p>
    <w:p w14:paraId="5C9F4B82" w14:textId="7BFD1C3B" w:rsidR="00AE6C80" w:rsidRPr="009A501D" w:rsidRDefault="00C4460F" w:rsidP="00664A1D">
      <w:pPr>
        <w:spacing w:before="240"/>
        <w:jc w:val="center"/>
        <w:rPr>
          <w:rFonts w:ascii="Century Gothic" w:hAnsi="Century Gothic" w:cstheme="majorHAnsi"/>
          <w:b/>
          <w:sz w:val="19"/>
          <w:szCs w:val="19"/>
        </w:rPr>
      </w:pPr>
      <w:r w:rsidRPr="009A501D">
        <w:rPr>
          <w:noProof/>
        </w:rPr>
        <w:drawing>
          <wp:inline distT="0" distB="0" distL="0" distR="0" wp14:anchorId="5F1BFC66" wp14:editId="0CA16621">
            <wp:extent cx="4883958" cy="297378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1486" cy="2990549"/>
                    </a:xfrm>
                    <a:prstGeom prst="rect">
                      <a:avLst/>
                    </a:prstGeom>
                    <a:noFill/>
                    <a:ln>
                      <a:noFill/>
                    </a:ln>
                  </pic:spPr>
                </pic:pic>
              </a:graphicData>
            </a:graphic>
          </wp:inline>
        </w:drawing>
      </w:r>
    </w:p>
    <w:p w14:paraId="662098B6" w14:textId="77777777" w:rsidR="00AE6C80" w:rsidRPr="009A501D" w:rsidRDefault="00AE6C80" w:rsidP="00664A1D">
      <w:pPr>
        <w:pStyle w:val="Prrafodelista"/>
        <w:numPr>
          <w:ilvl w:val="0"/>
          <w:numId w:val="14"/>
        </w:numPr>
        <w:spacing w:before="240"/>
        <w:jc w:val="both"/>
        <w:rPr>
          <w:rFonts w:ascii="Century Gothic" w:hAnsi="Century Gothic"/>
          <w:b/>
          <w:sz w:val="19"/>
          <w:szCs w:val="19"/>
        </w:rPr>
      </w:pPr>
      <w:r w:rsidRPr="009A501D">
        <w:rPr>
          <w:rFonts w:ascii="Century Gothic" w:hAnsi="Century Gothic"/>
          <w:b/>
          <w:sz w:val="19"/>
          <w:szCs w:val="19"/>
        </w:rPr>
        <w:lastRenderedPageBreak/>
        <w:t>Tasa de no respuesta a nivel variable (TNRZ)</w:t>
      </w:r>
    </w:p>
    <w:p w14:paraId="18E878BE" w14:textId="3333D15D" w:rsidR="00AE6C80" w:rsidRPr="009A501D" w:rsidRDefault="00AE6C80" w:rsidP="00664A1D">
      <w:pPr>
        <w:spacing w:before="240"/>
        <w:jc w:val="both"/>
        <w:rPr>
          <w:rFonts w:ascii="Century Gothic" w:hAnsi="Century Gothic"/>
          <w:bCs/>
          <w:sz w:val="19"/>
          <w:szCs w:val="19"/>
        </w:rPr>
      </w:pPr>
      <w:r w:rsidRPr="009A501D">
        <w:rPr>
          <w:rFonts w:ascii="Century Gothic" w:hAnsi="Century Gothic"/>
          <w:bCs/>
          <w:sz w:val="19"/>
          <w:szCs w:val="19"/>
        </w:rPr>
        <w:t xml:space="preserve">La </w:t>
      </w:r>
      <w:r w:rsidRPr="009A501D">
        <w:rPr>
          <w:rFonts w:ascii="Century Gothic" w:hAnsi="Century Gothic"/>
          <w:bCs/>
          <w:i/>
          <w:iCs/>
          <w:sz w:val="19"/>
          <w:szCs w:val="19"/>
        </w:rPr>
        <w:t>tasa de no respuesta a nivel variable</w:t>
      </w:r>
      <w:r w:rsidRPr="009A501D">
        <w:rPr>
          <w:rFonts w:ascii="Century Gothic" w:hAnsi="Century Gothic"/>
          <w:bCs/>
          <w:sz w:val="19"/>
          <w:szCs w:val="19"/>
        </w:rPr>
        <w:t xml:space="preserve"> se calcula considerando el conjunto de unidades de observación que tienen </w:t>
      </w:r>
      <w:r w:rsidR="002E0DC0" w:rsidRPr="009A501D">
        <w:rPr>
          <w:rFonts w:ascii="Century Gothic" w:hAnsi="Century Gothic"/>
          <w:bCs/>
          <w:sz w:val="19"/>
          <w:szCs w:val="19"/>
        </w:rPr>
        <w:t>datos</w:t>
      </w:r>
      <w:r w:rsidRPr="009A501D">
        <w:rPr>
          <w:rFonts w:ascii="Century Gothic" w:hAnsi="Century Gothic"/>
          <w:bCs/>
          <w:sz w:val="19"/>
          <w:szCs w:val="19"/>
        </w:rPr>
        <w:t xml:space="preserve"> complet</w:t>
      </w:r>
      <w:r w:rsidR="002E0DC0" w:rsidRPr="009A501D">
        <w:rPr>
          <w:rFonts w:ascii="Century Gothic" w:hAnsi="Century Gothic"/>
          <w:bCs/>
          <w:sz w:val="19"/>
          <w:szCs w:val="19"/>
        </w:rPr>
        <w:t>os</w:t>
      </w:r>
      <w:r w:rsidRPr="009A501D">
        <w:rPr>
          <w:rFonts w:ascii="Century Gothic" w:hAnsi="Century Gothic"/>
          <w:bCs/>
          <w:sz w:val="19"/>
          <w:szCs w:val="19"/>
        </w:rPr>
        <w:t xml:space="preserve"> (que no fue</w:t>
      </w:r>
      <w:r w:rsidR="002E0DC0" w:rsidRPr="009A501D">
        <w:rPr>
          <w:rFonts w:ascii="Century Gothic" w:hAnsi="Century Gothic"/>
          <w:bCs/>
          <w:sz w:val="19"/>
          <w:szCs w:val="19"/>
        </w:rPr>
        <w:t>ron</w:t>
      </w:r>
      <w:r w:rsidRPr="009A501D">
        <w:rPr>
          <w:rFonts w:ascii="Century Gothic" w:hAnsi="Century Gothic"/>
          <w:bCs/>
          <w:sz w:val="19"/>
          <w:szCs w:val="19"/>
        </w:rPr>
        <w:t xml:space="preserve"> imputada</w:t>
      </w:r>
      <w:r w:rsidR="00E7190A" w:rsidRPr="009A501D">
        <w:rPr>
          <w:rFonts w:ascii="Century Gothic" w:hAnsi="Century Gothic"/>
          <w:bCs/>
          <w:sz w:val="19"/>
          <w:szCs w:val="19"/>
        </w:rPr>
        <w:t>s</w:t>
      </w:r>
      <w:r w:rsidRPr="009A501D">
        <w:rPr>
          <w:rFonts w:ascii="Century Gothic" w:hAnsi="Century Gothic"/>
          <w:bCs/>
          <w:sz w:val="19"/>
          <w:szCs w:val="19"/>
        </w:rPr>
        <w:t>) para las variables principales. Es decir, este indicador se calculará para las variables que alimentan los indicadores</w:t>
      </w:r>
      <w:r w:rsidR="00E7190A" w:rsidRPr="009A501D">
        <w:rPr>
          <w:rFonts w:ascii="Century Gothic" w:hAnsi="Century Gothic"/>
          <w:bCs/>
          <w:sz w:val="19"/>
          <w:szCs w:val="19"/>
        </w:rPr>
        <w:t>-</w:t>
      </w:r>
      <w:r w:rsidRPr="009A501D">
        <w:rPr>
          <w:rFonts w:ascii="Century Gothic" w:hAnsi="Century Gothic"/>
          <w:bCs/>
          <w:sz w:val="19"/>
          <w:szCs w:val="19"/>
        </w:rPr>
        <w:t xml:space="preserve">objetivo del </w:t>
      </w:r>
      <w:r w:rsidR="00EC4113" w:rsidRPr="009A501D">
        <w:rPr>
          <w:rFonts w:ascii="Century Gothic" w:hAnsi="Century Gothic"/>
          <w:bCs/>
          <w:sz w:val="19"/>
          <w:szCs w:val="19"/>
        </w:rPr>
        <w:t>proceso de producción</w:t>
      </w:r>
      <w:r w:rsidRPr="009A501D">
        <w:rPr>
          <w:rFonts w:ascii="Century Gothic" w:hAnsi="Century Gothic"/>
          <w:bCs/>
          <w:sz w:val="19"/>
          <w:szCs w:val="19"/>
        </w:rPr>
        <w:t>, y el universo del indicador no incluye cuestionarios imputados porque por construcción todos tienen respuesta (ver figura A.</w:t>
      </w:r>
      <w:r w:rsidR="003A75EB" w:rsidRPr="009A501D">
        <w:rPr>
          <w:rFonts w:ascii="Century Gothic" w:hAnsi="Century Gothic"/>
          <w:bCs/>
          <w:sz w:val="19"/>
          <w:szCs w:val="19"/>
        </w:rPr>
        <w:t>4</w:t>
      </w:r>
      <w:r w:rsidRPr="009A501D">
        <w:rPr>
          <w:rFonts w:ascii="Century Gothic" w:hAnsi="Century Gothic"/>
          <w:bCs/>
          <w:sz w:val="19"/>
          <w:szCs w:val="19"/>
        </w:rPr>
        <w:t>.4).</w:t>
      </w:r>
    </w:p>
    <w:p w14:paraId="4E985EB4" w14:textId="21E069D0" w:rsidR="00AE6C80" w:rsidRPr="009A501D" w:rsidRDefault="00AE6C80" w:rsidP="00664A1D">
      <w:pPr>
        <w:spacing w:before="240"/>
        <w:jc w:val="both"/>
        <w:rPr>
          <w:rFonts w:ascii="Century Gothic" w:hAnsi="Century Gothic"/>
          <w:sz w:val="19"/>
          <w:szCs w:val="19"/>
        </w:rPr>
      </w:pPr>
      <w:r w:rsidRPr="009A501D">
        <w:rPr>
          <w:rFonts w:ascii="Century Gothic" w:hAnsi="Century Gothic"/>
          <w:bCs/>
          <w:sz w:val="19"/>
          <w:szCs w:val="19"/>
        </w:rPr>
        <w:t xml:space="preserve">El objetivo principal de la </w:t>
      </w:r>
      <w:r w:rsidRPr="009A501D">
        <w:rPr>
          <w:rFonts w:ascii="Century Gothic" w:hAnsi="Century Gothic"/>
          <w:bCs/>
          <w:i/>
          <w:iCs/>
          <w:sz w:val="19"/>
          <w:szCs w:val="19"/>
        </w:rPr>
        <w:t>tasa de no respuesta a nivel variable</w:t>
      </w:r>
      <w:r w:rsidRPr="009A501D">
        <w:rPr>
          <w:rFonts w:ascii="Century Gothic" w:hAnsi="Century Gothic"/>
          <w:bCs/>
          <w:sz w:val="19"/>
          <w:szCs w:val="19"/>
        </w:rPr>
        <w:t xml:space="preserve"> es identificar la existencia de patrones en la no respuesta en una variable principal en particular. Se debe calcular y comparar para los diferentes dominios de estudio o agrupaciones de interés. </w:t>
      </w:r>
      <w:r w:rsidRPr="009A501D">
        <w:rPr>
          <w:rFonts w:ascii="Century Gothic" w:hAnsi="Century Gothic"/>
          <w:sz w:val="19"/>
          <w:szCs w:val="19"/>
        </w:rPr>
        <w:t xml:space="preserve">La </w:t>
      </w:r>
      <w:r w:rsidRPr="009A501D">
        <w:rPr>
          <w:rFonts w:ascii="Century Gothic" w:hAnsi="Century Gothic"/>
          <w:i/>
          <w:iCs/>
          <w:sz w:val="19"/>
          <w:szCs w:val="19"/>
        </w:rPr>
        <w:t>tasa de no respuesta a nivel variable</w:t>
      </w:r>
      <w:r w:rsidRPr="009A501D">
        <w:rPr>
          <w:rFonts w:ascii="Century Gothic" w:hAnsi="Century Gothic"/>
          <w:sz w:val="19"/>
          <w:szCs w:val="19"/>
        </w:rPr>
        <w:t xml:space="preserve"> se define como el cociente resultante de dividir el número de unidades de observación con no respuesta a nivel variable entre el total de unidades de observación en el universo censal con </w:t>
      </w:r>
      <w:r w:rsidR="00FE2ECA" w:rsidRPr="009A501D">
        <w:rPr>
          <w:rFonts w:ascii="Century Gothic" w:hAnsi="Century Gothic"/>
          <w:sz w:val="19"/>
          <w:szCs w:val="19"/>
        </w:rPr>
        <w:t>datos completos</w:t>
      </w:r>
      <w:r w:rsidRPr="009A501D">
        <w:rPr>
          <w:rFonts w:ascii="Century Gothic" w:hAnsi="Century Gothic"/>
          <w:sz w:val="19"/>
          <w:szCs w:val="19"/>
        </w:rPr>
        <w:t xml:space="preserve"> (que no fue</w:t>
      </w:r>
      <w:r w:rsidR="00EF1FCA" w:rsidRPr="009A501D">
        <w:rPr>
          <w:rFonts w:ascii="Century Gothic" w:hAnsi="Century Gothic"/>
          <w:sz w:val="19"/>
          <w:szCs w:val="19"/>
        </w:rPr>
        <w:t>ron</w:t>
      </w:r>
      <w:r w:rsidRPr="009A501D">
        <w:rPr>
          <w:rFonts w:ascii="Century Gothic" w:hAnsi="Century Gothic"/>
          <w:sz w:val="19"/>
          <w:szCs w:val="19"/>
        </w:rPr>
        <w:t xml:space="preserve"> imputad</w:t>
      </w:r>
      <w:r w:rsidR="00EF1FCA" w:rsidRPr="009A501D">
        <w:rPr>
          <w:rFonts w:ascii="Century Gothic" w:hAnsi="Century Gothic"/>
          <w:sz w:val="19"/>
          <w:szCs w:val="19"/>
        </w:rPr>
        <w:t>os</w:t>
      </w:r>
      <w:r w:rsidRPr="009A501D">
        <w:rPr>
          <w:rFonts w:ascii="Century Gothic" w:hAnsi="Century Gothic"/>
          <w:sz w:val="19"/>
          <w:szCs w:val="19"/>
        </w:rPr>
        <w:t>), multiplicado por 100.</w:t>
      </w:r>
    </w:p>
    <w:p w14:paraId="37CD13C3" w14:textId="109B22AC" w:rsidR="00AE6C80" w:rsidRPr="009A501D" w:rsidRDefault="0005634A" w:rsidP="00664A1D">
      <w:pPr>
        <w:spacing w:before="240"/>
        <w:jc w:val="center"/>
        <w:rPr>
          <w:rFonts w:ascii="Century Gothic" w:hAnsi="Century Gothic"/>
        </w:rPr>
      </w:pPr>
      <m:oMath>
        <m:r>
          <m:rPr>
            <m:sty m:val="p"/>
          </m:rPr>
          <w:rPr>
            <w:rFonts w:ascii="Cambria Math" w:hAnsi="Cambria Math"/>
          </w:rPr>
          <m:t>TNRZ</m:t>
        </m:r>
        <m:r>
          <w:rPr>
            <w:rFonts w:ascii="Cambria Math" w:hAnsi="Cambria Math"/>
          </w:rPr>
          <m:t>=</m:t>
        </m:r>
        <m:f>
          <m:fPr>
            <m:ctrlPr>
              <w:rPr>
                <w:rFonts w:ascii="Cambria Math" w:hAnsi="Cambria Math"/>
                <w:i/>
                <w:iCs/>
              </w:rPr>
            </m:ctrlPr>
          </m:fPr>
          <m:num>
            <m:r>
              <w:rPr>
                <w:rFonts w:ascii="Cambria Math" w:hAnsi="Cambria Math"/>
              </w:rPr>
              <m:t>Número de unidades de observación sobre las que no hay datos de la variable Z</m:t>
            </m:r>
          </m:num>
          <m:den>
            <m:r>
              <w:rPr>
                <w:rFonts w:ascii="Cambria Math" w:hAnsi="Cambria Math"/>
              </w:rPr>
              <m:t>Total de unidades de observación con datos completos (que no fueron imputados)</m:t>
            </m:r>
          </m:den>
        </m:f>
        <m:r>
          <w:rPr>
            <w:rFonts w:ascii="Cambria Math" w:hAnsi="Cambria Math"/>
          </w:rPr>
          <m:t>×100</m:t>
        </m:r>
      </m:oMath>
      <w:r w:rsidR="00AE6C80" w:rsidRPr="009A501D">
        <w:rPr>
          <w:rFonts w:ascii="Century Gothic" w:hAnsi="Century Gothic"/>
        </w:rPr>
        <w:t>.</w:t>
      </w:r>
    </w:p>
    <w:p w14:paraId="21C594ED" w14:textId="66A669AF" w:rsidR="00AE6C80" w:rsidRPr="009A501D" w:rsidRDefault="00AE6C80" w:rsidP="00664A1D">
      <w:pPr>
        <w:spacing w:before="240"/>
        <w:jc w:val="center"/>
        <w:rPr>
          <w:rFonts w:ascii="Century Gothic" w:hAnsi="Century Gothic"/>
        </w:rPr>
      </w:pPr>
      <w:r w:rsidRPr="009A501D">
        <w:rPr>
          <w:rFonts w:ascii="Century Gothic" w:hAnsi="Century Gothic" w:cstheme="majorHAnsi"/>
          <w:b/>
          <w:sz w:val="19"/>
          <w:szCs w:val="19"/>
        </w:rPr>
        <w:t>A.4.4. Componentes de la tasa de no respuesta a nivel variable (TNRZ)</w:t>
      </w:r>
    </w:p>
    <w:p w14:paraId="33EF0444" w14:textId="7E0C589E" w:rsidR="00AE6C80" w:rsidRPr="009A501D" w:rsidRDefault="00A62290" w:rsidP="00664A1D">
      <w:pPr>
        <w:spacing w:before="240"/>
        <w:jc w:val="center"/>
        <w:rPr>
          <w:rFonts w:ascii="Century Gothic" w:hAnsi="Century Gothic"/>
        </w:rPr>
      </w:pPr>
      <w:r w:rsidRPr="009A501D">
        <w:rPr>
          <w:noProof/>
        </w:rPr>
        <w:drawing>
          <wp:inline distT="0" distB="0" distL="0" distR="0" wp14:anchorId="67439B70" wp14:editId="509407F4">
            <wp:extent cx="6145375" cy="3456774"/>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2610" cy="3477719"/>
                    </a:xfrm>
                    <a:prstGeom prst="rect">
                      <a:avLst/>
                    </a:prstGeom>
                    <a:noFill/>
                    <a:ln>
                      <a:noFill/>
                    </a:ln>
                  </pic:spPr>
                </pic:pic>
              </a:graphicData>
            </a:graphic>
          </wp:inline>
        </w:drawing>
      </w:r>
    </w:p>
    <w:p w14:paraId="73837912" w14:textId="4F3B5D00" w:rsidR="00AE6C80" w:rsidRPr="009A501D" w:rsidRDefault="00AE6C80" w:rsidP="00664A1D">
      <w:pPr>
        <w:spacing w:before="240"/>
        <w:jc w:val="both"/>
        <w:rPr>
          <w:rFonts w:ascii="Century Gothic" w:hAnsi="Century Gothic"/>
          <w:sz w:val="19"/>
          <w:szCs w:val="19"/>
        </w:rPr>
      </w:pPr>
      <w:r w:rsidRPr="009A501D">
        <w:rPr>
          <w:rFonts w:ascii="Century Gothic" w:hAnsi="Century Gothic"/>
          <w:sz w:val="19"/>
          <w:szCs w:val="19"/>
        </w:rPr>
        <w:lastRenderedPageBreak/>
        <w:t xml:space="preserve">Conforme al acuerdo del Comité mediante el </w:t>
      </w:r>
      <w:r w:rsidR="009E638E" w:rsidRPr="009A501D">
        <w:rPr>
          <w:rFonts w:ascii="Century Gothic" w:hAnsi="Century Gothic"/>
          <w:sz w:val="19"/>
          <w:szCs w:val="19"/>
        </w:rPr>
        <w:t>que</w:t>
      </w:r>
      <w:r w:rsidRPr="009A501D">
        <w:rPr>
          <w:rFonts w:ascii="Century Gothic" w:hAnsi="Century Gothic"/>
          <w:sz w:val="19"/>
          <w:szCs w:val="19"/>
        </w:rPr>
        <w:t xml:space="preserve"> se aprobaron cuatro indicadores de precisión estadística </w:t>
      </w:r>
      <w:r w:rsidR="0004156C" w:rsidRPr="009A501D">
        <w:rPr>
          <w:rFonts w:ascii="Century Gothic" w:hAnsi="Century Gothic"/>
          <w:sz w:val="19"/>
          <w:szCs w:val="19"/>
        </w:rPr>
        <w:t>para</w:t>
      </w:r>
      <w:r w:rsidRPr="009A501D">
        <w:rPr>
          <w:rFonts w:ascii="Century Gothic" w:hAnsi="Century Gothic"/>
          <w:sz w:val="19"/>
          <w:szCs w:val="19"/>
        </w:rPr>
        <w:t xml:space="preserve"> censos, </w:t>
      </w:r>
      <w:r w:rsidR="00754B7E" w:rsidRPr="009A501D">
        <w:rPr>
          <w:rFonts w:ascii="Century Gothic" w:hAnsi="Century Gothic"/>
          <w:sz w:val="19"/>
          <w:szCs w:val="19"/>
        </w:rPr>
        <w:t>cuyo</w:t>
      </w:r>
      <w:r w:rsidRPr="009A501D">
        <w:rPr>
          <w:rFonts w:ascii="Century Gothic" w:hAnsi="Century Gothic"/>
          <w:sz w:val="19"/>
          <w:szCs w:val="19"/>
        </w:rPr>
        <w:t xml:space="preserve"> report</w:t>
      </w:r>
      <w:r w:rsidR="00754B7E" w:rsidRPr="009A501D">
        <w:rPr>
          <w:rFonts w:ascii="Century Gothic" w:hAnsi="Century Gothic"/>
          <w:sz w:val="19"/>
          <w:szCs w:val="19"/>
        </w:rPr>
        <w:t>e deberá reflejarse</w:t>
      </w:r>
      <w:r w:rsidRPr="009A501D">
        <w:rPr>
          <w:rFonts w:ascii="Century Gothic" w:hAnsi="Century Gothic"/>
          <w:sz w:val="19"/>
          <w:szCs w:val="19"/>
        </w:rPr>
        <w:t xml:space="preserve"> en los metadatos </w:t>
      </w:r>
      <w:r w:rsidR="00754B7E" w:rsidRPr="009A501D">
        <w:rPr>
          <w:rFonts w:ascii="Century Gothic" w:hAnsi="Century Gothic"/>
          <w:sz w:val="19"/>
          <w:szCs w:val="19"/>
        </w:rPr>
        <w:t>correspondientes</w:t>
      </w:r>
      <w:r w:rsidR="00EC4113" w:rsidRPr="009A501D">
        <w:rPr>
          <w:rFonts w:ascii="Century Gothic" w:hAnsi="Century Gothic"/>
          <w:sz w:val="19"/>
          <w:szCs w:val="19"/>
        </w:rPr>
        <w:t xml:space="preserve"> </w:t>
      </w:r>
      <w:r w:rsidRPr="009A501D">
        <w:rPr>
          <w:rFonts w:ascii="Century Gothic" w:hAnsi="Century Gothic"/>
          <w:sz w:val="19"/>
          <w:szCs w:val="19"/>
        </w:rPr>
        <w:t xml:space="preserve">a partir de la información publicada en diciembre de 2021, al 31 de diciembre de 2022 se publicaron resultados de </w:t>
      </w:r>
      <w:r w:rsidR="00FA48BF" w:rsidRPr="009A501D">
        <w:rPr>
          <w:rFonts w:ascii="Century Gothic" w:hAnsi="Century Gothic"/>
          <w:sz w:val="19"/>
          <w:szCs w:val="19"/>
        </w:rPr>
        <w:t>14</w:t>
      </w:r>
      <w:r w:rsidRPr="009A501D">
        <w:rPr>
          <w:rFonts w:ascii="Century Gothic" w:hAnsi="Century Gothic"/>
          <w:sz w:val="19"/>
          <w:szCs w:val="19"/>
        </w:rPr>
        <w:t xml:space="preserve"> ciclos que representan </w:t>
      </w:r>
      <w:r w:rsidR="00FA48BF" w:rsidRPr="009A501D">
        <w:rPr>
          <w:rFonts w:ascii="Century Gothic" w:hAnsi="Century Gothic"/>
          <w:sz w:val="19"/>
          <w:szCs w:val="19"/>
        </w:rPr>
        <w:t>56</w:t>
      </w:r>
      <w:r w:rsidRPr="009A501D">
        <w:rPr>
          <w:rFonts w:ascii="Century Gothic" w:hAnsi="Century Gothic"/>
          <w:sz w:val="19"/>
          <w:szCs w:val="19"/>
        </w:rPr>
        <w:t xml:space="preserve"> indicadores esperados a ser reportados</w:t>
      </w:r>
      <w:r w:rsidR="005E27AF" w:rsidRPr="009A501D">
        <w:rPr>
          <w:rFonts w:ascii="Century Gothic" w:hAnsi="Century Gothic"/>
          <w:sz w:val="19"/>
          <w:szCs w:val="19"/>
        </w:rPr>
        <w:t xml:space="preserve">. </w:t>
      </w:r>
      <w:r w:rsidR="008E34C7" w:rsidRPr="009A501D">
        <w:rPr>
          <w:rFonts w:ascii="Century Gothic" w:hAnsi="Century Gothic"/>
          <w:sz w:val="19"/>
          <w:szCs w:val="19"/>
        </w:rPr>
        <w:t xml:space="preserve">No obstante, </w:t>
      </w:r>
      <w:r w:rsidR="002C37C6" w:rsidRPr="009A501D">
        <w:rPr>
          <w:rFonts w:ascii="Century Gothic" w:hAnsi="Century Gothic"/>
          <w:sz w:val="19"/>
          <w:szCs w:val="19"/>
        </w:rPr>
        <w:t xml:space="preserve">sólo fue reportado </w:t>
      </w:r>
      <w:r w:rsidRPr="009A501D">
        <w:rPr>
          <w:rFonts w:ascii="Century Gothic" w:hAnsi="Century Gothic"/>
          <w:sz w:val="19"/>
          <w:szCs w:val="19"/>
        </w:rPr>
        <w:t xml:space="preserve">el </w:t>
      </w:r>
      <w:r w:rsidR="00FA48BF" w:rsidRPr="009A501D">
        <w:rPr>
          <w:rFonts w:ascii="Century Gothic" w:hAnsi="Century Gothic"/>
          <w:sz w:val="19"/>
          <w:szCs w:val="19"/>
        </w:rPr>
        <w:t>30</w:t>
      </w:r>
      <w:r w:rsidRPr="009A501D">
        <w:rPr>
          <w:rFonts w:ascii="Century Gothic" w:hAnsi="Century Gothic"/>
          <w:sz w:val="19"/>
          <w:szCs w:val="19"/>
        </w:rPr>
        <w:t>% de los indicadores esperados</w:t>
      </w:r>
      <w:r w:rsidR="002C37C6" w:rsidRPr="009A501D">
        <w:rPr>
          <w:rFonts w:ascii="Century Gothic" w:hAnsi="Century Gothic"/>
          <w:sz w:val="19"/>
          <w:szCs w:val="19"/>
        </w:rPr>
        <w:t xml:space="preserve"> (ver </w:t>
      </w:r>
      <w:r w:rsidR="00497209" w:rsidRPr="009A501D">
        <w:rPr>
          <w:rFonts w:ascii="Century Gothic" w:hAnsi="Century Gothic"/>
          <w:sz w:val="19"/>
          <w:szCs w:val="19"/>
        </w:rPr>
        <w:t>cuadro A.4.5)</w:t>
      </w:r>
      <w:r w:rsidRPr="009A501D">
        <w:rPr>
          <w:rFonts w:ascii="Century Gothic" w:hAnsi="Century Gothic"/>
          <w:sz w:val="19"/>
          <w:szCs w:val="19"/>
        </w:rPr>
        <w:t>.</w:t>
      </w:r>
    </w:p>
    <w:p w14:paraId="4B205511" w14:textId="5B544ED9" w:rsidR="00AE6C80" w:rsidRPr="009A501D" w:rsidRDefault="00AE6C80" w:rsidP="00497209">
      <w:pPr>
        <w:ind w:firstLine="720"/>
        <w:jc w:val="center"/>
        <w:rPr>
          <w:rFonts w:ascii="Century Gothic" w:hAnsi="Century Gothic"/>
          <w:b/>
          <w:sz w:val="19"/>
          <w:szCs w:val="19"/>
        </w:rPr>
      </w:pPr>
      <w:r w:rsidRPr="009A501D">
        <w:rPr>
          <w:rFonts w:ascii="Century Gothic" w:hAnsi="Century Gothic" w:cstheme="majorHAnsi"/>
          <w:b/>
          <w:sz w:val="19"/>
          <w:szCs w:val="19"/>
        </w:rPr>
        <w:t xml:space="preserve">A.4.5. </w:t>
      </w:r>
      <w:r w:rsidRPr="009A501D">
        <w:rPr>
          <w:rFonts w:ascii="Century Gothic" w:hAnsi="Century Gothic"/>
          <w:b/>
          <w:sz w:val="19"/>
          <w:szCs w:val="19"/>
        </w:rPr>
        <w:t>Ciclos de censos que fueron publicados en 2022 y que debieron reportar indicadores de precisión estadística</w:t>
      </w:r>
    </w:p>
    <w:tbl>
      <w:tblPr>
        <w:tblW w:w="12820" w:type="dxa"/>
        <w:jc w:val="center"/>
        <w:tblCellMar>
          <w:left w:w="70" w:type="dxa"/>
          <w:right w:w="70" w:type="dxa"/>
        </w:tblCellMar>
        <w:tblLook w:val="04A0" w:firstRow="1" w:lastRow="0" w:firstColumn="1" w:lastColumn="0" w:noHBand="0" w:noVBand="1"/>
      </w:tblPr>
      <w:tblGrid>
        <w:gridCol w:w="1240"/>
        <w:gridCol w:w="1240"/>
        <w:gridCol w:w="1600"/>
        <w:gridCol w:w="1240"/>
        <w:gridCol w:w="1240"/>
        <w:gridCol w:w="1240"/>
        <w:gridCol w:w="1240"/>
        <w:gridCol w:w="1240"/>
        <w:gridCol w:w="1300"/>
        <w:gridCol w:w="1296"/>
      </w:tblGrid>
      <w:tr w:rsidR="00AE6C80" w:rsidRPr="009A501D" w14:paraId="3EF9AE89" w14:textId="77777777" w:rsidTr="00BC774F">
        <w:trPr>
          <w:trHeight w:val="284"/>
          <w:tblHeader/>
          <w:jc w:val="center"/>
        </w:trPr>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26C4D6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FE18B21" w14:textId="443CD8E1"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16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AA36BB9"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A68601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Ciclos publicados 2022</w:t>
            </w:r>
          </w:p>
        </w:tc>
        <w:tc>
          <w:tcPr>
            <w:tcW w:w="75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513A2712"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Reporte de Indicadores de Precisión Estadística (IPE)</w:t>
            </w:r>
          </w:p>
        </w:tc>
      </w:tr>
      <w:tr w:rsidR="00AE6C80" w:rsidRPr="009A501D" w14:paraId="66AA5ECD" w14:textId="77777777" w:rsidTr="00BC774F">
        <w:trPr>
          <w:trHeight w:val="284"/>
          <w:tblHeader/>
          <w:jc w:val="center"/>
        </w:trPr>
        <w:tc>
          <w:tcPr>
            <w:tcW w:w="12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A9A52D" w14:textId="77777777" w:rsidR="00AE6C80" w:rsidRPr="009A501D" w:rsidRDefault="00AE6C80" w:rsidP="00D858E6">
            <w:pPr>
              <w:spacing w:after="0"/>
              <w:rPr>
                <w:rFonts w:ascii="Century Gothic" w:hAnsi="Century Gothic" w:cs="Calibri"/>
                <w:b/>
                <w:color w:val="FFFFFF"/>
                <w:sz w:val="16"/>
                <w:szCs w:val="16"/>
              </w:rPr>
            </w:pPr>
          </w:p>
        </w:tc>
        <w:tc>
          <w:tcPr>
            <w:tcW w:w="12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3255F1" w14:textId="77777777" w:rsidR="00AE6C80" w:rsidRPr="009A501D" w:rsidRDefault="00AE6C80" w:rsidP="00D858E6">
            <w:pPr>
              <w:spacing w:after="0"/>
              <w:rPr>
                <w:rFonts w:ascii="Century Gothic" w:hAnsi="Century Gothic" w:cs="Calibri"/>
                <w:b/>
                <w:color w:val="FFFFFF"/>
                <w:sz w:val="16"/>
                <w:szCs w:val="16"/>
              </w:rPr>
            </w:pPr>
          </w:p>
        </w:tc>
        <w:tc>
          <w:tcPr>
            <w:tcW w:w="160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17A091" w14:textId="77777777" w:rsidR="00AE6C80" w:rsidRPr="009A501D" w:rsidRDefault="00AE6C80" w:rsidP="00D858E6">
            <w:pPr>
              <w:spacing w:after="0"/>
              <w:rPr>
                <w:rFonts w:ascii="Century Gothic" w:hAnsi="Century Gothic" w:cs="Calibri"/>
                <w:b/>
                <w:color w:val="FFFFFF"/>
                <w:sz w:val="16"/>
                <w:szCs w:val="16"/>
              </w:rPr>
            </w:pPr>
          </w:p>
        </w:tc>
        <w:tc>
          <w:tcPr>
            <w:tcW w:w="12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77C659" w14:textId="77777777" w:rsidR="00AE6C80" w:rsidRPr="009A501D" w:rsidRDefault="00AE6C80" w:rsidP="00D858E6">
            <w:pPr>
              <w:spacing w:after="0"/>
              <w:rPr>
                <w:rFonts w:ascii="Century Gothic" w:hAnsi="Century Gothic" w:cs="Calibri"/>
                <w:b/>
                <w:color w:val="FFFFFF"/>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3011ED8" w14:textId="5816D8FF" w:rsidR="00AE6C80" w:rsidRPr="009A501D" w:rsidRDefault="00923A46" w:rsidP="00D858E6">
            <w:pPr>
              <w:spacing w:after="0"/>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E</w:t>
            </w:r>
            <w:r w:rsidR="00AE6C80" w:rsidRPr="009A501D">
              <w:rPr>
                <w:rFonts w:ascii="Century Gothic" w:hAnsi="Century Gothic" w:cs="Calibri"/>
                <w:b/>
                <w:bCs/>
                <w:color w:val="FFFFFF"/>
                <w:sz w:val="16"/>
                <w:szCs w:val="16"/>
              </w:rPr>
              <w:t>sperados</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D092E7F" w14:textId="4B9CD4C1" w:rsidR="00AE6C80" w:rsidRPr="009A501D" w:rsidRDefault="00923A46" w:rsidP="00D858E6">
            <w:pPr>
              <w:spacing w:after="0"/>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R</w:t>
            </w:r>
            <w:r w:rsidR="00AE6C80" w:rsidRPr="009A501D">
              <w:rPr>
                <w:rFonts w:ascii="Century Gothic" w:hAnsi="Century Gothic" w:cs="Calibri"/>
                <w:b/>
                <w:bCs/>
                <w:color w:val="FFFFFF"/>
                <w:sz w:val="16"/>
                <w:szCs w:val="16"/>
              </w:rPr>
              <w:t xml:space="preserve">ecibidos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FDA"/>
            <w:vAlign w:val="center"/>
            <w:hideMark/>
          </w:tcPr>
          <w:p w14:paraId="34497283" w14:textId="77777777" w:rsidR="00AE6C80" w:rsidRPr="009A501D" w:rsidRDefault="00AE6C80" w:rsidP="00D858E6">
            <w:pPr>
              <w:spacing w:after="0"/>
              <w:jc w:val="center"/>
              <w:rPr>
                <w:rFonts w:ascii="Century Gothic" w:hAnsi="Century Gothic" w:cs="Calibri"/>
                <w:b/>
                <w:sz w:val="16"/>
                <w:szCs w:val="16"/>
              </w:rPr>
            </w:pPr>
            <w:r w:rsidRPr="009A501D">
              <w:rPr>
                <w:rFonts w:ascii="Century Gothic" w:hAnsi="Century Gothic" w:cs="Calibri"/>
                <w:b/>
                <w:sz w:val="16"/>
                <w:szCs w:val="16"/>
              </w:rPr>
              <w:t>En Tiempo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2CC"/>
            <w:vAlign w:val="center"/>
            <w:hideMark/>
          </w:tcPr>
          <w:p w14:paraId="00BAE429" w14:textId="77777777" w:rsidR="00AE6C80" w:rsidRPr="009A501D" w:rsidRDefault="00AE6C80" w:rsidP="00D858E6">
            <w:pPr>
              <w:spacing w:after="0"/>
              <w:jc w:val="center"/>
              <w:rPr>
                <w:rFonts w:ascii="Century Gothic" w:hAnsi="Century Gothic" w:cs="Calibri"/>
                <w:b/>
                <w:sz w:val="16"/>
                <w:szCs w:val="16"/>
              </w:rPr>
            </w:pPr>
            <w:r w:rsidRPr="009A501D">
              <w:rPr>
                <w:rFonts w:ascii="Century Gothic" w:hAnsi="Century Gothic" w:cs="Calibri"/>
                <w:b/>
                <w:sz w:val="16"/>
                <w:szCs w:val="16"/>
              </w:rPr>
              <w:t>Retraso</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4D6"/>
            <w:vAlign w:val="center"/>
            <w:hideMark/>
          </w:tcPr>
          <w:p w14:paraId="1CCFA0D5" w14:textId="77777777" w:rsidR="00AE6C80" w:rsidRPr="009A501D" w:rsidRDefault="00AE6C80" w:rsidP="00D858E6">
            <w:pPr>
              <w:spacing w:after="0"/>
              <w:jc w:val="center"/>
              <w:rPr>
                <w:rFonts w:ascii="Century Gothic" w:hAnsi="Century Gothic" w:cs="Calibri"/>
                <w:b/>
                <w:sz w:val="16"/>
                <w:szCs w:val="16"/>
              </w:rPr>
            </w:pPr>
            <w:r w:rsidRPr="009A501D">
              <w:rPr>
                <w:rFonts w:ascii="Century Gothic" w:hAnsi="Century Gothic" w:cs="Calibri"/>
                <w:b/>
                <w:sz w:val="16"/>
                <w:szCs w:val="16"/>
              </w:rPr>
              <w:t>No Entregado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459DE19" w14:textId="25BB91C0" w:rsidR="00AE6C80" w:rsidRPr="009A501D" w:rsidRDefault="00923A46" w:rsidP="00D858E6">
            <w:pPr>
              <w:spacing w:after="0"/>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R</w:t>
            </w:r>
            <w:r w:rsidR="00AE6C80" w:rsidRPr="009A501D">
              <w:rPr>
                <w:rFonts w:ascii="Century Gothic" w:hAnsi="Century Gothic" w:cs="Calibri"/>
                <w:b/>
                <w:bCs/>
                <w:color w:val="FFFFFF"/>
                <w:sz w:val="16"/>
                <w:szCs w:val="16"/>
              </w:rPr>
              <w:t>eemplazados</w:t>
            </w:r>
          </w:p>
        </w:tc>
      </w:tr>
      <w:tr w:rsidR="00AE6C80" w:rsidRPr="009A501D" w14:paraId="54B68C08"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03CE6B"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A12A09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CNGMD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7A7596F"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1EC0F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8DE25D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5F707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6A75B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C32203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0B46D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AA2E1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36674757"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A26F5C8"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3AFE28E"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CNDHE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9346D0"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610829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26F8DD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CA12B8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E108DC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C1BBEC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F725D5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172A66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01E46D8D"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28A0BC"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AB14C1"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CNDHF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647FC65"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2AA5EB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D00A33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C8358A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5ED551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CE70DD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70A651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4D6075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51358094"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34B5EA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D7A77B2"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E4EC866"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6AB7B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C16A5F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BEA07D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C3AA5E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0FB8BF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D35AF7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F984FA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73B78A22"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929AB7"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F461600"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C6EEB1"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0BFDD5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B9AE86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0D2D88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3C907A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37B1B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DA992B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6E837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53B2CB59"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33B22E0"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EB5D432"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CNIJE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09A86C9"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331BA5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5C675F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9A8872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156D29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ADAC83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640F26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4A11BC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4A8F8134"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30086D"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BFF11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CNIJF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90379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B0DBC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ECC8F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E6C43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002179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501A1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B06494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3565C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6F00072F"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E5C7AFC"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CE7003F"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CNPJE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5013D8B"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A2AA0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A60BE2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C6BDD8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11F159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8CBBB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0B391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39A3C1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23782003"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F208531"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A29107"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CNPJF*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A2867E"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E7E8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1879C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04896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17300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89A0B3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ADA0F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05D98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70DFDD76"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270DD7E"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EEE12C6"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CNSIPEE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E53144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43D427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D2C30F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3603EB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E51CB9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2FD328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68865D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9B7F28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r>
      <w:tr w:rsidR="00AE6C80" w:rsidRPr="009A501D" w14:paraId="660FC489"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73FEF7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AD20B15"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CNSIPEF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7000B94"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7C91CA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5C540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10A74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EEFA2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FEB6E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BC945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8948DC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524A7752"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5F3B349"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131A021"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CNSPE</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7D8FD10"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A71180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FB33D0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A39EF4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9CF1D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EF6EC4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1D2F62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538E23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7824A0AA" w14:textId="77777777" w:rsidTr="00BC774F">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D078DB"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B92AE6"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CNSPF*</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AF7C05"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3583B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A0ACA4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AFF456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E15ABE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70749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359D1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D9873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36C21E15" w14:textId="77777777" w:rsidTr="004C2495">
        <w:trPr>
          <w:trHeight w:val="284"/>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34A49A"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E9B71BF"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CJM*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C67A95E"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FD9541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F7BC12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9AD19D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C4CA1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88A63D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0244C5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B91E31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04D57C02" w14:textId="77777777" w:rsidTr="00BC774F">
        <w:trPr>
          <w:trHeight w:val="284"/>
          <w:jc w:val="center"/>
        </w:trPr>
        <w:tc>
          <w:tcPr>
            <w:tcW w:w="408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5008E9F7" w14:textId="77777777" w:rsidR="00AE6C80" w:rsidRPr="009A501D" w:rsidRDefault="00AE6C80" w:rsidP="00D858E6">
            <w:pPr>
              <w:spacing w:after="0"/>
              <w:jc w:val="right"/>
              <w:rPr>
                <w:rFonts w:ascii="Century Gothic" w:hAnsi="Century Gothic" w:cs="Calibri"/>
                <w:b/>
                <w:color w:val="FFFFFF"/>
                <w:sz w:val="16"/>
                <w:szCs w:val="16"/>
              </w:rPr>
            </w:pPr>
            <w:r w:rsidRPr="009A501D">
              <w:rPr>
                <w:rFonts w:ascii="Century Gothic" w:hAnsi="Century Gothic" w:cs="Calibri"/>
                <w:b/>
                <w:color w:val="FFFFFF"/>
                <w:sz w:val="16"/>
                <w:szCs w:val="16"/>
              </w:rPr>
              <w:t>Total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0104768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14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23432189"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56</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616A431C"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17</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49D734F"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675D6FAB"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14</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0691E86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39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268CDBB5"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5</w:t>
            </w:r>
          </w:p>
        </w:tc>
      </w:tr>
      <w:tr w:rsidR="00AE6C80" w:rsidRPr="009A501D" w14:paraId="0B771DFD" w14:textId="77777777" w:rsidTr="00BC774F">
        <w:trPr>
          <w:trHeight w:val="284"/>
          <w:jc w:val="center"/>
        </w:trPr>
        <w:tc>
          <w:tcPr>
            <w:tcW w:w="532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0D03169F" w14:textId="77777777" w:rsidR="00AE6C80" w:rsidRPr="009A501D" w:rsidRDefault="00AE6C80" w:rsidP="00D858E6">
            <w:pPr>
              <w:spacing w:after="0"/>
              <w:jc w:val="right"/>
              <w:rPr>
                <w:rFonts w:ascii="Century Gothic" w:hAnsi="Century Gothic" w:cs="Calibri"/>
                <w:b/>
                <w:color w:val="FFFFFF"/>
                <w:sz w:val="16"/>
                <w:szCs w:val="16"/>
              </w:rPr>
            </w:pPr>
            <w:r w:rsidRPr="009A501D">
              <w:rPr>
                <w:rFonts w:ascii="Century Gothic" w:hAnsi="Century Gothic" w:cs="Calibri"/>
                <w:b/>
                <w:color w:val="FFFFFF"/>
                <w:sz w:val="16"/>
                <w:szCs w:val="16"/>
              </w:rPr>
              <w:t>Porcentaje del total esperados</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A878696"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100%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C430481"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30%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210A4CD"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5%</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138F2172"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25%</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7502C52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70%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0651CECC"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9%</w:t>
            </w:r>
          </w:p>
        </w:tc>
      </w:tr>
    </w:tbl>
    <w:p w14:paraId="73C61706" w14:textId="78AD9607" w:rsidR="00AE6C80" w:rsidRPr="009A501D" w:rsidRDefault="00AE6C80" w:rsidP="00664A1D">
      <w:pPr>
        <w:tabs>
          <w:tab w:val="left" w:pos="13608"/>
        </w:tabs>
        <w:spacing w:after="0"/>
        <w:ind w:left="720" w:right="933"/>
        <w:jc w:val="both"/>
        <w:rPr>
          <w:rFonts w:ascii="Century Gothic" w:hAnsi="Century Gothic" w:cstheme="majorHAnsi"/>
          <w:sz w:val="14"/>
          <w:szCs w:val="14"/>
        </w:rPr>
      </w:pPr>
      <w:r w:rsidRPr="009A501D">
        <w:rPr>
          <w:rFonts w:ascii="Century Gothic" w:hAnsi="Century Gothic" w:cs="Calibri"/>
          <w:sz w:val="14"/>
          <w:szCs w:val="14"/>
        </w:rPr>
        <w:t>*</w:t>
      </w:r>
      <w:r w:rsidR="00EC4113" w:rsidRPr="009A501D">
        <w:rPr>
          <w:rFonts w:ascii="Century Gothic" w:hAnsi="Century Gothic" w:cs="Calibri"/>
          <w:sz w:val="14"/>
          <w:szCs w:val="14"/>
        </w:rPr>
        <w:t>P</w:t>
      </w:r>
      <w:r w:rsidRPr="009A501D">
        <w:rPr>
          <w:rFonts w:ascii="Century Gothic" w:hAnsi="Century Gothic" w:cs="Calibri"/>
          <w:sz w:val="14"/>
          <w:szCs w:val="14"/>
        </w:rPr>
        <w:t xml:space="preserve">rocesos de </w:t>
      </w:r>
      <w:r w:rsidR="00923A46" w:rsidRPr="009A501D">
        <w:rPr>
          <w:rFonts w:ascii="Century Gothic" w:hAnsi="Century Gothic" w:cs="Calibri"/>
          <w:sz w:val="14"/>
          <w:szCs w:val="14"/>
        </w:rPr>
        <w:t>producción</w:t>
      </w:r>
      <w:r w:rsidRPr="009A501D">
        <w:rPr>
          <w:rFonts w:ascii="Century Gothic" w:hAnsi="Century Gothic" w:cs="Calibri"/>
          <w:sz w:val="14"/>
          <w:szCs w:val="14"/>
        </w:rPr>
        <w:t xml:space="preserve"> con ciclos publicados no comprometidos en el Calendario de </w:t>
      </w:r>
      <w:r w:rsidR="00C11608" w:rsidRPr="009A501D">
        <w:rPr>
          <w:rFonts w:ascii="Century Gothic" w:hAnsi="Century Gothic" w:cs="Calibri"/>
          <w:sz w:val="14"/>
          <w:szCs w:val="14"/>
        </w:rPr>
        <w:t>d</w:t>
      </w:r>
      <w:r w:rsidRPr="009A501D">
        <w:rPr>
          <w:rFonts w:ascii="Century Gothic" w:hAnsi="Century Gothic" w:cs="Calibri"/>
          <w:sz w:val="14"/>
          <w:szCs w:val="14"/>
        </w:rPr>
        <w:t>ifusión 2022.</w:t>
      </w:r>
    </w:p>
    <w:p w14:paraId="494ED9E2" w14:textId="10D727CD" w:rsidR="009A1CC8" w:rsidRPr="009A501D" w:rsidRDefault="00AE6C80" w:rsidP="00103B95">
      <w:pPr>
        <w:spacing w:before="240"/>
        <w:jc w:val="both"/>
        <w:rPr>
          <w:rFonts w:ascii="Century Gothic" w:hAnsi="Century Gothic"/>
          <w:sz w:val="19"/>
          <w:szCs w:val="19"/>
        </w:rPr>
      </w:pPr>
      <w:r w:rsidRPr="009A501D">
        <w:rPr>
          <w:rFonts w:ascii="Century Gothic" w:hAnsi="Century Gothic"/>
          <w:sz w:val="19"/>
          <w:szCs w:val="19"/>
        </w:rPr>
        <w:t>En este sentido, se han detectado algunas problemáticas para el cálculo y reporte de los</w:t>
      </w:r>
      <w:r w:rsidR="00985A3B" w:rsidRPr="009A501D">
        <w:rPr>
          <w:rFonts w:ascii="Century Gothic" w:hAnsi="Century Gothic"/>
          <w:sz w:val="19"/>
          <w:szCs w:val="19"/>
        </w:rPr>
        <w:t xml:space="preserve"> indicadores de </w:t>
      </w:r>
      <w:r w:rsidR="00C11608" w:rsidRPr="009A501D">
        <w:rPr>
          <w:rFonts w:ascii="Century Gothic" w:hAnsi="Century Gothic"/>
          <w:sz w:val="19"/>
          <w:szCs w:val="19"/>
        </w:rPr>
        <w:t>precisión</w:t>
      </w:r>
      <w:r w:rsidRPr="009A501D">
        <w:rPr>
          <w:rFonts w:ascii="Century Gothic" w:hAnsi="Century Gothic"/>
          <w:sz w:val="19"/>
          <w:szCs w:val="19"/>
        </w:rPr>
        <w:t xml:space="preserve"> faltantes</w:t>
      </w:r>
      <w:r w:rsidR="00F1269E" w:rsidRPr="009A501D">
        <w:rPr>
          <w:rFonts w:ascii="Century Gothic" w:hAnsi="Century Gothic"/>
          <w:sz w:val="19"/>
          <w:szCs w:val="19"/>
        </w:rPr>
        <w:t>.</w:t>
      </w:r>
      <w:r w:rsidRPr="009A501D">
        <w:rPr>
          <w:rFonts w:ascii="Century Gothic" w:hAnsi="Century Gothic"/>
          <w:sz w:val="19"/>
          <w:szCs w:val="19"/>
        </w:rPr>
        <w:t xml:space="preserve"> </w:t>
      </w:r>
      <w:r w:rsidR="00231875" w:rsidRPr="009A501D">
        <w:rPr>
          <w:rFonts w:ascii="Century Gothic" w:hAnsi="Century Gothic"/>
          <w:sz w:val="19"/>
          <w:szCs w:val="19"/>
        </w:rPr>
        <w:t>P</w:t>
      </w:r>
      <w:r w:rsidRPr="009A501D">
        <w:rPr>
          <w:rFonts w:ascii="Century Gothic" w:hAnsi="Century Gothic"/>
          <w:sz w:val="19"/>
          <w:szCs w:val="19"/>
        </w:rPr>
        <w:t xml:space="preserve">ara la </w:t>
      </w:r>
      <w:r w:rsidRPr="009A501D">
        <w:rPr>
          <w:rFonts w:ascii="Century Gothic" w:hAnsi="Century Gothic"/>
          <w:i/>
          <w:iCs/>
          <w:sz w:val="19"/>
          <w:szCs w:val="19"/>
        </w:rPr>
        <w:t>T</w:t>
      </w:r>
      <w:r w:rsidR="00231875" w:rsidRPr="009A501D">
        <w:rPr>
          <w:rFonts w:ascii="Century Gothic" w:hAnsi="Century Gothic"/>
          <w:i/>
          <w:iCs/>
          <w:sz w:val="19"/>
          <w:szCs w:val="19"/>
        </w:rPr>
        <w:t xml:space="preserve">asa de </w:t>
      </w:r>
      <w:r w:rsidR="00DE5B1E" w:rsidRPr="009A501D">
        <w:rPr>
          <w:rFonts w:ascii="Century Gothic" w:hAnsi="Century Gothic"/>
          <w:i/>
          <w:iCs/>
          <w:sz w:val="19"/>
          <w:szCs w:val="19"/>
        </w:rPr>
        <w:t>n</w:t>
      </w:r>
      <w:r w:rsidR="00231875" w:rsidRPr="009A501D">
        <w:rPr>
          <w:rFonts w:ascii="Century Gothic" w:hAnsi="Century Gothic"/>
          <w:i/>
          <w:iCs/>
          <w:sz w:val="19"/>
          <w:szCs w:val="19"/>
        </w:rPr>
        <w:t xml:space="preserve">o </w:t>
      </w:r>
      <w:r w:rsidR="00DE5B1E" w:rsidRPr="009A501D">
        <w:rPr>
          <w:rFonts w:ascii="Century Gothic" w:hAnsi="Century Gothic"/>
          <w:i/>
          <w:iCs/>
          <w:sz w:val="19"/>
          <w:szCs w:val="19"/>
        </w:rPr>
        <w:t>r</w:t>
      </w:r>
      <w:r w:rsidR="00231875" w:rsidRPr="009A501D">
        <w:rPr>
          <w:rFonts w:ascii="Century Gothic" w:hAnsi="Century Gothic"/>
          <w:i/>
          <w:iCs/>
          <w:sz w:val="19"/>
          <w:szCs w:val="19"/>
        </w:rPr>
        <w:t xml:space="preserve">espuesta </w:t>
      </w:r>
      <w:r w:rsidR="00CD0F65" w:rsidRPr="009A501D">
        <w:rPr>
          <w:rFonts w:ascii="Century Gothic" w:hAnsi="Century Gothic"/>
          <w:i/>
          <w:iCs/>
          <w:sz w:val="19"/>
          <w:szCs w:val="19"/>
        </w:rPr>
        <w:t>a nivel</w:t>
      </w:r>
      <w:r w:rsidR="00BA251F" w:rsidRPr="009A501D">
        <w:rPr>
          <w:rFonts w:ascii="Century Gothic" w:hAnsi="Century Gothic"/>
          <w:i/>
          <w:iCs/>
          <w:sz w:val="19"/>
          <w:szCs w:val="19"/>
        </w:rPr>
        <w:t xml:space="preserve"> </w:t>
      </w:r>
      <w:r w:rsidR="00DE5B1E" w:rsidRPr="009A501D">
        <w:rPr>
          <w:rFonts w:ascii="Century Gothic" w:hAnsi="Century Gothic"/>
          <w:i/>
          <w:iCs/>
          <w:sz w:val="19"/>
          <w:szCs w:val="19"/>
        </w:rPr>
        <w:t>u</w:t>
      </w:r>
      <w:r w:rsidR="00BA251F" w:rsidRPr="009A501D">
        <w:rPr>
          <w:rFonts w:ascii="Century Gothic" w:hAnsi="Century Gothic"/>
          <w:i/>
          <w:iCs/>
          <w:sz w:val="19"/>
          <w:szCs w:val="19"/>
        </w:rPr>
        <w:t xml:space="preserve">nidad </w:t>
      </w:r>
      <w:r w:rsidR="009907C1" w:rsidRPr="009A501D">
        <w:rPr>
          <w:rFonts w:ascii="Century Gothic" w:hAnsi="Century Gothic"/>
          <w:i/>
          <w:iCs/>
          <w:sz w:val="19"/>
          <w:szCs w:val="19"/>
        </w:rPr>
        <w:t xml:space="preserve">de </w:t>
      </w:r>
      <w:r w:rsidR="00DE5B1E" w:rsidRPr="009A501D">
        <w:rPr>
          <w:rFonts w:ascii="Century Gothic" w:hAnsi="Century Gothic"/>
          <w:i/>
          <w:iCs/>
          <w:sz w:val="19"/>
          <w:szCs w:val="19"/>
        </w:rPr>
        <w:t>o</w:t>
      </w:r>
      <w:r w:rsidR="009907C1" w:rsidRPr="009A501D">
        <w:rPr>
          <w:rFonts w:ascii="Century Gothic" w:hAnsi="Century Gothic"/>
          <w:i/>
          <w:iCs/>
          <w:sz w:val="19"/>
          <w:szCs w:val="19"/>
        </w:rPr>
        <w:t xml:space="preserve">bservación </w:t>
      </w:r>
      <w:r w:rsidR="00BA251F" w:rsidRPr="009A501D">
        <w:rPr>
          <w:rFonts w:ascii="Century Gothic" w:hAnsi="Century Gothic"/>
          <w:i/>
          <w:iCs/>
          <w:sz w:val="19"/>
          <w:szCs w:val="19"/>
        </w:rPr>
        <w:t xml:space="preserve">antes de </w:t>
      </w:r>
      <w:r w:rsidR="00DE5B1E" w:rsidRPr="009A501D">
        <w:rPr>
          <w:rFonts w:ascii="Century Gothic" w:hAnsi="Century Gothic"/>
          <w:i/>
          <w:iCs/>
          <w:sz w:val="19"/>
          <w:szCs w:val="19"/>
        </w:rPr>
        <w:t>i</w:t>
      </w:r>
      <w:r w:rsidR="00BA251F" w:rsidRPr="009A501D">
        <w:rPr>
          <w:rFonts w:ascii="Century Gothic" w:hAnsi="Century Gothic"/>
          <w:i/>
          <w:iCs/>
          <w:sz w:val="19"/>
          <w:szCs w:val="19"/>
        </w:rPr>
        <w:t>mputación (TNRU</w:t>
      </w:r>
      <w:r w:rsidR="00393BA1" w:rsidRPr="009A501D">
        <w:rPr>
          <w:rFonts w:ascii="Century Gothic" w:hAnsi="Century Gothic"/>
          <w:i/>
          <w:iCs/>
          <w:sz w:val="19"/>
          <w:szCs w:val="19"/>
        </w:rPr>
        <w:t>AI)</w:t>
      </w:r>
      <w:r w:rsidRPr="009A501D">
        <w:rPr>
          <w:rFonts w:ascii="Century Gothic" w:hAnsi="Century Gothic"/>
          <w:sz w:val="19"/>
          <w:szCs w:val="19"/>
        </w:rPr>
        <w:t xml:space="preserve"> se </w:t>
      </w:r>
      <w:r w:rsidR="00393BA1" w:rsidRPr="009A501D">
        <w:rPr>
          <w:rFonts w:ascii="Century Gothic" w:hAnsi="Century Gothic"/>
          <w:sz w:val="19"/>
          <w:szCs w:val="19"/>
        </w:rPr>
        <w:t>ha dificultado</w:t>
      </w:r>
      <w:r w:rsidRPr="009A501D">
        <w:rPr>
          <w:rFonts w:ascii="Century Gothic" w:hAnsi="Century Gothic"/>
          <w:sz w:val="19"/>
          <w:szCs w:val="19"/>
        </w:rPr>
        <w:t xml:space="preserve"> </w:t>
      </w:r>
      <w:r w:rsidR="00393BA1" w:rsidRPr="009A501D">
        <w:rPr>
          <w:rFonts w:ascii="Century Gothic" w:hAnsi="Century Gothic"/>
          <w:sz w:val="19"/>
          <w:szCs w:val="19"/>
        </w:rPr>
        <w:t xml:space="preserve">la </w:t>
      </w:r>
      <w:r w:rsidRPr="009A501D">
        <w:rPr>
          <w:rFonts w:ascii="Century Gothic" w:hAnsi="Century Gothic"/>
          <w:sz w:val="19"/>
          <w:szCs w:val="19"/>
        </w:rPr>
        <w:t>identifica</w:t>
      </w:r>
      <w:r w:rsidR="00393BA1" w:rsidRPr="009A501D">
        <w:rPr>
          <w:rFonts w:ascii="Century Gothic" w:hAnsi="Century Gothic"/>
          <w:sz w:val="19"/>
          <w:szCs w:val="19"/>
        </w:rPr>
        <w:t>ción de</w:t>
      </w:r>
      <w:r w:rsidRPr="009A501D">
        <w:rPr>
          <w:rFonts w:ascii="Century Gothic" w:hAnsi="Century Gothic"/>
          <w:sz w:val="19"/>
          <w:szCs w:val="19"/>
        </w:rPr>
        <w:t xml:space="preserve"> las unidades de observación, sin embargo, la unidad de análisis y la unidad de observación suelen ser la misma en el caso de los censos</w:t>
      </w:r>
      <w:r w:rsidR="00CE289A" w:rsidRPr="009A501D">
        <w:rPr>
          <w:rFonts w:ascii="Century Gothic" w:hAnsi="Century Gothic"/>
          <w:sz w:val="19"/>
          <w:szCs w:val="19"/>
        </w:rPr>
        <w:t xml:space="preserve"> de gobierno</w:t>
      </w:r>
      <w:r w:rsidR="0092696D" w:rsidRPr="009A501D">
        <w:rPr>
          <w:rFonts w:ascii="Century Gothic" w:hAnsi="Century Gothic"/>
          <w:sz w:val="19"/>
          <w:szCs w:val="19"/>
        </w:rPr>
        <w:t>.</w:t>
      </w:r>
      <w:r w:rsidRPr="009A501D">
        <w:rPr>
          <w:rFonts w:ascii="Century Gothic" w:hAnsi="Century Gothic"/>
          <w:sz w:val="19"/>
          <w:szCs w:val="19"/>
        </w:rPr>
        <w:t xml:space="preserve"> </w:t>
      </w:r>
      <w:r w:rsidR="00857689" w:rsidRPr="009A501D">
        <w:rPr>
          <w:rFonts w:ascii="Century Gothic" w:hAnsi="Century Gothic"/>
          <w:sz w:val="19"/>
          <w:szCs w:val="19"/>
        </w:rPr>
        <w:t>Por otro lado, no se han reportado</w:t>
      </w:r>
      <w:r w:rsidR="006F5DA9" w:rsidRPr="009A501D">
        <w:rPr>
          <w:rFonts w:ascii="Century Gothic" w:hAnsi="Century Gothic"/>
          <w:sz w:val="19"/>
          <w:szCs w:val="19"/>
        </w:rPr>
        <w:t xml:space="preserve"> la</w:t>
      </w:r>
      <w:r w:rsidRPr="009A501D">
        <w:rPr>
          <w:rFonts w:ascii="Century Gothic" w:hAnsi="Century Gothic"/>
          <w:sz w:val="19"/>
          <w:szCs w:val="19"/>
        </w:rPr>
        <w:t xml:space="preserve"> </w:t>
      </w:r>
      <w:r w:rsidRPr="009A501D">
        <w:rPr>
          <w:rFonts w:ascii="Century Gothic" w:hAnsi="Century Gothic"/>
          <w:i/>
          <w:iCs/>
          <w:sz w:val="19"/>
          <w:szCs w:val="19"/>
        </w:rPr>
        <w:t>T</w:t>
      </w:r>
      <w:r w:rsidR="006F5DA9" w:rsidRPr="009A501D">
        <w:rPr>
          <w:rFonts w:ascii="Century Gothic" w:hAnsi="Century Gothic"/>
          <w:i/>
          <w:iCs/>
          <w:sz w:val="19"/>
          <w:szCs w:val="19"/>
        </w:rPr>
        <w:t xml:space="preserve">asa de </w:t>
      </w:r>
      <w:r w:rsidR="00DE5B1E" w:rsidRPr="009A501D">
        <w:rPr>
          <w:rFonts w:ascii="Century Gothic" w:hAnsi="Century Gothic"/>
          <w:i/>
          <w:iCs/>
          <w:sz w:val="19"/>
          <w:szCs w:val="19"/>
        </w:rPr>
        <w:t>i</w:t>
      </w:r>
      <w:r w:rsidR="006F5DA9" w:rsidRPr="009A501D">
        <w:rPr>
          <w:rFonts w:ascii="Century Gothic" w:hAnsi="Century Gothic"/>
          <w:i/>
          <w:iCs/>
          <w:sz w:val="19"/>
          <w:szCs w:val="19"/>
        </w:rPr>
        <w:t>mputación (TI)</w:t>
      </w:r>
      <w:r w:rsidRPr="009A501D">
        <w:rPr>
          <w:rFonts w:ascii="Century Gothic" w:hAnsi="Century Gothic"/>
          <w:sz w:val="19"/>
          <w:szCs w:val="19"/>
        </w:rPr>
        <w:t xml:space="preserve"> y </w:t>
      </w:r>
      <w:r w:rsidR="006F5DA9" w:rsidRPr="009A501D">
        <w:rPr>
          <w:rFonts w:ascii="Century Gothic" w:hAnsi="Century Gothic"/>
          <w:sz w:val="19"/>
          <w:szCs w:val="19"/>
        </w:rPr>
        <w:t xml:space="preserve">la </w:t>
      </w:r>
      <w:r w:rsidRPr="009A501D">
        <w:rPr>
          <w:rFonts w:ascii="Century Gothic" w:hAnsi="Century Gothic"/>
          <w:i/>
          <w:iCs/>
          <w:sz w:val="19"/>
          <w:szCs w:val="19"/>
        </w:rPr>
        <w:t>T</w:t>
      </w:r>
      <w:r w:rsidR="006F5DA9" w:rsidRPr="009A501D">
        <w:rPr>
          <w:rFonts w:ascii="Century Gothic" w:hAnsi="Century Gothic"/>
          <w:i/>
          <w:iCs/>
          <w:sz w:val="19"/>
          <w:szCs w:val="19"/>
        </w:rPr>
        <w:t xml:space="preserve">asa de </w:t>
      </w:r>
      <w:r w:rsidR="00DE5B1E" w:rsidRPr="009A501D">
        <w:rPr>
          <w:rFonts w:ascii="Century Gothic" w:hAnsi="Century Gothic"/>
          <w:i/>
          <w:iCs/>
          <w:sz w:val="19"/>
          <w:szCs w:val="19"/>
        </w:rPr>
        <w:t>n</w:t>
      </w:r>
      <w:r w:rsidR="006F5DA9" w:rsidRPr="009A501D">
        <w:rPr>
          <w:rFonts w:ascii="Century Gothic" w:hAnsi="Century Gothic"/>
          <w:i/>
          <w:iCs/>
          <w:sz w:val="19"/>
          <w:szCs w:val="19"/>
        </w:rPr>
        <w:t xml:space="preserve">o </w:t>
      </w:r>
      <w:r w:rsidR="00DE5B1E" w:rsidRPr="009A501D">
        <w:rPr>
          <w:rFonts w:ascii="Century Gothic" w:hAnsi="Century Gothic"/>
          <w:i/>
          <w:iCs/>
          <w:sz w:val="19"/>
          <w:szCs w:val="19"/>
        </w:rPr>
        <w:t>r</w:t>
      </w:r>
      <w:r w:rsidR="006F5DA9" w:rsidRPr="009A501D">
        <w:rPr>
          <w:rFonts w:ascii="Century Gothic" w:hAnsi="Century Gothic"/>
          <w:i/>
          <w:iCs/>
          <w:sz w:val="19"/>
          <w:szCs w:val="19"/>
        </w:rPr>
        <w:t>espuesta</w:t>
      </w:r>
      <w:r w:rsidR="0054572C" w:rsidRPr="009A501D">
        <w:rPr>
          <w:rFonts w:ascii="Century Gothic" w:hAnsi="Century Gothic"/>
          <w:i/>
          <w:iCs/>
          <w:sz w:val="19"/>
          <w:szCs w:val="19"/>
        </w:rPr>
        <w:t xml:space="preserve"> a </w:t>
      </w:r>
      <w:r w:rsidR="001E20FE" w:rsidRPr="009A501D">
        <w:rPr>
          <w:rFonts w:ascii="Century Gothic" w:hAnsi="Century Gothic"/>
          <w:i/>
          <w:iCs/>
          <w:sz w:val="19"/>
          <w:szCs w:val="19"/>
        </w:rPr>
        <w:t>n</w:t>
      </w:r>
      <w:r w:rsidR="0054572C" w:rsidRPr="009A501D">
        <w:rPr>
          <w:rFonts w:ascii="Century Gothic" w:hAnsi="Century Gothic"/>
          <w:i/>
          <w:iCs/>
          <w:sz w:val="19"/>
          <w:szCs w:val="19"/>
        </w:rPr>
        <w:t xml:space="preserve">ivel </w:t>
      </w:r>
      <w:r w:rsidR="00DE5B1E" w:rsidRPr="009A501D">
        <w:rPr>
          <w:rFonts w:ascii="Century Gothic" w:hAnsi="Century Gothic"/>
          <w:i/>
          <w:iCs/>
          <w:sz w:val="19"/>
          <w:szCs w:val="19"/>
        </w:rPr>
        <w:t>u</w:t>
      </w:r>
      <w:r w:rsidR="001E20FE" w:rsidRPr="009A501D">
        <w:rPr>
          <w:rFonts w:ascii="Century Gothic" w:hAnsi="Century Gothic"/>
          <w:i/>
          <w:iCs/>
          <w:sz w:val="19"/>
          <w:szCs w:val="19"/>
        </w:rPr>
        <w:t xml:space="preserve">nidad de </w:t>
      </w:r>
      <w:r w:rsidR="00DE5B1E" w:rsidRPr="009A501D">
        <w:rPr>
          <w:rFonts w:ascii="Century Gothic" w:hAnsi="Century Gothic"/>
          <w:i/>
          <w:iCs/>
          <w:sz w:val="19"/>
          <w:szCs w:val="19"/>
        </w:rPr>
        <w:t>o</w:t>
      </w:r>
      <w:r w:rsidR="001E20FE" w:rsidRPr="009A501D">
        <w:rPr>
          <w:rFonts w:ascii="Century Gothic" w:hAnsi="Century Gothic"/>
          <w:i/>
          <w:iCs/>
          <w:sz w:val="19"/>
          <w:szCs w:val="19"/>
        </w:rPr>
        <w:t>bservación después de imputación</w:t>
      </w:r>
      <w:r w:rsidR="00DE5B1E" w:rsidRPr="009A501D">
        <w:rPr>
          <w:rFonts w:ascii="Century Gothic" w:hAnsi="Century Gothic"/>
          <w:i/>
          <w:iCs/>
          <w:sz w:val="19"/>
          <w:szCs w:val="19"/>
        </w:rPr>
        <w:t xml:space="preserve"> (TNRUDI)</w:t>
      </w:r>
      <w:r w:rsidR="00515DE6" w:rsidRPr="009A501D">
        <w:rPr>
          <w:rFonts w:ascii="Century Gothic" w:hAnsi="Century Gothic"/>
          <w:i/>
          <w:iCs/>
          <w:sz w:val="19"/>
          <w:szCs w:val="19"/>
        </w:rPr>
        <w:t>,</w:t>
      </w:r>
      <w:r w:rsidR="00896614" w:rsidRPr="009A501D">
        <w:rPr>
          <w:rFonts w:ascii="Century Gothic" w:hAnsi="Century Gothic"/>
          <w:sz w:val="19"/>
          <w:szCs w:val="19"/>
        </w:rPr>
        <w:t xml:space="preserve"> debido</w:t>
      </w:r>
      <w:r w:rsidR="007620D6" w:rsidRPr="009A501D">
        <w:rPr>
          <w:rFonts w:ascii="Century Gothic" w:hAnsi="Century Gothic"/>
          <w:sz w:val="19"/>
          <w:szCs w:val="19"/>
        </w:rPr>
        <w:t xml:space="preserve"> </w:t>
      </w:r>
      <w:r w:rsidR="00896614" w:rsidRPr="009A501D">
        <w:rPr>
          <w:rFonts w:ascii="Century Gothic" w:hAnsi="Century Gothic"/>
          <w:sz w:val="19"/>
          <w:szCs w:val="19"/>
        </w:rPr>
        <w:t xml:space="preserve">a que generalmente </w:t>
      </w:r>
      <w:r w:rsidRPr="009A501D">
        <w:rPr>
          <w:rFonts w:ascii="Century Gothic" w:hAnsi="Century Gothic"/>
          <w:sz w:val="19"/>
          <w:szCs w:val="19"/>
        </w:rPr>
        <w:t xml:space="preserve">no </w:t>
      </w:r>
      <w:r w:rsidR="00896614" w:rsidRPr="009A501D">
        <w:rPr>
          <w:rFonts w:ascii="Century Gothic" w:hAnsi="Century Gothic"/>
          <w:sz w:val="19"/>
          <w:szCs w:val="19"/>
        </w:rPr>
        <w:t xml:space="preserve">se </w:t>
      </w:r>
      <w:r w:rsidRPr="009A501D">
        <w:rPr>
          <w:rFonts w:ascii="Century Gothic" w:hAnsi="Century Gothic"/>
          <w:sz w:val="19"/>
          <w:szCs w:val="19"/>
        </w:rPr>
        <w:t>realiza</w:t>
      </w:r>
      <w:r w:rsidR="00896614" w:rsidRPr="009A501D">
        <w:rPr>
          <w:rFonts w:ascii="Century Gothic" w:hAnsi="Century Gothic"/>
          <w:sz w:val="19"/>
          <w:szCs w:val="19"/>
        </w:rPr>
        <w:t>n</w:t>
      </w:r>
      <w:r w:rsidRPr="009A501D">
        <w:rPr>
          <w:rFonts w:ascii="Century Gothic" w:hAnsi="Century Gothic"/>
          <w:sz w:val="19"/>
          <w:szCs w:val="19"/>
        </w:rPr>
        <w:t xml:space="preserve"> imputaciones, sin embargo, la TI deb</w:t>
      </w:r>
      <w:r w:rsidR="00515DE6" w:rsidRPr="009A501D">
        <w:rPr>
          <w:rFonts w:ascii="Century Gothic" w:hAnsi="Century Gothic"/>
          <w:sz w:val="19"/>
          <w:szCs w:val="19"/>
        </w:rPr>
        <w:t>ería</w:t>
      </w:r>
      <w:r w:rsidRPr="009A501D">
        <w:rPr>
          <w:rFonts w:ascii="Century Gothic" w:hAnsi="Century Gothic"/>
          <w:sz w:val="19"/>
          <w:szCs w:val="19"/>
        </w:rPr>
        <w:t xml:space="preserve"> reportar</w:t>
      </w:r>
      <w:r w:rsidR="00515DE6" w:rsidRPr="009A501D">
        <w:rPr>
          <w:rFonts w:ascii="Century Gothic" w:hAnsi="Century Gothic"/>
          <w:sz w:val="19"/>
          <w:szCs w:val="19"/>
        </w:rPr>
        <w:t>se</w:t>
      </w:r>
      <w:r w:rsidRPr="009A501D">
        <w:rPr>
          <w:rFonts w:ascii="Century Gothic" w:hAnsi="Century Gothic"/>
          <w:sz w:val="19"/>
          <w:szCs w:val="19"/>
        </w:rPr>
        <w:t xml:space="preserve"> en cero, </w:t>
      </w:r>
      <w:r w:rsidR="00A17147" w:rsidRPr="009A501D">
        <w:rPr>
          <w:rFonts w:ascii="Century Gothic" w:hAnsi="Century Gothic"/>
          <w:sz w:val="19"/>
          <w:szCs w:val="19"/>
        </w:rPr>
        <w:t>por lo tanto</w:t>
      </w:r>
      <w:r w:rsidR="003F23FD" w:rsidRPr="009A501D">
        <w:rPr>
          <w:rFonts w:ascii="Century Gothic" w:hAnsi="Century Gothic"/>
          <w:sz w:val="19"/>
          <w:szCs w:val="19"/>
        </w:rPr>
        <w:t>,</w:t>
      </w:r>
      <w:r w:rsidR="00A17147" w:rsidRPr="009A501D">
        <w:rPr>
          <w:rFonts w:ascii="Century Gothic" w:hAnsi="Century Gothic"/>
          <w:sz w:val="19"/>
          <w:szCs w:val="19"/>
        </w:rPr>
        <w:t xml:space="preserve"> </w:t>
      </w:r>
      <w:r w:rsidRPr="009A501D">
        <w:rPr>
          <w:rFonts w:ascii="Century Gothic" w:hAnsi="Century Gothic"/>
          <w:sz w:val="19"/>
          <w:szCs w:val="19"/>
        </w:rPr>
        <w:t>la TNRUDI deb</w:t>
      </w:r>
      <w:r w:rsidR="00515DE6" w:rsidRPr="009A501D">
        <w:rPr>
          <w:rFonts w:ascii="Century Gothic" w:hAnsi="Century Gothic"/>
          <w:sz w:val="19"/>
          <w:szCs w:val="19"/>
        </w:rPr>
        <w:t>ería</w:t>
      </w:r>
      <w:r w:rsidRPr="009A501D">
        <w:rPr>
          <w:rFonts w:ascii="Century Gothic" w:hAnsi="Century Gothic"/>
          <w:sz w:val="19"/>
          <w:szCs w:val="19"/>
        </w:rPr>
        <w:t xml:space="preserve"> </w:t>
      </w:r>
      <w:r w:rsidR="00A17147" w:rsidRPr="009A501D">
        <w:rPr>
          <w:rFonts w:ascii="Century Gothic" w:hAnsi="Century Gothic"/>
          <w:sz w:val="19"/>
          <w:szCs w:val="19"/>
        </w:rPr>
        <w:t>ser</w:t>
      </w:r>
      <w:r w:rsidRPr="009A501D">
        <w:rPr>
          <w:rFonts w:ascii="Century Gothic" w:hAnsi="Century Gothic"/>
          <w:sz w:val="19"/>
          <w:szCs w:val="19"/>
        </w:rPr>
        <w:t xml:space="preserve"> igual a la TNRUAI</w:t>
      </w:r>
      <w:r w:rsidR="00A17147" w:rsidRPr="009A501D">
        <w:rPr>
          <w:rFonts w:ascii="Century Gothic" w:hAnsi="Century Gothic"/>
          <w:sz w:val="19"/>
          <w:szCs w:val="19"/>
        </w:rPr>
        <w:t>.</w:t>
      </w:r>
      <w:r w:rsidRPr="009A501D">
        <w:rPr>
          <w:rFonts w:ascii="Century Gothic" w:hAnsi="Century Gothic"/>
          <w:sz w:val="19"/>
          <w:szCs w:val="19"/>
        </w:rPr>
        <w:t xml:space="preserve"> Ante esto, </w:t>
      </w:r>
      <w:r w:rsidR="003F23FD" w:rsidRPr="009A501D">
        <w:rPr>
          <w:rFonts w:ascii="Century Gothic" w:hAnsi="Century Gothic"/>
          <w:sz w:val="19"/>
          <w:szCs w:val="19"/>
        </w:rPr>
        <w:t>es</w:t>
      </w:r>
      <w:r w:rsidRPr="009A501D">
        <w:rPr>
          <w:rFonts w:ascii="Century Gothic" w:hAnsi="Century Gothic"/>
          <w:sz w:val="19"/>
          <w:szCs w:val="19"/>
        </w:rPr>
        <w:t xml:space="preserve"> necesario reforzar el compromiso de las áreas </w:t>
      </w:r>
      <w:r w:rsidR="003F23FD" w:rsidRPr="009A501D">
        <w:rPr>
          <w:rFonts w:ascii="Century Gothic" w:hAnsi="Century Gothic"/>
          <w:sz w:val="19"/>
          <w:szCs w:val="19"/>
        </w:rPr>
        <w:t>de</w:t>
      </w:r>
      <w:r w:rsidRPr="009A501D">
        <w:rPr>
          <w:rFonts w:ascii="Century Gothic" w:hAnsi="Century Gothic"/>
          <w:sz w:val="19"/>
          <w:szCs w:val="19"/>
        </w:rPr>
        <w:t xml:space="preserve"> </w:t>
      </w:r>
      <w:r w:rsidR="003F23FD" w:rsidRPr="009A501D">
        <w:rPr>
          <w:rFonts w:ascii="Century Gothic" w:hAnsi="Century Gothic"/>
          <w:sz w:val="19"/>
          <w:szCs w:val="19"/>
        </w:rPr>
        <w:t>reportar</w:t>
      </w:r>
      <w:r w:rsidRPr="009A501D">
        <w:rPr>
          <w:rFonts w:ascii="Century Gothic" w:hAnsi="Century Gothic"/>
          <w:sz w:val="19"/>
          <w:szCs w:val="19"/>
        </w:rPr>
        <w:t xml:space="preserve"> el total de indicadores aplicables a los </w:t>
      </w:r>
      <w:r w:rsidR="00EC4113" w:rsidRPr="009A501D">
        <w:rPr>
          <w:rFonts w:ascii="Century Gothic" w:hAnsi="Century Gothic"/>
          <w:sz w:val="19"/>
          <w:szCs w:val="19"/>
        </w:rPr>
        <w:t>proceso</w:t>
      </w:r>
      <w:r w:rsidRPr="009A501D">
        <w:rPr>
          <w:rFonts w:ascii="Century Gothic" w:hAnsi="Century Gothic"/>
          <w:sz w:val="19"/>
          <w:szCs w:val="19"/>
        </w:rPr>
        <w:t xml:space="preserve">s bajo su </w:t>
      </w:r>
      <w:r w:rsidR="008D0B52" w:rsidRPr="009A501D">
        <w:rPr>
          <w:rFonts w:ascii="Century Gothic" w:hAnsi="Century Gothic"/>
          <w:sz w:val="19"/>
          <w:szCs w:val="19"/>
        </w:rPr>
        <w:t>responsabilidad</w:t>
      </w:r>
      <w:r w:rsidRPr="009A501D">
        <w:rPr>
          <w:rFonts w:ascii="Century Gothic" w:hAnsi="Century Gothic"/>
          <w:sz w:val="19"/>
          <w:szCs w:val="19"/>
        </w:rPr>
        <w:t>.</w:t>
      </w:r>
    </w:p>
    <w:p w14:paraId="703BDF0E" w14:textId="432DA63A" w:rsidR="00103B95" w:rsidRPr="009A501D" w:rsidRDefault="00103B95" w:rsidP="00103B95">
      <w:pPr>
        <w:spacing w:before="240"/>
        <w:jc w:val="both"/>
        <w:rPr>
          <w:rFonts w:ascii="Century Gothic" w:hAnsi="Century Gothic" w:cstheme="minorHAnsi"/>
          <w:sz w:val="19"/>
          <w:szCs w:val="19"/>
        </w:rPr>
      </w:pPr>
      <w:r w:rsidRPr="009A501D">
        <w:rPr>
          <w:rFonts w:ascii="Century Gothic" w:hAnsi="Century Gothic" w:cstheme="minorHAnsi"/>
          <w:sz w:val="19"/>
          <w:szCs w:val="19"/>
        </w:rPr>
        <w:br w:type="page"/>
      </w:r>
    </w:p>
    <w:p w14:paraId="174B4166" w14:textId="3D1892F0" w:rsidR="009A1CC8" w:rsidRPr="009A501D" w:rsidRDefault="009A1CC8" w:rsidP="009A1CC8">
      <w:pPr>
        <w:spacing w:before="240"/>
        <w:ind w:left="284"/>
        <w:jc w:val="both"/>
        <w:rPr>
          <w:rFonts w:ascii="Century Gothic" w:hAnsi="Century Gothic"/>
          <w:b/>
          <w:bCs/>
          <w:sz w:val="20"/>
          <w:szCs w:val="20"/>
        </w:rPr>
      </w:pPr>
      <w:r w:rsidRPr="009A501D">
        <w:rPr>
          <w:rFonts w:ascii="Century Gothic" w:hAnsi="Century Gothic" w:cstheme="minorHAnsi"/>
          <w:sz w:val="19"/>
          <w:szCs w:val="19"/>
        </w:rPr>
        <w:lastRenderedPageBreak/>
        <w:t>Por otro lado, se reportaron indicadores de calidad, de manera retroactiva, del Censo de Población y Vivienda (CPV) en su edición 2020 (ver cuadro A.4.6). Este fue un esfuerzo del área responsable de dicho proceso ya que, a pesar de no estar obligada a reportar indicadores de precisión estadística por la fecha de aprobación de estos en el Comité, este proceso de producción consideró adecuado el cálculo y reporte de indicadores de precisión estadística debido a su amplia periodicidad de ejecución (decenal) y a la relevancia de su información.</w:t>
      </w:r>
    </w:p>
    <w:p w14:paraId="45CF2F9E" w14:textId="710992A2" w:rsidR="00AE6C80" w:rsidRPr="009A501D" w:rsidRDefault="00AE6C80" w:rsidP="00664A1D">
      <w:pPr>
        <w:spacing w:before="240"/>
        <w:ind w:left="284"/>
        <w:jc w:val="center"/>
        <w:rPr>
          <w:rFonts w:ascii="Century Gothic" w:hAnsi="Century Gothic"/>
          <w:sz w:val="19"/>
          <w:szCs w:val="19"/>
        </w:rPr>
      </w:pPr>
      <w:r w:rsidRPr="009A501D">
        <w:rPr>
          <w:rFonts w:ascii="Century Gothic" w:hAnsi="Century Gothic"/>
          <w:b/>
          <w:bCs/>
          <w:sz w:val="20"/>
          <w:szCs w:val="20"/>
        </w:rPr>
        <w:t xml:space="preserve">A.4.6. </w:t>
      </w:r>
      <w:r w:rsidRPr="009A501D">
        <w:rPr>
          <w:rFonts w:ascii="Century Gothic" w:hAnsi="Century Gothic" w:cstheme="majorHAnsi"/>
          <w:b/>
          <w:sz w:val="19"/>
          <w:szCs w:val="19"/>
        </w:rPr>
        <w:t>Promedio de las tasas reportadas de manera retroactiva</w:t>
      </w:r>
    </w:p>
    <w:tbl>
      <w:tblPr>
        <w:tblW w:w="9140" w:type="dxa"/>
        <w:jc w:val="center"/>
        <w:tblCellMar>
          <w:left w:w="70" w:type="dxa"/>
          <w:right w:w="70" w:type="dxa"/>
        </w:tblCellMar>
        <w:tblLook w:val="04A0" w:firstRow="1" w:lastRow="0" w:firstColumn="1" w:lastColumn="0" w:noHBand="0" w:noVBand="1"/>
      </w:tblPr>
      <w:tblGrid>
        <w:gridCol w:w="1240"/>
        <w:gridCol w:w="800"/>
        <w:gridCol w:w="1920"/>
        <w:gridCol w:w="1040"/>
        <w:gridCol w:w="2140"/>
        <w:gridCol w:w="2000"/>
      </w:tblGrid>
      <w:tr w:rsidR="00AE6C80" w:rsidRPr="009A501D" w14:paraId="335FA1FB" w14:textId="77777777" w:rsidTr="00BC774F">
        <w:trPr>
          <w:trHeight w:val="288"/>
          <w:jc w:val="center"/>
        </w:trPr>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862AA33" w14:textId="424CE494"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8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C282C49" w14:textId="722A50FC" w:rsidR="00AE6C80" w:rsidRPr="009A501D" w:rsidRDefault="00923A46" w:rsidP="00923A46">
            <w:pPr>
              <w:spacing w:after="0"/>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C</w:t>
            </w:r>
            <w:r w:rsidR="00AE6C80" w:rsidRPr="009A501D">
              <w:rPr>
                <w:rFonts w:ascii="Century Gothic" w:hAnsi="Century Gothic" w:cs="Calibri"/>
                <w:b/>
                <w:bCs/>
                <w:color w:val="FFFFFF"/>
                <w:sz w:val="16"/>
                <w:szCs w:val="16"/>
              </w:rPr>
              <w:t>asos</w:t>
            </w:r>
          </w:p>
        </w:tc>
        <w:tc>
          <w:tcPr>
            <w:tcW w:w="71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C37CA7A" w14:textId="77777777"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Promedio de las tasas reportadas</w:t>
            </w:r>
          </w:p>
        </w:tc>
      </w:tr>
      <w:tr w:rsidR="00AE6C80" w:rsidRPr="009A501D" w14:paraId="5D824351" w14:textId="77777777" w:rsidTr="00BC774F">
        <w:trPr>
          <w:trHeight w:val="284"/>
          <w:jc w:val="center"/>
        </w:trPr>
        <w:tc>
          <w:tcPr>
            <w:tcW w:w="12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D5F72B" w14:textId="77777777" w:rsidR="00AE6C80" w:rsidRPr="009A501D" w:rsidRDefault="00AE6C80" w:rsidP="00923A46">
            <w:pPr>
              <w:spacing w:after="0"/>
              <w:rPr>
                <w:rFonts w:ascii="Century Gothic" w:hAnsi="Century Gothic" w:cs="Calibri"/>
                <w:b/>
                <w:color w:val="FFFFFF"/>
                <w:sz w:val="16"/>
                <w:szCs w:val="16"/>
              </w:rPr>
            </w:pPr>
          </w:p>
        </w:tc>
        <w:tc>
          <w:tcPr>
            <w:tcW w:w="80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78166C" w14:textId="77777777" w:rsidR="00AE6C80" w:rsidRPr="009A501D" w:rsidRDefault="00AE6C80" w:rsidP="00923A46">
            <w:pPr>
              <w:spacing w:after="0"/>
              <w:rPr>
                <w:rFonts w:ascii="Century Gothic" w:hAnsi="Century Gothic" w:cs="Calibri"/>
                <w:b/>
                <w:color w:val="FFFFFF"/>
                <w:sz w:val="16"/>
                <w:szCs w:val="16"/>
              </w:rPr>
            </w:pPr>
          </w:p>
        </w:tc>
        <w:tc>
          <w:tcPr>
            <w:tcW w:w="1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F00F2FE" w14:textId="77777777"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antes de imputación</w:t>
            </w:r>
          </w:p>
        </w:tc>
        <w:tc>
          <w:tcPr>
            <w:tcW w:w="1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276D83C" w14:textId="77777777"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imputación</w:t>
            </w:r>
          </w:p>
        </w:tc>
        <w:tc>
          <w:tcPr>
            <w:tcW w:w="2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64524718" w14:textId="77777777"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después de imputación</w:t>
            </w:r>
          </w:p>
        </w:tc>
        <w:tc>
          <w:tcPr>
            <w:tcW w:w="2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37E40A1" w14:textId="77777777" w:rsidR="00AE6C80" w:rsidRPr="009A501D" w:rsidRDefault="00AE6C80" w:rsidP="00923A4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a nivel variable</w:t>
            </w:r>
          </w:p>
        </w:tc>
      </w:tr>
      <w:tr w:rsidR="00AE6C80" w:rsidRPr="009A501D" w14:paraId="713E5B1B" w14:textId="77777777" w:rsidTr="00BC774F">
        <w:trPr>
          <w:trHeight w:val="300"/>
          <w:jc w:val="center"/>
        </w:trPr>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95D6AAB"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CPV</w:t>
            </w:r>
          </w:p>
        </w:tc>
        <w:tc>
          <w:tcPr>
            <w:tcW w:w="8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D1FFB5"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147618</w:t>
            </w:r>
          </w:p>
        </w:tc>
        <w:tc>
          <w:tcPr>
            <w:tcW w:w="19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64B9792"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1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02AD8E"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2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AC9019D"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2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4FECDC" w14:textId="77777777" w:rsidR="00AE6C80" w:rsidRPr="009A501D" w:rsidRDefault="00AE6C80" w:rsidP="00923A4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bl>
    <w:p w14:paraId="5028340A" w14:textId="75FAD969" w:rsidR="00AE6C80" w:rsidRPr="009A501D" w:rsidRDefault="00AE6C80" w:rsidP="00664A1D">
      <w:pPr>
        <w:spacing w:before="240"/>
        <w:jc w:val="both"/>
        <w:rPr>
          <w:rFonts w:ascii="Century Gothic" w:hAnsi="Century Gothic"/>
          <w:sz w:val="19"/>
          <w:szCs w:val="19"/>
        </w:rPr>
      </w:pPr>
      <w:r w:rsidRPr="009A501D">
        <w:rPr>
          <w:rFonts w:ascii="Century Gothic" w:hAnsi="Century Gothic"/>
          <w:sz w:val="19"/>
          <w:szCs w:val="19"/>
        </w:rPr>
        <w:t>En el cuadro A.</w:t>
      </w:r>
      <w:r w:rsidR="000F5361" w:rsidRPr="009A501D">
        <w:rPr>
          <w:rFonts w:ascii="Century Gothic" w:hAnsi="Century Gothic"/>
          <w:sz w:val="19"/>
          <w:szCs w:val="19"/>
        </w:rPr>
        <w:t>4</w:t>
      </w:r>
      <w:r w:rsidRPr="009A501D">
        <w:rPr>
          <w:rFonts w:ascii="Century Gothic" w:hAnsi="Century Gothic"/>
          <w:sz w:val="19"/>
          <w:szCs w:val="19"/>
        </w:rPr>
        <w:t xml:space="preserve">.7 se presentan medidas resumen para las </w:t>
      </w:r>
      <w:r w:rsidRPr="009A501D">
        <w:rPr>
          <w:rFonts w:ascii="Century Gothic" w:hAnsi="Century Gothic"/>
          <w:i/>
          <w:iCs/>
          <w:sz w:val="19"/>
          <w:szCs w:val="19"/>
        </w:rPr>
        <w:t>tasas de no respuesta antes de imputación, imputación y no respuesta después de imputación</w:t>
      </w:r>
      <w:r w:rsidRPr="009A501D">
        <w:rPr>
          <w:rFonts w:ascii="Century Gothic" w:hAnsi="Century Gothic"/>
          <w:sz w:val="19"/>
          <w:szCs w:val="19"/>
        </w:rPr>
        <w:t xml:space="preserve"> a nivel unidad de observación</w:t>
      </w:r>
      <w:r w:rsidR="00BB0436" w:rsidRPr="009A501D">
        <w:rPr>
          <w:rFonts w:ascii="Century Gothic" w:hAnsi="Century Gothic"/>
          <w:sz w:val="19"/>
          <w:szCs w:val="19"/>
        </w:rPr>
        <w:t xml:space="preserve"> para </w:t>
      </w:r>
      <w:r w:rsidRPr="009A501D">
        <w:rPr>
          <w:rFonts w:ascii="Century Gothic" w:hAnsi="Century Gothic"/>
          <w:sz w:val="19"/>
          <w:szCs w:val="19"/>
        </w:rPr>
        <w:t xml:space="preserve">el único censo </w:t>
      </w:r>
      <w:r w:rsidR="0015103C" w:rsidRPr="009A501D">
        <w:rPr>
          <w:rFonts w:ascii="Century Gothic" w:hAnsi="Century Gothic"/>
          <w:sz w:val="19"/>
          <w:szCs w:val="19"/>
        </w:rPr>
        <w:t xml:space="preserve">para el </w:t>
      </w:r>
      <w:r w:rsidRPr="009A501D">
        <w:rPr>
          <w:rFonts w:ascii="Century Gothic" w:hAnsi="Century Gothic"/>
          <w:sz w:val="19"/>
          <w:szCs w:val="19"/>
        </w:rPr>
        <w:t xml:space="preserve">que </w:t>
      </w:r>
      <w:r w:rsidR="0015103C" w:rsidRPr="009A501D">
        <w:rPr>
          <w:rFonts w:ascii="Century Gothic" w:hAnsi="Century Gothic"/>
          <w:sz w:val="19"/>
          <w:szCs w:val="19"/>
        </w:rPr>
        <w:t>se</w:t>
      </w:r>
      <w:r w:rsidRPr="009A501D">
        <w:rPr>
          <w:rFonts w:ascii="Century Gothic" w:hAnsi="Century Gothic"/>
          <w:sz w:val="19"/>
          <w:szCs w:val="19"/>
        </w:rPr>
        <w:t xml:space="preserve"> </w:t>
      </w:r>
      <w:r w:rsidR="002262FB" w:rsidRPr="009A501D">
        <w:rPr>
          <w:rFonts w:ascii="Century Gothic" w:hAnsi="Century Gothic"/>
          <w:sz w:val="19"/>
          <w:szCs w:val="19"/>
        </w:rPr>
        <w:t>report</w:t>
      </w:r>
      <w:r w:rsidR="0015103C" w:rsidRPr="009A501D">
        <w:rPr>
          <w:rFonts w:ascii="Century Gothic" w:hAnsi="Century Gothic"/>
          <w:sz w:val="19"/>
          <w:szCs w:val="19"/>
        </w:rPr>
        <w:t>aron</w:t>
      </w:r>
      <w:r w:rsidRPr="009A501D">
        <w:rPr>
          <w:rFonts w:ascii="Century Gothic" w:hAnsi="Century Gothic"/>
          <w:sz w:val="19"/>
          <w:szCs w:val="19"/>
        </w:rPr>
        <w:t xml:space="preserve"> estos indicadores</w:t>
      </w:r>
      <w:r w:rsidR="009F39B3" w:rsidRPr="009A501D">
        <w:rPr>
          <w:rFonts w:ascii="Century Gothic" w:hAnsi="Century Gothic"/>
          <w:sz w:val="19"/>
          <w:szCs w:val="19"/>
        </w:rPr>
        <w:t>.</w:t>
      </w:r>
      <w:r w:rsidRPr="009A501D">
        <w:rPr>
          <w:rFonts w:ascii="Century Gothic" w:hAnsi="Century Gothic"/>
          <w:sz w:val="19"/>
          <w:szCs w:val="19"/>
        </w:rPr>
        <w:t xml:space="preserve"> </w:t>
      </w:r>
      <w:r w:rsidR="00081691" w:rsidRPr="009A501D">
        <w:rPr>
          <w:rFonts w:ascii="Century Gothic" w:hAnsi="Century Gothic"/>
          <w:sz w:val="19"/>
          <w:szCs w:val="19"/>
        </w:rPr>
        <w:t xml:space="preserve">No obstante, </w:t>
      </w:r>
      <w:r w:rsidR="00F61B51" w:rsidRPr="009A501D">
        <w:rPr>
          <w:rFonts w:ascii="Century Gothic" w:hAnsi="Century Gothic"/>
          <w:sz w:val="19"/>
          <w:szCs w:val="19"/>
        </w:rPr>
        <w:t xml:space="preserve">sería </w:t>
      </w:r>
      <w:r w:rsidR="005D2498" w:rsidRPr="009A501D">
        <w:rPr>
          <w:rFonts w:ascii="Century Gothic" w:hAnsi="Century Gothic"/>
          <w:sz w:val="19"/>
          <w:szCs w:val="19"/>
        </w:rPr>
        <w:t>conveniente</w:t>
      </w:r>
      <w:r w:rsidR="00F61B51" w:rsidRPr="009A501D">
        <w:rPr>
          <w:rFonts w:ascii="Century Gothic" w:hAnsi="Century Gothic"/>
          <w:sz w:val="19"/>
          <w:szCs w:val="19"/>
        </w:rPr>
        <w:t xml:space="preserve"> que se reportara</w:t>
      </w:r>
      <w:r w:rsidR="00BF34D6" w:rsidRPr="009A501D">
        <w:rPr>
          <w:rFonts w:ascii="Century Gothic" w:hAnsi="Century Gothic"/>
          <w:sz w:val="19"/>
          <w:szCs w:val="19"/>
        </w:rPr>
        <w:t xml:space="preserve">n estos indicadores </w:t>
      </w:r>
      <w:r w:rsidRPr="009A501D">
        <w:rPr>
          <w:rFonts w:ascii="Century Gothic" w:hAnsi="Century Gothic"/>
          <w:sz w:val="19"/>
          <w:szCs w:val="19"/>
        </w:rPr>
        <w:t xml:space="preserve">para el resto de </w:t>
      </w:r>
      <w:r w:rsidR="00112D0D" w:rsidRPr="009A501D">
        <w:rPr>
          <w:rFonts w:ascii="Century Gothic" w:hAnsi="Century Gothic"/>
          <w:sz w:val="19"/>
          <w:szCs w:val="19"/>
        </w:rPr>
        <w:t xml:space="preserve">los </w:t>
      </w:r>
      <w:r w:rsidR="00200BC2" w:rsidRPr="009A501D">
        <w:rPr>
          <w:rFonts w:ascii="Century Gothic" w:hAnsi="Century Gothic"/>
          <w:sz w:val="19"/>
          <w:szCs w:val="19"/>
        </w:rPr>
        <w:t>c</w:t>
      </w:r>
      <w:r w:rsidRPr="009A501D">
        <w:rPr>
          <w:rFonts w:ascii="Century Gothic" w:hAnsi="Century Gothic"/>
          <w:sz w:val="19"/>
          <w:szCs w:val="19"/>
        </w:rPr>
        <w:t xml:space="preserve">ensos </w:t>
      </w:r>
      <w:r w:rsidR="00200BC2" w:rsidRPr="009A501D">
        <w:rPr>
          <w:rFonts w:ascii="Century Gothic" w:hAnsi="Century Gothic"/>
          <w:sz w:val="19"/>
          <w:szCs w:val="19"/>
        </w:rPr>
        <w:t>n</w:t>
      </w:r>
      <w:r w:rsidRPr="009A501D">
        <w:rPr>
          <w:rFonts w:ascii="Century Gothic" w:hAnsi="Century Gothic"/>
          <w:sz w:val="19"/>
          <w:szCs w:val="19"/>
        </w:rPr>
        <w:t xml:space="preserve">acionales de </w:t>
      </w:r>
      <w:r w:rsidR="00200BC2" w:rsidRPr="009A501D">
        <w:rPr>
          <w:rFonts w:ascii="Century Gothic" w:hAnsi="Century Gothic"/>
          <w:sz w:val="19"/>
          <w:szCs w:val="19"/>
        </w:rPr>
        <w:t>g</w:t>
      </w:r>
      <w:r w:rsidRPr="009A501D">
        <w:rPr>
          <w:rFonts w:ascii="Century Gothic" w:hAnsi="Century Gothic"/>
          <w:sz w:val="19"/>
          <w:szCs w:val="19"/>
        </w:rPr>
        <w:t>obierno</w:t>
      </w:r>
      <w:r w:rsidR="005D2498" w:rsidRPr="009A501D">
        <w:rPr>
          <w:rFonts w:ascii="Century Gothic" w:hAnsi="Century Gothic"/>
          <w:sz w:val="19"/>
          <w:szCs w:val="19"/>
        </w:rPr>
        <w:t>.</w:t>
      </w:r>
    </w:p>
    <w:p w14:paraId="7D23AC9F" w14:textId="0009F4E3" w:rsidR="00AE6C80" w:rsidRPr="009A501D" w:rsidRDefault="00AE6C80" w:rsidP="00664A1D">
      <w:pPr>
        <w:spacing w:before="240"/>
        <w:ind w:left="284"/>
        <w:jc w:val="center"/>
        <w:rPr>
          <w:rFonts w:ascii="Century Gothic" w:hAnsi="Century Gothic"/>
          <w:b/>
          <w:sz w:val="19"/>
          <w:szCs w:val="19"/>
        </w:rPr>
      </w:pPr>
      <w:r w:rsidRPr="009A501D">
        <w:rPr>
          <w:rFonts w:ascii="Century Gothic" w:hAnsi="Century Gothic"/>
          <w:b/>
          <w:bCs/>
          <w:sz w:val="20"/>
          <w:szCs w:val="20"/>
        </w:rPr>
        <w:t xml:space="preserve">A.4.7. </w:t>
      </w:r>
      <w:r w:rsidRPr="009A501D">
        <w:rPr>
          <w:rFonts w:ascii="Century Gothic" w:hAnsi="Century Gothic"/>
          <w:b/>
          <w:sz w:val="19"/>
          <w:szCs w:val="19"/>
        </w:rPr>
        <w:t>Comparativo del promedio de las tasas de no respuesta antes de imputación, imputación y no respuesta después de imputación a nivel unidad</w:t>
      </w:r>
    </w:p>
    <w:tbl>
      <w:tblPr>
        <w:tblW w:w="11120" w:type="dxa"/>
        <w:jc w:val="center"/>
        <w:tblCellMar>
          <w:left w:w="70" w:type="dxa"/>
          <w:right w:w="70" w:type="dxa"/>
        </w:tblCellMar>
        <w:tblLook w:val="04A0" w:firstRow="1" w:lastRow="0" w:firstColumn="1" w:lastColumn="0" w:noHBand="0" w:noVBand="1"/>
      </w:tblPr>
      <w:tblGrid>
        <w:gridCol w:w="876"/>
        <w:gridCol w:w="1882"/>
        <w:gridCol w:w="902"/>
        <w:gridCol w:w="1380"/>
        <w:gridCol w:w="2080"/>
        <w:gridCol w:w="1880"/>
        <w:gridCol w:w="2120"/>
      </w:tblGrid>
      <w:tr w:rsidR="00AE6C80" w:rsidRPr="009A501D" w14:paraId="3D5669EB" w14:textId="77777777" w:rsidTr="00BC774F">
        <w:trPr>
          <w:trHeight w:val="288"/>
          <w:tblHeader/>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CA2415A"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92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7B2019F" w14:textId="7BFDEB9F" w:rsidR="00AE6C80" w:rsidRPr="009A501D" w:rsidRDefault="00EC4113"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2F5082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Acrónimo</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D45ABE2" w14:textId="542AF3B5" w:rsidR="00AE6C80" w:rsidRPr="009A501D" w:rsidRDefault="00D650EE"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C</w:t>
            </w:r>
            <w:r w:rsidR="00AE6C80" w:rsidRPr="009A501D">
              <w:rPr>
                <w:rFonts w:ascii="Century Gothic" w:hAnsi="Century Gothic" w:cs="Calibri"/>
                <w:b/>
                <w:color w:val="FFFFFF"/>
                <w:sz w:val="16"/>
                <w:szCs w:val="16"/>
              </w:rPr>
              <w:t>asos</w:t>
            </w:r>
          </w:p>
        </w:tc>
        <w:tc>
          <w:tcPr>
            <w:tcW w:w="6080" w:type="dxa"/>
            <w:gridSpan w:val="3"/>
            <w:tcBorders>
              <w:top w:val="single" w:sz="4" w:space="0" w:color="auto"/>
              <w:left w:val="nil"/>
              <w:bottom w:val="single" w:sz="4" w:space="0" w:color="auto"/>
              <w:right w:val="single" w:sz="4" w:space="0" w:color="auto"/>
            </w:tcBorders>
            <w:shd w:val="clear" w:color="000000" w:fill="002060"/>
            <w:vAlign w:val="center"/>
            <w:hideMark/>
          </w:tcPr>
          <w:p w14:paraId="24DFEB66"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Promedio de las tasas reportadas</w:t>
            </w:r>
          </w:p>
        </w:tc>
      </w:tr>
      <w:tr w:rsidR="00AE6C80" w:rsidRPr="009A501D" w14:paraId="6E896E23" w14:textId="77777777" w:rsidTr="00BC774F">
        <w:trPr>
          <w:trHeight w:val="432"/>
          <w:tblHeader/>
          <w:jc w:val="center"/>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372A2940" w14:textId="77777777" w:rsidR="00AE6C80" w:rsidRPr="009A501D" w:rsidRDefault="00AE6C80" w:rsidP="00D858E6">
            <w:pPr>
              <w:spacing w:after="0"/>
              <w:rPr>
                <w:rFonts w:ascii="Century Gothic" w:hAnsi="Century Gothic" w:cs="Calibri"/>
                <w:b/>
                <w:color w:val="FFFFFF"/>
                <w:sz w:val="16"/>
                <w:szCs w:val="16"/>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677D3DA9" w14:textId="77777777" w:rsidR="00AE6C80" w:rsidRPr="009A501D" w:rsidRDefault="00AE6C80" w:rsidP="00D858E6">
            <w:pPr>
              <w:spacing w:after="0"/>
              <w:rPr>
                <w:rFonts w:ascii="Century Gothic" w:hAnsi="Century Gothic" w:cs="Calibri"/>
                <w:b/>
                <w:color w:val="FFFFFF"/>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4AB36C30" w14:textId="77777777" w:rsidR="00AE6C80" w:rsidRPr="009A501D" w:rsidRDefault="00AE6C80" w:rsidP="00D858E6">
            <w:pPr>
              <w:spacing w:after="0"/>
              <w:rPr>
                <w:rFonts w:ascii="Century Gothic" w:hAnsi="Century Gothic" w:cs="Calibri"/>
                <w:b/>
                <w:color w:val="FFFFFF"/>
                <w:sz w:val="16"/>
                <w:szCs w:val="16"/>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04A4793" w14:textId="77777777" w:rsidR="00AE6C80" w:rsidRPr="009A501D" w:rsidRDefault="00AE6C80" w:rsidP="00D858E6">
            <w:pPr>
              <w:spacing w:after="0"/>
              <w:rPr>
                <w:rFonts w:ascii="Century Gothic" w:hAnsi="Century Gothic" w:cs="Calibri"/>
                <w:b/>
                <w:color w:val="FFFFFF"/>
                <w:sz w:val="16"/>
                <w:szCs w:val="16"/>
              </w:rPr>
            </w:pPr>
          </w:p>
        </w:tc>
        <w:tc>
          <w:tcPr>
            <w:tcW w:w="2080" w:type="dxa"/>
            <w:tcBorders>
              <w:top w:val="nil"/>
              <w:left w:val="nil"/>
              <w:bottom w:val="single" w:sz="4" w:space="0" w:color="auto"/>
              <w:right w:val="single" w:sz="4" w:space="0" w:color="auto"/>
            </w:tcBorders>
            <w:shd w:val="clear" w:color="000000" w:fill="002060"/>
            <w:vAlign w:val="center"/>
            <w:hideMark/>
          </w:tcPr>
          <w:p w14:paraId="1CA8BFF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respuestas antes de imputación</w:t>
            </w:r>
          </w:p>
        </w:tc>
        <w:tc>
          <w:tcPr>
            <w:tcW w:w="1880" w:type="dxa"/>
            <w:tcBorders>
              <w:top w:val="nil"/>
              <w:left w:val="nil"/>
              <w:bottom w:val="single" w:sz="4" w:space="0" w:color="auto"/>
              <w:right w:val="single" w:sz="4" w:space="0" w:color="auto"/>
            </w:tcBorders>
            <w:shd w:val="clear" w:color="000000" w:fill="002060"/>
            <w:vAlign w:val="center"/>
            <w:hideMark/>
          </w:tcPr>
          <w:p w14:paraId="10D8963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imputación</w:t>
            </w:r>
          </w:p>
        </w:tc>
        <w:tc>
          <w:tcPr>
            <w:tcW w:w="2120" w:type="dxa"/>
            <w:tcBorders>
              <w:top w:val="nil"/>
              <w:left w:val="nil"/>
              <w:bottom w:val="single" w:sz="4" w:space="0" w:color="auto"/>
              <w:right w:val="single" w:sz="4" w:space="0" w:color="auto"/>
            </w:tcBorders>
            <w:shd w:val="clear" w:color="000000" w:fill="002060"/>
            <w:vAlign w:val="center"/>
            <w:hideMark/>
          </w:tcPr>
          <w:p w14:paraId="600658CC"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después de imputación</w:t>
            </w:r>
          </w:p>
        </w:tc>
      </w:tr>
      <w:tr w:rsidR="00AE6C80" w:rsidRPr="009A501D" w14:paraId="0007EBCE" w14:textId="77777777" w:rsidTr="00BC774F">
        <w:trPr>
          <w:trHeight w:val="252"/>
          <w:tblHeader/>
          <w:jc w:val="center"/>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2953215D" w14:textId="77777777" w:rsidR="00AE6C80" w:rsidRPr="009A501D" w:rsidRDefault="00AE6C80" w:rsidP="00D858E6">
            <w:pPr>
              <w:spacing w:after="0"/>
              <w:rPr>
                <w:rFonts w:ascii="Century Gothic" w:hAnsi="Century Gothic" w:cs="Calibri"/>
                <w:b/>
                <w:color w:val="FFFFFF"/>
                <w:sz w:val="16"/>
                <w:szCs w:val="16"/>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533AEF2" w14:textId="77777777" w:rsidR="00AE6C80" w:rsidRPr="009A501D" w:rsidRDefault="00AE6C80" w:rsidP="00D858E6">
            <w:pPr>
              <w:spacing w:after="0"/>
              <w:rPr>
                <w:rFonts w:ascii="Century Gothic" w:hAnsi="Century Gothic" w:cs="Calibri"/>
                <w:b/>
                <w:color w:val="FFFFFF"/>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5ACB62AA" w14:textId="77777777" w:rsidR="00AE6C80" w:rsidRPr="009A501D" w:rsidRDefault="00AE6C80" w:rsidP="00D858E6">
            <w:pPr>
              <w:spacing w:after="0"/>
              <w:rPr>
                <w:rFonts w:ascii="Century Gothic" w:hAnsi="Century Gothic" w:cs="Calibri"/>
                <w:b/>
                <w:color w:val="FFFFFF"/>
                <w:sz w:val="16"/>
                <w:szCs w:val="16"/>
              </w:rPr>
            </w:pPr>
          </w:p>
        </w:tc>
        <w:tc>
          <w:tcPr>
            <w:tcW w:w="1380" w:type="dxa"/>
            <w:tcBorders>
              <w:top w:val="nil"/>
              <w:left w:val="nil"/>
              <w:bottom w:val="single" w:sz="4" w:space="0" w:color="auto"/>
              <w:right w:val="single" w:sz="4" w:space="0" w:color="auto"/>
            </w:tcBorders>
            <w:shd w:val="clear" w:color="000000" w:fill="002060"/>
            <w:vAlign w:val="center"/>
            <w:hideMark/>
          </w:tcPr>
          <w:p w14:paraId="4794EB3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2080" w:type="dxa"/>
            <w:tcBorders>
              <w:top w:val="nil"/>
              <w:left w:val="nil"/>
              <w:bottom w:val="single" w:sz="4" w:space="0" w:color="auto"/>
              <w:right w:val="single" w:sz="4" w:space="0" w:color="auto"/>
            </w:tcBorders>
            <w:shd w:val="clear" w:color="000000" w:fill="002060"/>
            <w:vAlign w:val="center"/>
            <w:hideMark/>
          </w:tcPr>
          <w:p w14:paraId="370FDC65"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1880" w:type="dxa"/>
            <w:tcBorders>
              <w:top w:val="nil"/>
              <w:left w:val="nil"/>
              <w:bottom w:val="single" w:sz="4" w:space="0" w:color="auto"/>
              <w:right w:val="single" w:sz="4" w:space="0" w:color="auto"/>
            </w:tcBorders>
            <w:shd w:val="clear" w:color="000000" w:fill="002060"/>
            <w:vAlign w:val="center"/>
            <w:hideMark/>
          </w:tcPr>
          <w:p w14:paraId="7686D28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2120" w:type="dxa"/>
            <w:tcBorders>
              <w:top w:val="nil"/>
              <w:left w:val="nil"/>
              <w:bottom w:val="single" w:sz="4" w:space="0" w:color="auto"/>
              <w:right w:val="single" w:sz="4" w:space="0" w:color="auto"/>
            </w:tcBorders>
            <w:shd w:val="clear" w:color="000000" w:fill="002060"/>
            <w:vAlign w:val="center"/>
            <w:hideMark/>
          </w:tcPr>
          <w:p w14:paraId="2D46611A"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AE6C80" w:rsidRPr="009A501D" w14:paraId="452FFBBB" w14:textId="77777777" w:rsidTr="00BC774F">
        <w:trPr>
          <w:trHeight w:val="504"/>
          <w:jc w:val="center"/>
        </w:trPr>
        <w:tc>
          <w:tcPr>
            <w:tcW w:w="860" w:type="dxa"/>
            <w:tcBorders>
              <w:top w:val="nil"/>
              <w:left w:val="single" w:sz="4" w:space="0" w:color="auto"/>
              <w:bottom w:val="single" w:sz="4" w:space="0" w:color="auto"/>
              <w:right w:val="nil"/>
            </w:tcBorders>
            <w:shd w:val="clear" w:color="auto" w:fill="auto"/>
            <w:noWrap/>
            <w:vAlign w:val="center"/>
            <w:hideMark/>
          </w:tcPr>
          <w:p w14:paraId="4AEDEAA5"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920" w:type="dxa"/>
            <w:tcBorders>
              <w:top w:val="nil"/>
              <w:left w:val="nil"/>
              <w:bottom w:val="single" w:sz="4" w:space="0" w:color="auto"/>
              <w:right w:val="nil"/>
            </w:tcBorders>
            <w:shd w:val="clear" w:color="auto" w:fill="auto"/>
            <w:vAlign w:val="center"/>
            <w:hideMark/>
          </w:tcPr>
          <w:p w14:paraId="244F873F"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Centros de Justicia para las Mujeres</w:t>
            </w:r>
          </w:p>
        </w:tc>
        <w:tc>
          <w:tcPr>
            <w:tcW w:w="880" w:type="dxa"/>
            <w:tcBorders>
              <w:top w:val="nil"/>
              <w:left w:val="nil"/>
              <w:bottom w:val="single" w:sz="4" w:space="0" w:color="auto"/>
              <w:right w:val="single" w:sz="4" w:space="0" w:color="auto"/>
            </w:tcBorders>
            <w:shd w:val="clear" w:color="auto" w:fill="auto"/>
            <w:noWrap/>
            <w:vAlign w:val="center"/>
            <w:hideMark/>
          </w:tcPr>
          <w:p w14:paraId="1A04520F" w14:textId="77777777" w:rsidR="00AE6C80" w:rsidRPr="009A501D" w:rsidRDefault="00AE6C80" w:rsidP="003A75EB">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CJM</w:t>
            </w:r>
          </w:p>
        </w:tc>
        <w:tc>
          <w:tcPr>
            <w:tcW w:w="1380" w:type="dxa"/>
            <w:tcBorders>
              <w:top w:val="nil"/>
              <w:left w:val="nil"/>
              <w:bottom w:val="single" w:sz="4" w:space="0" w:color="auto"/>
              <w:right w:val="single" w:sz="4" w:space="0" w:color="auto"/>
            </w:tcBorders>
            <w:shd w:val="clear" w:color="auto" w:fill="auto"/>
            <w:noWrap/>
            <w:vAlign w:val="center"/>
            <w:hideMark/>
          </w:tcPr>
          <w:p w14:paraId="32CCB89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2080" w:type="dxa"/>
            <w:tcBorders>
              <w:top w:val="nil"/>
              <w:left w:val="nil"/>
              <w:bottom w:val="single" w:sz="4" w:space="0" w:color="auto"/>
              <w:right w:val="single" w:sz="4" w:space="0" w:color="auto"/>
            </w:tcBorders>
            <w:shd w:val="clear" w:color="auto" w:fill="auto"/>
            <w:noWrap/>
            <w:vAlign w:val="center"/>
            <w:hideMark/>
          </w:tcPr>
          <w:p w14:paraId="72D1E94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22</w:t>
            </w:r>
          </w:p>
        </w:tc>
        <w:tc>
          <w:tcPr>
            <w:tcW w:w="1880" w:type="dxa"/>
            <w:tcBorders>
              <w:top w:val="nil"/>
              <w:left w:val="nil"/>
              <w:bottom w:val="single" w:sz="4" w:space="0" w:color="auto"/>
              <w:right w:val="single" w:sz="4" w:space="0" w:color="auto"/>
            </w:tcBorders>
            <w:shd w:val="clear" w:color="auto" w:fill="auto"/>
            <w:noWrap/>
            <w:vAlign w:val="center"/>
            <w:hideMark/>
          </w:tcPr>
          <w:p w14:paraId="79EEDE4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19</w:t>
            </w:r>
          </w:p>
        </w:tc>
        <w:tc>
          <w:tcPr>
            <w:tcW w:w="2120" w:type="dxa"/>
            <w:tcBorders>
              <w:top w:val="nil"/>
              <w:left w:val="nil"/>
              <w:bottom w:val="single" w:sz="4" w:space="0" w:color="auto"/>
              <w:right w:val="single" w:sz="4" w:space="0" w:color="auto"/>
            </w:tcBorders>
            <w:shd w:val="clear" w:color="auto" w:fill="auto"/>
            <w:noWrap/>
            <w:vAlign w:val="center"/>
            <w:hideMark/>
          </w:tcPr>
          <w:p w14:paraId="5BD2E88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r>
    </w:tbl>
    <w:p w14:paraId="0D523C87" w14:textId="104EA392" w:rsidR="00AE6C80" w:rsidRPr="009A501D" w:rsidRDefault="00AE6C80" w:rsidP="00664A1D">
      <w:pPr>
        <w:spacing w:before="240"/>
        <w:jc w:val="both"/>
        <w:rPr>
          <w:rFonts w:ascii="Century Gothic" w:hAnsi="Century Gothic"/>
          <w:sz w:val="19"/>
          <w:szCs w:val="19"/>
        </w:rPr>
      </w:pPr>
      <w:r w:rsidRPr="009A501D">
        <w:rPr>
          <w:rFonts w:ascii="Century Gothic" w:hAnsi="Century Gothic"/>
          <w:sz w:val="19"/>
          <w:szCs w:val="19"/>
        </w:rPr>
        <w:t xml:space="preserve">En el cuadro A.4.8 se presentan medidas resumen para la </w:t>
      </w:r>
      <w:r w:rsidRPr="009A501D">
        <w:rPr>
          <w:rFonts w:ascii="Century Gothic" w:hAnsi="Century Gothic"/>
          <w:i/>
          <w:iCs/>
          <w:sz w:val="19"/>
          <w:szCs w:val="19"/>
        </w:rPr>
        <w:t>tasa de no respuesta a nivel variable</w:t>
      </w:r>
      <w:r w:rsidRPr="009A501D">
        <w:rPr>
          <w:rFonts w:ascii="Century Gothic" w:hAnsi="Century Gothic"/>
          <w:sz w:val="19"/>
          <w:szCs w:val="19"/>
        </w:rPr>
        <w:t xml:space="preserve"> de los censos que cumplieron con la entrega de este indicador. Se observa que se registró una no respuesta a nivel variable media de cero.</w:t>
      </w:r>
    </w:p>
    <w:p w14:paraId="24D6739F" w14:textId="521E513C" w:rsidR="00923A46" w:rsidRPr="009A501D" w:rsidRDefault="00923A46">
      <w:pPr>
        <w:rPr>
          <w:rFonts w:ascii="Century Gothic" w:hAnsi="Century Gothic"/>
          <w:sz w:val="19"/>
          <w:szCs w:val="19"/>
        </w:rPr>
      </w:pPr>
      <w:r w:rsidRPr="009A501D">
        <w:rPr>
          <w:rFonts w:ascii="Century Gothic" w:hAnsi="Century Gothic"/>
          <w:sz w:val="19"/>
          <w:szCs w:val="19"/>
        </w:rPr>
        <w:br w:type="page"/>
      </w:r>
    </w:p>
    <w:p w14:paraId="4B95977A" w14:textId="0E2533EA" w:rsidR="00AE6C80" w:rsidRPr="009A501D" w:rsidRDefault="00AE6C80" w:rsidP="00664A1D">
      <w:pPr>
        <w:spacing w:before="240"/>
        <w:ind w:left="284"/>
        <w:jc w:val="center"/>
        <w:rPr>
          <w:rFonts w:ascii="Century Gothic" w:hAnsi="Century Gothic"/>
          <w:sz w:val="19"/>
          <w:szCs w:val="19"/>
        </w:rPr>
      </w:pPr>
      <w:r w:rsidRPr="009A501D">
        <w:rPr>
          <w:rFonts w:ascii="Century Gothic" w:hAnsi="Century Gothic"/>
          <w:b/>
          <w:bCs/>
          <w:sz w:val="20"/>
          <w:szCs w:val="20"/>
        </w:rPr>
        <w:lastRenderedPageBreak/>
        <w:t>A.4.8. Valores medios y máximos alcanzados en tasa de no respuesta a nivel variable</w:t>
      </w:r>
    </w:p>
    <w:tbl>
      <w:tblPr>
        <w:tblW w:w="133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860"/>
        <w:gridCol w:w="4520"/>
        <w:gridCol w:w="1240"/>
        <w:gridCol w:w="840"/>
        <w:gridCol w:w="840"/>
        <w:gridCol w:w="880"/>
        <w:gridCol w:w="820"/>
        <w:gridCol w:w="840"/>
        <w:gridCol w:w="840"/>
        <w:gridCol w:w="840"/>
        <w:gridCol w:w="840"/>
      </w:tblGrid>
      <w:tr w:rsidR="00AE6C80" w:rsidRPr="009A501D" w14:paraId="39694EA0" w14:textId="77777777" w:rsidTr="000A41C2">
        <w:trPr>
          <w:trHeight w:val="284"/>
          <w:tblHeader/>
          <w:jc w:val="center"/>
        </w:trPr>
        <w:tc>
          <w:tcPr>
            <w:tcW w:w="860" w:type="dxa"/>
            <w:vMerge w:val="restart"/>
            <w:shd w:val="clear" w:color="000000" w:fill="002060"/>
            <w:noWrap/>
            <w:tcMar>
              <w:top w:w="15" w:type="dxa"/>
              <w:left w:w="15" w:type="dxa"/>
              <w:bottom w:w="0" w:type="dxa"/>
              <w:right w:w="15" w:type="dxa"/>
            </w:tcMar>
            <w:vAlign w:val="center"/>
            <w:hideMark/>
          </w:tcPr>
          <w:p w14:paraId="44E0FBE3"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4520" w:type="dxa"/>
            <w:vMerge w:val="restart"/>
            <w:shd w:val="clear" w:color="000000" w:fill="002060"/>
            <w:tcMar>
              <w:top w:w="15" w:type="dxa"/>
              <w:left w:w="15" w:type="dxa"/>
              <w:bottom w:w="0" w:type="dxa"/>
              <w:right w:w="15" w:type="dxa"/>
            </w:tcMar>
            <w:vAlign w:val="center"/>
            <w:hideMark/>
          </w:tcPr>
          <w:p w14:paraId="062C01C5" w14:textId="527E292C" w:rsidR="00AE6C80" w:rsidRPr="009A501D" w:rsidRDefault="00EC4113"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1240" w:type="dxa"/>
            <w:vMerge w:val="restart"/>
            <w:shd w:val="clear" w:color="000000" w:fill="002060"/>
            <w:tcMar>
              <w:top w:w="15" w:type="dxa"/>
              <w:left w:w="15" w:type="dxa"/>
              <w:bottom w:w="0" w:type="dxa"/>
              <w:right w:w="15" w:type="dxa"/>
            </w:tcMar>
            <w:vAlign w:val="center"/>
            <w:hideMark/>
          </w:tcPr>
          <w:p w14:paraId="614C8EEC"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Acrónimo</w:t>
            </w:r>
          </w:p>
        </w:tc>
        <w:tc>
          <w:tcPr>
            <w:tcW w:w="1680" w:type="dxa"/>
            <w:gridSpan w:val="2"/>
            <w:vMerge w:val="restart"/>
            <w:shd w:val="clear" w:color="000000" w:fill="002060"/>
            <w:tcMar>
              <w:top w:w="15" w:type="dxa"/>
              <w:left w:w="15" w:type="dxa"/>
              <w:bottom w:w="0" w:type="dxa"/>
              <w:right w:w="15" w:type="dxa"/>
            </w:tcMar>
            <w:vAlign w:val="center"/>
            <w:hideMark/>
          </w:tcPr>
          <w:p w14:paraId="5113E1F4"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Número de variables</w:t>
            </w:r>
          </w:p>
        </w:tc>
        <w:tc>
          <w:tcPr>
            <w:tcW w:w="1700" w:type="dxa"/>
            <w:gridSpan w:val="2"/>
            <w:vMerge w:val="restart"/>
            <w:shd w:val="clear" w:color="000000" w:fill="002060"/>
            <w:tcMar>
              <w:top w:w="15" w:type="dxa"/>
              <w:left w:w="15" w:type="dxa"/>
              <w:bottom w:w="0" w:type="dxa"/>
              <w:right w:w="15" w:type="dxa"/>
            </w:tcMar>
            <w:vAlign w:val="center"/>
            <w:hideMark/>
          </w:tcPr>
          <w:p w14:paraId="02D02EE7"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Número de casos totales</w:t>
            </w:r>
          </w:p>
        </w:tc>
        <w:tc>
          <w:tcPr>
            <w:tcW w:w="3360" w:type="dxa"/>
            <w:gridSpan w:val="4"/>
            <w:shd w:val="clear" w:color="000000" w:fill="002060"/>
            <w:tcMar>
              <w:top w:w="15" w:type="dxa"/>
              <w:left w:w="15" w:type="dxa"/>
              <w:bottom w:w="0" w:type="dxa"/>
              <w:right w:w="15" w:type="dxa"/>
            </w:tcMar>
            <w:vAlign w:val="center"/>
            <w:hideMark/>
          </w:tcPr>
          <w:p w14:paraId="07A3FE8E"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no respuesta por variable (%)</w:t>
            </w:r>
          </w:p>
        </w:tc>
      </w:tr>
      <w:tr w:rsidR="00AE6C80" w:rsidRPr="009A501D" w14:paraId="3CA34A9D" w14:textId="77777777" w:rsidTr="000A41C2">
        <w:trPr>
          <w:trHeight w:val="284"/>
          <w:tblHeader/>
          <w:jc w:val="center"/>
        </w:trPr>
        <w:tc>
          <w:tcPr>
            <w:tcW w:w="0" w:type="auto"/>
            <w:vMerge/>
            <w:vAlign w:val="center"/>
            <w:hideMark/>
          </w:tcPr>
          <w:p w14:paraId="17FA3413" w14:textId="77777777" w:rsidR="00AE6C80" w:rsidRPr="009A501D" w:rsidRDefault="00AE6C80" w:rsidP="00D858E6">
            <w:pPr>
              <w:spacing w:after="0"/>
              <w:rPr>
                <w:rFonts w:ascii="Century Gothic" w:hAnsi="Century Gothic" w:cs="Calibri"/>
                <w:b/>
                <w:color w:val="FFFFFF"/>
                <w:sz w:val="16"/>
                <w:szCs w:val="16"/>
              </w:rPr>
            </w:pPr>
          </w:p>
        </w:tc>
        <w:tc>
          <w:tcPr>
            <w:tcW w:w="0" w:type="auto"/>
            <w:vMerge/>
            <w:vAlign w:val="center"/>
            <w:hideMark/>
          </w:tcPr>
          <w:p w14:paraId="74AC6CEE" w14:textId="77777777" w:rsidR="00AE6C80" w:rsidRPr="009A501D" w:rsidRDefault="00AE6C80" w:rsidP="00D858E6">
            <w:pPr>
              <w:spacing w:after="0"/>
              <w:rPr>
                <w:rFonts w:ascii="Century Gothic" w:hAnsi="Century Gothic" w:cs="Calibri"/>
                <w:b/>
                <w:color w:val="FFFFFF"/>
                <w:sz w:val="16"/>
                <w:szCs w:val="16"/>
              </w:rPr>
            </w:pPr>
          </w:p>
        </w:tc>
        <w:tc>
          <w:tcPr>
            <w:tcW w:w="0" w:type="auto"/>
            <w:vMerge/>
            <w:vAlign w:val="center"/>
            <w:hideMark/>
          </w:tcPr>
          <w:p w14:paraId="15DBD0DD" w14:textId="77777777" w:rsidR="00AE6C80" w:rsidRPr="009A501D" w:rsidRDefault="00AE6C80" w:rsidP="00D858E6">
            <w:pPr>
              <w:spacing w:after="0"/>
              <w:rPr>
                <w:rFonts w:ascii="Century Gothic" w:hAnsi="Century Gothic" w:cs="Calibri"/>
                <w:b/>
                <w:color w:val="FFFFFF"/>
                <w:sz w:val="16"/>
                <w:szCs w:val="16"/>
              </w:rPr>
            </w:pPr>
          </w:p>
        </w:tc>
        <w:tc>
          <w:tcPr>
            <w:tcW w:w="0" w:type="auto"/>
            <w:gridSpan w:val="2"/>
            <w:vMerge/>
            <w:vAlign w:val="center"/>
            <w:hideMark/>
          </w:tcPr>
          <w:p w14:paraId="2CE85F11" w14:textId="77777777" w:rsidR="00AE6C80" w:rsidRPr="009A501D" w:rsidRDefault="00AE6C80" w:rsidP="00D858E6">
            <w:pPr>
              <w:spacing w:after="0"/>
              <w:rPr>
                <w:rFonts w:ascii="Century Gothic" w:hAnsi="Century Gothic" w:cs="Calibri"/>
                <w:b/>
                <w:color w:val="FFFFFF"/>
                <w:sz w:val="16"/>
                <w:szCs w:val="16"/>
              </w:rPr>
            </w:pPr>
          </w:p>
        </w:tc>
        <w:tc>
          <w:tcPr>
            <w:tcW w:w="0" w:type="auto"/>
            <w:gridSpan w:val="2"/>
            <w:vMerge/>
            <w:vAlign w:val="center"/>
            <w:hideMark/>
          </w:tcPr>
          <w:p w14:paraId="6993CC2A" w14:textId="77777777" w:rsidR="00AE6C80" w:rsidRPr="009A501D" w:rsidRDefault="00AE6C80" w:rsidP="00D858E6">
            <w:pPr>
              <w:spacing w:after="0"/>
              <w:rPr>
                <w:rFonts w:ascii="Century Gothic" w:hAnsi="Century Gothic" w:cs="Calibri"/>
                <w:b/>
                <w:color w:val="FFFFFF"/>
                <w:sz w:val="16"/>
                <w:szCs w:val="16"/>
              </w:rPr>
            </w:pPr>
          </w:p>
        </w:tc>
        <w:tc>
          <w:tcPr>
            <w:tcW w:w="1680" w:type="dxa"/>
            <w:gridSpan w:val="2"/>
            <w:shd w:val="clear" w:color="000000" w:fill="002060"/>
            <w:tcMar>
              <w:top w:w="15" w:type="dxa"/>
              <w:left w:w="15" w:type="dxa"/>
              <w:bottom w:w="0" w:type="dxa"/>
              <w:right w:w="15" w:type="dxa"/>
            </w:tcMar>
            <w:vAlign w:val="center"/>
            <w:hideMark/>
          </w:tcPr>
          <w:p w14:paraId="660C61EA"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Media</w:t>
            </w:r>
          </w:p>
        </w:tc>
        <w:tc>
          <w:tcPr>
            <w:tcW w:w="1680" w:type="dxa"/>
            <w:gridSpan w:val="2"/>
            <w:shd w:val="clear" w:color="000000" w:fill="002060"/>
            <w:tcMar>
              <w:top w:w="15" w:type="dxa"/>
              <w:left w:w="15" w:type="dxa"/>
              <w:bottom w:w="0" w:type="dxa"/>
              <w:right w:w="15" w:type="dxa"/>
            </w:tcMar>
            <w:vAlign w:val="center"/>
            <w:hideMark/>
          </w:tcPr>
          <w:p w14:paraId="0415351D"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Máxima</w:t>
            </w:r>
          </w:p>
        </w:tc>
      </w:tr>
      <w:tr w:rsidR="00AE6C80" w:rsidRPr="009A501D" w14:paraId="68D67FD0" w14:textId="77777777" w:rsidTr="000A41C2">
        <w:trPr>
          <w:trHeight w:val="284"/>
          <w:tblHeader/>
          <w:jc w:val="center"/>
        </w:trPr>
        <w:tc>
          <w:tcPr>
            <w:tcW w:w="0" w:type="auto"/>
            <w:vMerge/>
            <w:vAlign w:val="center"/>
            <w:hideMark/>
          </w:tcPr>
          <w:p w14:paraId="5F7241E6" w14:textId="77777777" w:rsidR="00AE6C80" w:rsidRPr="009A501D" w:rsidRDefault="00AE6C80" w:rsidP="00D858E6">
            <w:pPr>
              <w:spacing w:after="0"/>
              <w:rPr>
                <w:rFonts w:ascii="Century Gothic" w:hAnsi="Century Gothic" w:cs="Calibri"/>
                <w:b/>
                <w:color w:val="FFFFFF"/>
                <w:sz w:val="16"/>
                <w:szCs w:val="16"/>
              </w:rPr>
            </w:pPr>
          </w:p>
        </w:tc>
        <w:tc>
          <w:tcPr>
            <w:tcW w:w="0" w:type="auto"/>
            <w:vMerge/>
            <w:vAlign w:val="center"/>
            <w:hideMark/>
          </w:tcPr>
          <w:p w14:paraId="3D56FEBB" w14:textId="77777777" w:rsidR="00AE6C80" w:rsidRPr="009A501D" w:rsidRDefault="00AE6C80" w:rsidP="00D858E6">
            <w:pPr>
              <w:spacing w:after="0"/>
              <w:rPr>
                <w:rFonts w:ascii="Century Gothic" w:hAnsi="Century Gothic" w:cs="Calibri"/>
                <w:b/>
                <w:color w:val="FFFFFF"/>
                <w:sz w:val="16"/>
                <w:szCs w:val="16"/>
              </w:rPr>
            </w:pPr>
          </w:p>
        </w:tc>
        <w:tc>
          <w:tcPr>
            <w:tcW w:w="0" w:type="auto"/>
            <w:vMerge/>
            <w:vAlign w:val="center"/>
            <w:hideMark/>
          </w:tcPr>
          <w:p w14:paraId="4D770E2B" w14:textId="77777777" w:rsidR="00AE6C80" w:rsidRPr="009A501D" w:rsidRDefault="00AE6C80" w:rsidP="00D858E6">
            <w:pPr>
              <w:spacing w:after="0"/>
              <w:rPr>
                <w:rFonts w:ascii="Century Gothic" w:hAnsi="Century Gothic" w:cs="Calibri"/>
                <w:b/>
                <w:color w:val="FFFFFF"/>
                <w:sz w:val="16"/>
                <w:szCs w:val="16"/>
              </w:rPr>
            </w:pPr>
          </w:p>
        </w:tc>
        <w:tc>
          <w:tcPr>
            <w:tcW w:w="840" w:type="dxa"/>
            <w:shd w:val="clear" w:color="000000" w:fill="002060"/>
            <w:tcMar>
              <w:top w:w="15" w:type="dxa"/>
              <w:left w:w="15" w:type="dxa"/>
              <w:bottom w:w="0" w:type="dxa"/>
              <w:right w:w="15" w:type="dxa"/>
            </w:tcMar>
            <w:vAlign w:val="center"/>
            <w:hideMark/>
          </w:tcPr>
          <w:p w14:paraId="6B677756"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840" w:type="dxa"/>
            <w:shd w:val="clear" w:color="000000" w:fill="002060"/>
            <w:tcMar>
              <w:top w:w="15" w:type="dxa"/>
              <w:left w:w="15" w:type="dxa"/>
              <w:bottom w:w="0" w:type="dxa"/>
              <w:right w:w="15" w:type="dxa"/>
            </w:tcMar>
            <w:vAlign w:val="center"/>
            <w:hideMark/>
          </w:tcPr>
          <w:p w14:paraId="7B5A17C6"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880" w:type="dxa"/>
            <w:shd w:val="clear" w:color="000000" w:fill="002060"/>
            <w:tcMar>
              <w:top w:w="15" w:type="dxa"/>
              <w:left w:w="15" w:type="dxa"/>
              <w:bottom w:w="0" w:type="dxa"/>
              <w:right w:w="15" w:type="dxa"/>
            </w:tcMar>
            <w:vAlign w:val="center"/>
            <w:hideMark/>
          </w:tcPr>
          <w:p w14:paraId="4A4EF8BF"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820" w:type="dxa"/>
            <w:shd w:val="clear" w:color="000000" w:fill="002060"/>
            <w:tcMar>
              <w:top w:w="15" w:type="dxa"/>
              <w:left w:w="15" w:type="dxa"/>
              <w:bottom w:w="0" w:type="dxa"/>
              <w:right w:w="15" w:type="dxa"/>
            </w:tcMar>
            <w:vAlign w:val="center"/>
            <w:hideMark/>
          </w:tcPr>
          <w:p w14:paraId="52A98DEE"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840" w:type="dxa"/>
            <w:shd w:val="clear" w:color="000000" w:fill="002060"/>
            <w:tcMar>
              <w:top w:w="15" w:type="dxa"/>
              <w:left w:w="15" w:type="dxa"/>
              <w:bottom w:w="0" w:type="dxa"/>
              <w:right w:w="15" w:type="dxa"/>
            </w:tcMar>
            <w:vAlign w:val="center"/>
            <w:hideMark/>
          </w:tcPr>
          <w:p w14:paraId="4DB6B56F"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840" w:type="dxa"/>
            <w:shd w:val="clear" w:color="000000" w:fill="002060"/>
            <w:tcMar>
              <w:top w:w="15" w:type="dxa"/>
              <w:left w:w="15" w:type="dxa"/>
              <w:bottom w:w="0" w:type="dxa"/>
              <w:right w:w="15" w:type="dxa"/>
            </w:tcMar>
            <w:vAlign w:val="center"/>
            <w:hideMark/>
          </w:tcPr>
          <w:p w14:paraId="755B3239"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840" w:type="dxa"/>
            <w:shd w:val="clear" w:color="000000" w:fill="002060"/>
            <w:tcMar>
              <w:top w:w="15" w:type="dxa"/>
              <w:left w:w="15" w:type="dxa"/>
              <w:bottom w:w="0" w:type="dxa"/>
              <w:right w:w="15" w:type="dxa"/>
            </w:tcMar>
            <w:vAlign w:val="center"/>
            <w:hideMark/>
          </w:tcPr>
          <w:p w14:paraId="46A298D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840" w:type="dxa"/>
            <w:shd w:val="clear" w:color="000000" w:fill="002060"/>
            <w:tcMar>
              <w:top w:w="15" w:type="dxa"/>
              <w:left w:w="15" w:type="dxa"/>
              <w:bottom w:w="0" w:type="dxa"/>
              <w:right w:w="15" w:type="dxa"/>
            </w:tcMar>
            <w:vAlign w:val="center"/>
            <w:hideMark/>
          </w:tcPr>
          <w:p w14:paraId="66CD30D0" w14:textId="77777777" w:rsidR="00AE6C80" w:rsidRPr="009A501D" w:rsidRDefault="00AE6C80" w:rsidP="00D858E6">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AE6C80" w:rsidRPr="009A501D" w14:paraId="78A87F0E"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07F2501E"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75F8448B"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Centros de Justicia para las Mujeres</w:t>
            </w:r>
          </w:p>
        </w:tc>
        <w:tc>
          <w:tcPr>
            <w:tcW w:w="0" w:type="auto"/>
            <w:shd w:val="clear" w:color="auto" w:fill="F2F2F2" w:themeFill="background1" w:themeFillShade="F2"/>
            <w:noWrap/>
            <w:tcMar>
              <w:top w:w="15" w:type="dxa"/>
              <w:left w:w="15" w:type="dxa"/>
              <w:bottom w:w="0" w:type="dxa"/>
              <w:right w:w="15" w:type="dxa"/>
            </w:tcMar>
            <w:vAlign w:val="center"/>
            <w:hideMark/>
          </w:tcPr>
          <w:p w14:paraId="506A8ACC"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CJM</w:t>
            </w:r>
          </w:p>
        </w:tc>
        <w:tc>
          <w:tcPr>
            <w:tcW w:w="0" w:type="auto"/>
            <w:shd w:val="clear" w:color="auto" w:fill="F2F2F2" w:themeFill="background1" w:themeFillShade="F2"/>
            <w:noWrap/>
            <w:tcMar>
              <w:top w:w="15" w:type="dxa"/>
              <w:left w:w="15" w:type="dxa"/>
              <w:bottom w:w="0" w:type="dxa"/>
              <w:right w:w="15" w:type="dxa"/>
            </w:tcMar>
            <w:vAlign w:val="center"/>
            <w:hideMark/>
          </w:tcPr>
          <w:p w14:paraId="225B8928" w14:textId="21721BC8"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2CA97D3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22</w:t>
            </w:r>
          </w:p>
        </w:tc>
        <w:tc>
          <w:tcPr>
            <w:tcW w:w="0" w:type="auto"/>
            <w:shd w:val="clear" w:color="auto" w:fill="F2F2F2" w:themeFill="background1" w:themeFillShade="F2"/>
            <w:noWrap/>
            <w:tcMar>
              <w:top w:w="15" w:type="dxa"/>
              <w:left w:w="15" w:type="dxa"/>
              <w:bottom w:w="0" w:type="dxa"/>
              <w:right w:w="15" w:type="dxa"/>
            </w:tcMar>
            <w:vAlign w:val="center"/>
            <w:hideMark/>
          </w:tcPr>
          <w:p w14:paraId="7D35EEA9" w14:textId="7735BB47"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1911CC5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22</w:t>
            </w:r>
          </w:p>
        </w:tc>
        <w:tc>
          <w:tcPr>
            <w:tcW w:w="0" w:type="auto"/>
            <w:shd w:val="clear" w:color="auto" w:fill="F2F2F2" w:themeFill="background1" w:themeFillShade="F2"/>
            <w:noWrap/>
            <w:tcMar>
              <w:top w:w="15" w:type="dxa"/>
              <w:left w:w="15" w:type="dxa"/>
              <w:bottom w:w="0" w:type="dxa"/>
              <w:right w:w="15" w:type="dxa"/>
            </w:tcMar>
            <w:vAlign w:val="center"/>
            <w:hideMark/>
          </w:tcPr>
          <w:p w14:paraId="5ADA1F78" w14:textId="3A1841FA"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7CF618F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08284B18" w14:textId="769D71DA"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0CD5945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6F487E7D"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731F37C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auto"/>
            <w:noWrap/>
            <w:tcMar>
              <w:top w:w="15" w:type="dxa"/>
              <w:left w:w="15" w:type="dxa"/>
              <w:bottom w:w="0" w:type="dxa"/>
              <w:right w:w="15" w:type="dxa"/>
            </w:tcMar>
            <w:vAlign w:val="center"/>
            <w:hideMark/>
          </w:tcPr>
          <w:p w14:paraId="0FAC3C64"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Derechos Humanos Estatal</w:t>
            </w:r>
          </w:p>
        </w:tc>
        <w:tc>
          <w:tcPr>
            <w:tcW w:w="0" w:type="auto"/>
            <w:shd w:val="clear" w:color="auto" w:fill="auto"/>
            <w:noWrap/>
            <w:tcMar>
              <w:top w:w="15" w:type="dxa"/>
              <w:left w:w="15" w:type="dxa"/>
              <w:bottom w:w="0" w:type="dxa"/>
              <w:right w:w="15" w:type="dxa"/>
            </w:tcMar>
            <w:vAlign w:val="center"/>
            <w:hideMark/>
          </w:tcPr>
          <w:p w14:paraId="5D95937B"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CNDHE</w:t>
            </w:r>
          </w:p>
        </w:tc>
        <w:tc>
          <w:tcPr>
            <w:tcW w:w="0" w:type="auto"/>
            <w:shd w:val="clear" w:color="auto" w:fill="auto"/>
            <w:noWrap/>
            <w:tcMar>
              <w:top w:w="15" w:type="dxa"/>
              <w:left w:w="15" w:type="dxa"/>
              <w:bottom w:w="0" w:type="dxa"/>
              <w:right w:w="15" w:type="dxa"/>
            </w:tcMar>
            <w:vAlign w:val="center"/>
            <w:hideMark/>
          </w:tcPr>
          <w:p w14:paraId="4E47B6A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shd w:val="clear" w:color="auto" w:fill="auto"/>
            <w:noWrap/>
            <w:tcMar>
              <w:top w:w="15" w:type="dxa"/>
              <w:left w:w="15" w:type="dxa"/>
              <w:bottom w:w="0" w:type="dxa"/>
              <w:right w:w="15" w:type="dxa"/>
            </w:tcMar>
            <w:vAlign w:val="center"/>
            <w:hideMark/>
          </w:tcPr>
          <w:p w14:paraId="30368D1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10</w:t>
            </w:r>
          </w:p>
        </w:tc>
        <w:tc>
          <w:tcPr>
            <w:tcW w:w="0" w:type="auto"/>
            <w:shd w:val="clear" w:color="auto" w:fill="auto"/>
            <w:noWrap/>
            <w:tcMar>
              <w:top w:w="15" w:type="dxa"/>
              <w:left w:w="15" w:type="dxa"/>
              <w:bottom w:w="0" w:type="dxa"/>
              <w:right w:w="15" w:type="dxa"/>
            </w:tcMar>
            <w:vAlign w:val="center"/>
            <w:hideMark/>
          </w:tcPr>
          <w:p w14:paraId="37CE96B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293</w:t>
            </w:r>
          </w:p>
        </w:tc>
        <w:tc>
          <w:tcPr>
            <w:tcW w:w="0" w:type="auto"/>
            <w:shd w:val="clear" w:color="auto" w:fill="auto"/>
            <w:noWrap/>
            <w:tcMar>
              <w:top w:w="15" w:type="dxa"/>
              <w:left w:w="15" w:type="dxa"/>
              <w:bottom w:w="0" w:type="dxa"/>
              <w:right w:w="15" w:type="dxa"/>
            </w:tcMar>
            <w:vAlign w:val="center"/>
            <w:hideMark/>
          </w:tcPr>
          <w:p w14:paraId="0B781C7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330</w:t>
            </w:r>
          </w:p>
        </w:tc>
        <w:tc>
          <w:tcPr>
            <w:tcW w:w="0" w:type="auto"/>
            <w:shd w:val="clear" w:color="auto" w:fill="auto"/>
            <w:noWrap/>
            <w:tcMar>
              <w:top w:w="15" w:type="dxa"/>
              <w:left w:w="15" w:type="dxa"/>
              <w:bottom w:w="0" w:type="dxa"/>
              <w:right w:w="15" w:type="dxa"/>
            </w:tcMar>
            <w:vAlign w:val="center"/>
            <w:hideMark/>
          </w:tcPr>
          <w:p w14:paraId="19E9712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2BA6B02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34C15B0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78CD191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22AC8393"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4B297A6B"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114A4233"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Derechos Humanos Federal</w:t>
            </w:r>
          </w:p>
        </w:tc>
        <w:tc>
          <w:tcPr>
            <w:tcW w:w="0" w:type="auto"/>
            <w:shd w:val="clear" w:color="auto" w:fill="F2F2F2" w:themeFill="background1" w:themeFillShade="F2"/>
            <w:noWrap/>
            <w:tcMar>
              <w:top w:w="15" w:type="dxa"/>
              <w:left w:w="15" w:type="dxa"/>
              <w:bottom w:w="0" w:type="dxa"/>
              <w:right w:w="15" w:type="dxa"/>
            </w:tcMar>
            <w:vAlign w:val="center"/>
            <w:hideMark/>
          </w:tcPr>
          <w:p w14:paraId="68DA6482"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CNDHF</w:t>
            </w:r>
          </w:p>
        </w:tc>
        <w:tc>
          <w:tcPr>
            <w:tcW w:w="0" w:type="auto"/>
            <w:shd w:val="clear" w:color="auto" w:fill="F2F2F2" w:themeFill="background1" w:themeFillShade="F2"/>
            <w:noWrap/>
            <w:tcMar>
              <w:top w:w="15" w:type="dxa"/>
              <w:left w:w="15" w:type="dxa"/>
              <w:bottom w:w="0" w:type="dxa"/>
              <w:right w:w="15" w:type="dxa"/>
            </w:tcMar>
            <w:vAlign w:val="center"/>
            <w:hideMark/>
          </w:tcPr>
          <w:p w14:paraId="1D4EC21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shd w:val="clear" w:color="auto" w:fill="F2F2F2" w:themeFill="background1" w:themeFillShade="F2"/>
            <w:noWrap/>
            <w:tcMar>
              <w:top w:w="15" w:type="dxa"/>
              <w:left w:w="15" w:type="dxa"/>
              <w:bottom w:w="0" w:type="dxa"/>
              <w:right w:w="15" w:type="dxa"/>
            </w:tcMar>
            <w:vAlign w:val="center"/>
            <w:hideMark/>
          </w:tcPr>
          <w:p w14:paraId="7178D7A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10</w:t>
            </w:r>
          </w:p>
        </w:tc>
        <w:tc>
          <w:tcPr>
            <w:tcW w:w="0" w:type="auto"/>
            <w:shd w:val="clear" w:color="auto" w:fill="F2F2F2" w:themeFill="background1" w:themeFillShade="F2"/>
            <w:noWrap/>
            <w:tcMar>
              <w:top w:w="15" w:type="dxa"/>
              <w:left w:w="15" w:type="dxa"/>
              <w:bottom w:w="0" w:type="dxa"/>
              <w:right w:w="15" w:type="dxa"/>
            </w:tcMar>
            <w:vAlign w:val="center"/>
            <w:hideMark/>
          </w:tcPr>
          <w:p w14:paraId="43F5FFB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shd w:val="clear" w:color="auto" w:fill="F2F2F2" w:themeFill="background1" w:themeFillShade="F2"/>
            <w:noWrap/>
            <w:tcMar>
              <w:top w:w="15" w:type="dxa"/>
              <w:left w:w="15" w:type="dxa"/>
              <w:bottom w:w="0" w:type="dxa"/>
              <w:right w:w="15" w:type="dxa"/>
            </w:tcMar>
            <w:vAlign w:val="center"/>
            <w:hideMark/>
          </w:tcPr>
          <w:p w14:paraId="4F5F74B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10</w:t>
            </w:r>
          </w:p>
        </w:tc>
        <w:tc>
          <w:tcPr>
            <w:tcW w:w="0" w:type="auto"/>
            <w:shd w:val="clear" w:color="auto" w:fill="F2F2F2" w:themeFill="background1" w:themeFillShade="F2"/>
            <w:noWrap/>
            <w:tcMar>
              <w:top w:w="15" w:type="dxa"/>
              <w:left w:w="15" w:type="dxa"/>
              <w:bottom w:w="0" w:type="dxa"/>
              <w:right w:w="15" w:type="dxa"/>
            </w:tcMar>
            <w:vAlign w:val="center"/>
            <w:hideMark/>
          </w:tcPr>
          <w:p w14:paraId="1C0E09B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6196AA6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6C135EB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3E24BE7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796A4201"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4F4060C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auto"/>
            <w:noWrap/>
            <w:tcMar>
              <w:top w:w="15" w:type="dxa"/>
              <w:left w:w="15" w:type="dxa"/>
              <w:bottom w:w="0" w:type="dxa"/>
              <w:right w:w="15" w:type="dxa"/>
            </w:tcMar>
            <w:vAlign w:val="center"/>
            <w:hideMark/>
          </w:tcPr>
          <w:p w14:paraId="73CDFCAC"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Gobiernos Estatales</w:t>
            </w:r>
          </w:p>
        </w:tc>
        <w:tc>
          <w:tcPr>
            <w:tcW w:w="0" w:type="auto"/>
            <w:shd w:val="clear" w:color="auto" w:fill="auto"/>
            <w:noWrap/>
            <w:tcMar>
              <w:top w:w="15" w:type="dxa"/>
              <w:left w:w="15" w:type="dxa"/>
              <w:bottom w:w="0" w:type="dxa"/>
              <w:right w:w="15" w:type="dxa"/>
            </w:tcMar>
            <w:vAlign w:val="center"/>
            <w:hideMark/>
          </w:tcPr>
          <w:p w14:paraId="406343C7"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CNGE</w:t>
            </w:r>
          </w:p>
        </w:tc>
        <w:tc>
          <w:tcPr>
            <w:tcW w:w="0" w:type="auto"/>
            <w:shd w:val="clear" w:color="auto" w:fill="auto"/>
            <w:noWrap/>
            <w:tcMar>
              <w:top w:w="15" w:type="dxa"/>
              <w:left w:w="15" w:type="dxa"/>
              <w:bottom w:w="0" w:type="dxa"/>
              <w:right w:w="15" w:type="dxa"/>
            </w:tcMar>
            <w:vAlign w:val="center"/>
            <w:hideMark/>
          </w:tcPr>
          <w:p w14:paraId="3B2BF559" w14:textId="6BCFF8E0"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207018D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shd w:val="clear" w:color="auto" w:fill="auto"/>
            <w:noWrap/>
            <w:tcMar>
              <w:top w:w="15" w:type="dxa"/>
              <w:left w:w="15" w:type="dxa"/>
              <w:bottom w:w="0" w:type="dxa"/>
              <w:right w:w="15" w:type="dxa"/>
            </w:tcMar>
            <w:vAlign w:val="center"/>
            <w:hideMark/>
          </w:tcPr>
          <w:p w14:paraId="077500B1" w14:textId="1B1B19EE"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2EA835F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132</w:t>
            </w:r>
          </w:p>
        </w:tc>
        <w:tc>
          <w:tcPr>
            <w:tcW w:w="0" w:type="auto"/>
            <w:shd w:val="clear" w:color="auto" w:fill="auto"/>
            <w:noWrap/>
            <w:tcMar>
              <w:top w:w="15" w:type="dxa"/>
              <w:left w:w="15" w:type="dxa"/>
              <w:bottom w:w="0" w:type="dxa"/>
              <w:right w:w="15" w:type="dxa"/>
            </w:tcMar>
            <w:vAlign w:val="center"/>
            <w:hideMark/>
          </w:tcPr>
          <w:p w14:paraId="062ABF90" w14:textId="1ABC4DD1"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3103BCB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776ADA25" w14:textId="7D241210"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593FA35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454B3B64"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7C7314CC"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65F1E0CD"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Gobierno Federal</w:t>
            </w:r>
          </w:p>
        </w:tc>
        <w:tc>
          <w:tcPr>
            <w:tcW w:w="0" w:type="auto"/>
            <w:shd w:val="clear" w:color="auto" w:fill="F2F2F2" w:themeFill="background1" w:themeFillShade="F2"/>
            <w:noWrap/>
            <w:tcMar>
              <w:top w:w="15" w:type="dxa"/>
              <w:left w:w="15" w:type="dxa"/>
              <w:bottom w:w="0" w:type="dxa"/>
              <w:right w:w="15" w:type="dxa"/>
            </w:tcMar>
            <w:vAlign w:val="center"/>
            <w:hideMark/>
          </w:tcPr>
          <w:p w14:paraId="0B49FAB5"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CNGF</w:t>
            </w:r>
          </w:p>
        </w:tc>
        <w:tc>
          <w:tcPr>
            <w:tcW w:w="0" w:type="auto"/>
            <w:shd w:val="clear" w:color="auto" w:fill="F2F2F2" w:themeFill="background1" w:themeFillShade="F2"/>
            <w:noWrap/>
            <w:tcMar>
              <w:top w:w="15" w:type="dxa"/>
              <w:left w:w="15" w:type="dxa"/>
              <w:bottom w:w="0" w:type="dxa"/>
              <w:right w:w="15" w:type="dxa"/>
            </w:tcMar>
            <w:vAlign w:val="center"/>
            <w:hideMark/>
          </w:tcPr>
          <w:p w14:paraId="3023AA40" w14:textId="09151ED3"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6347317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shd w:val="clear" w:color="auto" w:fill="F2F2F2" w:themeFill="background1" w:themeFillShade="F2"/>
            <w:noWrap/>
            <w:tcMar>
              <w:top w:w="15" w:type="dxa"/>
              <w:left w:w="15" w:type="dxa"/>
              <w:bottom w:w="0" w:type="dxa"/>
              <w:right w:w="15" w:type="dxa"/>
            </w:tcMar>
            <w:vAlign w:val="center"/>
            <w:hideMark/>
          </w:tcPr>
          <w:p w14:paraId="3D408DDF" w14:textId="2A1A8FC4"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708F8B5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shd w:val="clear" w:color="auto" w:fill="F2F2F2" w:themeFill="background1" w:themeFillShade="F2"/>
            <w:noWrap/>
            <w:tcMar>
              <w:top w:w="15" w:type="dxa"/>
              <w:left w:w="15" w:type="dxa"/>
              <w:bottom w:w="0" w:type="dxa"/>
              <w:right w:w="15" w:type="dxa"/>
            </w:tcMar>
            <w:vAlign w:val="center"/>
            <w:hideMark/>
          </w:tcPr>
          <w:p w14:paraId="4DE14E97" w14:textId="1423EEE7"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5790C38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67A92518" w14:textId="6B5232F2"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5F0105E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6A13AE9B"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72323D12"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4520" w:type="dxa"/>
            <w:shd w:val="clear" w:color="auto" w:fill="auto"/>
            <w:tcMar>
              <w:top w:w="15" w:type="dxa"/>
              <w:left w:w="15" w:type="dxa"/>
              <w:bottom w:w="0" w:type="dxa"/>
              <w:right w:w="15" w:type="dxa"/>
            </w:tcMar>
            <w:vAlign w:val="center"/>
            <w:hideMark/>
          </w:tcPr>
          <w:p w14:paraId="0C5DE243"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Gobiernos Municipales y Demarcaciones Territoriales de la Ciudad de México</w:t>
            </w:r>
          </w:p>
        </w:tc>
        <w:tc>
          <w:tcPr>
            <w:tcW w:w="0" w:type="auto"/>
            <w:shd w:val="clear" w:color="auto" w:fill="auto"/>
            <w:noWrap/>
            <w:tcMar>
              <w:top w:w="15" w:type="dxa"/>
              <w:left w:w="15" w:type="dxa"/>
              <w:bottom w:w="0" w:type="dxa"/>
              <w:right w:w="15" w:type="dxa"/>
            </w:tcMar>
            <w:vAlign w:val="center"/>
            <w:hideMark/>
          </w:tcPr>
          <w:p w14:paraId="08BDEE99"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CNGMD</w:t>
            </w:r>
          </w:p>
        </w:tc>
        <w:tc>
          <w:tcPr>
            <w:tcW w:w="0" w:type="auto"/>
            <w:shd w:val="clear" w:color="auto" w:fill="auto"/>
            <w:noWrap/>
            <w:tcMar>
              <w:top w:w="15" w:type="dxa"/>
              <w:left w:w="15" w:type="dxa"/>
              <w:bottom w:w="0" w:type="dxa"/>
              <w:right w:w="15" w:type="dxa"/>
            </w:tcMar>
            <w:vAlign w:val="center"/>
            <w:hideMark/>
          </w:tcPr>
          <w:p w14:paraId="79771748" w14:textId="0AA51C1E"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68C50BBB"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13</w:t>
            </w:r>
          </w:p>
        </w:tc>
        <w:tc>
          <w:tcPr>
            <w:tcW w:w="0" w:type="auto"/>
            <w:shd w:val="clear" w:color="auto" w:fill="auto"/>
            <w:noWrap/>
            <w:tcMar>
              <w:top w:w="15" w:type="dxa"/>
              <w:left w:w="15" w:type="dxa"/>
              <w:bottom w:w="0" w:type="dxa"/>
              <w:right w:w="15" w:type="dxa"/>
            </w:tcMar>
            <w:vAlign w:val="center"/>
            <w:hideMark/>
          </w:tcPr>
          <w:p w14:paraId="6A5FF865" w14:textId="23183A6B"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7EC9375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32429</w:t>
            </w:r>
          </w:p>
        </w:tc>
        <w:tc>
          <w:tcPr>
            <w:tcW w:w="0" w:type="auto"/>
            <w:shd w:val="clear" w:color="auto" w:fill="auto"/>
            <w:noWrap/>
            <w:tcMar>
              <w:top w:w="15" w:type="dxa"/>
              <w:left w:w="15" w:type="dxa"/>
              <w:bottom w:w="0" w:type="dxa"/>
              <w:right w:w="15" w:type="dxa"/>
            </w:tcMar>
            <w:vAlign w:val="center"/>
            <w:hideMark/>
          </w:tcPr>
          <w:p w14:paraId="085E1AF2" w14:textId="745D438C"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1D3C6AE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31DD706A" w14:textId="331E26CE"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172E663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4308BF11"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101E68B9"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79A430B5"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Impartición de Justicia Estatal</w:t>
            </w:r>
          </w:p>
        </w:tc>
        <w:tc>
          <w:tcPr>
            <w:tcW w:w="0" w:type="auto"/>
            <w:shd w:val="clear" w:color="auto" w:fill="F2F2F2" w:themeFill="background1" w:themeFillShade="F2"/>
            <w:noWrap/>
            <w:tcMar>
              <w:top w:w="15" w:type="dxa"/>
              <w:left w:w="15" w:type="dxa"/>
              <w:bottom w:w="0" w:type="dxa"/>
              <w:right w:w="15" w:type="dxa"/>
            </w:tcMar>
            <w:vAlign w:val="center"/>
            <w:hideMark/>
          </w:tcPr>
          <w:p w14:paraId="2AED961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CNIJE</w:t>
            </w:r>
          </w:p>
        </w:tc>
        <w:tc>
          <w:tcPr>
            <w:tcW w:w="0" w:type="auto"/>
            <w:shd w:val="clear" w:color="auto" w:fill="F2F2F2" w:themeFill="background1" w:themeFillShade="F2"/>
            <w:noWrap/>
            <w:tcMar>
              <w:top w:w="15" w:type="dxa"/>
              <w:left w:w="15" w:type="dxa"/>
              <w:bottom w:w="0" w:type="dxa"/>
              <w:right w:w="15" w:type="dxa"/>
            </w:tcMar>
            <w:vAlign w:val="center"/>
            <w:hideMark/>
          </w:tcPr>
          <w:p w14:paraId="77A43125" w14:textId="77777777" w:rsidR="00AE6C80" w:rsidRPr="009A501D" w:rsidRDefault="00AE6C80" w:rsidP="00D858E6">
            <w:pPr>
              <w:spacing w:after="0"/>
              <w:jc w:val="center"/>
              <w:rPr>
                <w:rFonts w:ascii="Century Gothic" w:hAnsi="Century Gothic" w:cs="Calibri"/>
                <w:color w:val="000000"/>
                <w:sz w:val="16"/>
                <w:szCs w:val="16"/>
              </w:rPr>
            </w:pPr>
          </w:p>
        </w:tc>
        <w:tc>
          <w:tcPr>
            <w:tcW w:w="0" w:type="auto"/>
            <w:shd w:val="clear" w:color="auto" w:fill="F2F2F2" w:themeFill="background1" w:themeFillShade="F2"/>
            <w:noWrap/>
            <w:tcMar>
              <w:top w:w="15" w:type="dxa"/>
              <w:left w:w="15" w:type="dxa"/>
              <w:bottom w:w="0" w:type="dxa"/>
              <w:right w:w="15" w:type="dxa"/>
            </w:tcMar>
            <w:vAlign w:val="center"/>
            <w:hideMark/>
          </w:tcPr>
          <w:p w14:paraId="70FE402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29</w:t>
            </w:r>
          </w:p>
        </w:tc>
        <w:tc>
          <w:tcPr>
            <w:tcW w:w="0" w:type="auto"/>
            <w:shd w:val="clear" w:color="auto" w:fill="F2F2F2" w:themeFill="background1" w:themeFillShade="F2"/>
            <w:noWrap/>
            <w:tcMar>
              <w:top w:w="15" w:type="dxa"/>
              <w:left w:w="15" w:type="dxa"/>
              <w:bottom w:w="0" w:type="dxa"/>
              <w:right w:w="15" w:type="dxa"/>
            </w:tcMar>
            <w:vAlign w:val="center"/>
            <w:hideMark/>
          </w:tcPr>
          <w:p w14:paraId="64EF8DE7" w14:textId="36B08568"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5523B54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957</w:t>
            </w:r>
          </w:p>
        </w:tc>
        <w:tc>
          <w:tcPr>
            <w:tcW w:w="0" w:type="auto"/>
            <w:shd w:val="clear" w:color="auto" w:fill="F2F2F2" w:themeFill="background1" w:themeFillShade="F2"/>
            <w:noWrap/>
            <w:tcMar>
              <w:top w:w="15" w:type="dxa"/>
              <w:left w:w="15" w:type="dxa"/>
              <w:bottom w:w="0" w:type="dxa"/>
              <w:right w:w="15" w:type="dxa"/>
            </w:tcMar>
            <w:vAlign w:val="center"/>
            <w:hideMark/>
          </w:tcPr>
          <w:p w14:paraId="55ED4C63" w14:textId="2B324022"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0B9860A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6FC00B8D" w14:textId="5BD50F05"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3588253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6219A3D6"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4196D454"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4520" w:type="dxa"/>
            <w:shd w:val="clear" w:color="auto" w:fill="auto"/>
            <w:tcMar>
              <w:top w:w="15" w:type="dxa"/>
              <w:left w:w="15" w:type="dxa"/>
              <w:bottom w:w="0" w:type="dxa"/>
              <w:right w:w="15" w:type="dxa"/>
            </w:tcMar>
            <w:vAlign w:val="center"/>
            <w:hideMark/>
          </w:tcPr>
          <w:p w14:paraId="525C7C99"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Impartición de Justicia Federal</w:t>
            </w:r>
          </w:p>
        </w:tc>
        <w:tc>
          <w:tcPr>
            <w:tcW w:w="0" w:type="auto"/>
            <w:shd w:val="clear" w:color="auto" w:fill="auto"/>
            <w:noWrap/>
            <w:tcMar>
              <w:top w:w="15" w:type="dxa"/>
              <w:left w:w="15" w:type="dxa"/>
              <w:bottom w:w="0" w:type="dxa"/>
              <w:right w:w="15" w:type="dxa"/>
            </w:tcMar>
            <w:vAlign w:val="center"/>
            <w:hideMark/>
          </w:tcPr>
          <w:p w14:paraId="4124CA81"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CNIJF</w:t>
            </w:r>
          </w:p>
        </w:tc>
        <w:tc>
          <w:tcPr>
            <w:tcW w:w="0" w:type="auto"/>
            <w:shd w:val="clear" w:color="auto" w:fill="auto"/>
            <w:noWrap/>
            <w:tcMar>
              <w:top w:w="15" w:type="dxa"/>
              <w:left w:w="15" w:type="dxa"/>
              <w:bottom w:w="0" w:type="dxa"/>
              <w:right w:w="15" w:type="dxa"/>
            </w:tcMar>
            <w:vAlign w:val="center"/>
            <w:hideMark/>
          </w:tcPr>
          <w:p w14:paraId="3B79974C" w14:textId="0A67C35F"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42AE0FA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2A9C7495" w14:textId="37F5BD4C"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4F3140F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2F95E620" w14:textId="6A3589CD"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24AA1B6A"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2CEA776B" w14:textId="1804CD58"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39F4096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4F3CD545"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0CAF2668"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36611935"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Procuración de Justicia Estatal</w:t>
            </w:r>
          </w:p>
        </w:tc>
        <w:tc>
          <w:tcPr>
            <w:tcW w:w="0" w:type="auto"/>
            <w:shd w:val="clear" w:color="auto" w:fill="F2F2F2" w:themeFill="background1" w:themeFillShade="F2"/>
            <w:noWrap/>
            <w:tcMar>
              <w:top w:w="15" w:type="dxa"/>
              <w:left w:w="15" w:type="dxa"/>
              <w:bottom w:w="0" w:type="dxa"/>
              <w:right w:w="15" w:type="dxa"/>
            </w:tcMar>
            <w:vAlign w:val="center"/>
            <w:hideMark/>
          </w:tcPr>
          <w:p w14:paraId="4610CD49"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CNPJE</w:t>
            </w:r>
          </w:p>
        </w:tc>
        <w:tc>
          <w:tcPr>
            <w:tcW w:w="0" w:type="auto"/>
            <w:shd w:val="clear" w:color="auto" w:fill="F2F2F2" w:themeFill="background1" w:themeFillShade="F2"/>
            <w:noWrap/>
            <w:tcMar>
              <w:top w:w="15" w:type="dxa"/>
              <w:left w:w="15" w:type="dxa"/>
              <w:bottom w:w="0" w:type="dxa"/>
              <w:right w:w="15" w:type="dxa"/>
            </w:tcMar>
            <w:vAlign w:val="center"/>
            <w:hideMark/>
          </w:tcPr>
          <w:p w14:paraId="0DA04ADB" w14:textId="244FBEDB"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5964652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23</w:t>
            </w:r>
          </w:p>
        </w:tc>
        <w:tc>
          <w:tcPr>
            <w:tcW w:w="0" w:type="auto"/>
            <w:shd w:val="clear" w:color="auto" w:fill="F2F2F2" w:themeFill="background1" w:themeFillShade="F2"/>
            <w:noWrap/>
            <w:tcMar>
              <w:top w:w="15" w:type="dxa"/>
              <w:left w:w="15" w:type="dxa"/>
              <w:bottom w:w="0" w:type="dxa"/>
              <w:right w:w="15" w:type="dxa"/>
            </w:tcMar>
            <w:vAlign w:val="center"/>
            <w:hideMark/>
          </w:tcPr>
          <w:p w14:paraId="7B89B92C" w14:textId="649B9760"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6D91C0A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759</w:t>
            </w:r>
          </w:p>
        </w:tc>
        <w:tc>
          <w:tcPr>
            <w:tcW w:w="0" w:type="auto"/>
            <w:shd w:val="clear" w:color="auto" w:fill="F2F2F2" w:themeFill="background1" w:themeFillShade="F2"/>
            <w:noWrap/>
            <w:tcMar>
              <w:top w:w="15" w:type="dxa"/>
              <w:left w:w="15" w:type="dxa"/>
              <w:bottom w:w="0" w:type="dxa"/>
              <w:right w:w="15" w:type="dxa"/>
            </w:tcMar>
            <w:vAlign w:val="center"/>
            <w:hideMark/>
          </w:tcPr>
          <w:p w14:paraId="0B9971B6" w14:textId="04857A10"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18AC03E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1A1E4B8D" w14:textId="49AA78C1"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17450E28"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27BDF67B"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6BCE8F81"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auto"/>
            <w:noWrap/>
            <w:tcMar>
              <w:top w:w="15" w:type="dxa"/>
              <w:left w:w="15" w:type="dxa"/>
              <w:bottom w:w="0" w:type="dxa"/>
              <w:right w:w="15" w:type="dxa"/>
            </w:tcMar>
            <w:vAlign w:val="center"/>
            <w:hideMark/>
          </w:tcPr>
          <w:p w14:paraId="6E644717"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Procuración de Justicia Federal</w:t>
            </w:r>
          </w:p>
        </w:tc>
        <w:tc>
          <w:tcPr>
            <w:tcW w:w="0" w:type="auto"/>
            <w:shd w:val="clear" w:color="auto" w:fill="auto"/>
            <w:noWrap/>
            <w:tcMar>
              <w:top w:w="15" w:type="dxa"/>
              <w:left w:w="15" w:type="dxa"/>
              <w:bottom w:w="0" w:type="dxa"/>
              <w:right w:w="15" w:type="dxa"/>
            </w:tcMar>
            <w:vAlign w:val="center"/>
            <w:hideMark/>
          </w:tcPr>
          <w:p w14:paraId="180827AE"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CNPJF</w:t>
            </w:r>
          </w:p>
        </w:tc>
        <w:tc>
          <w:tcPr>
            <w:tcW w:w="0" w:type="auto"/>
            <w:shd w:val="clear" w:color="auto" w:fill="auto"/>
            <w:noWrap/>
            <w:tcMar>
              <w:top w:w="15" w:type="dxa"/>
              <w:left w:w="15" w:type="dxa"/>
              <w:bottom w:w="0" w:type="dxa"/>
              <w:right w:w="15" w:type="dxa"/>
            </w:tcMar>
            <w:vAlign w:val="center"/>
            <w:hideMark/>
          </w:tcPr>
          <w:p w14:paraId="0BE70E7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3A228CF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5A86161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6509C1E6"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21</w:t>
            </w:r>
          </w:p>
        </w:tc>
        <w:tc>
          <w:tcPr>
            <w:tcW w:w="0" w:type="auto"/>
            <w:shd w:val="clear" w:color="auto" w:fill="auto"/>
            <w:noWrap/>
            <w:tcMar>
              <w:top w:w="15" w:type="dxa"/>
              <w:left w:w="15" w:type="dxa"/>
              <w:bottom w:w="0" w:type="dxa"/>
              <w:right w:w="15" w:type="dxa"/>
            </w:tcMar>
            <w:vAlign w:val="center"/>
            <w:hideMark/>
          </w:tcPr>
          <w:p w14:paraId="42607D1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0AAB510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694FDDB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37FAB35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7DCECE89"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3DA58E2C"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134BFE63"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Poderes Legislativos Estatal</w:t>
            </w:r>
          </w:p>
        </w:tc>
        <w:tc>
          <w:tcPr>
            <w:tcW w:w="0" w:type="auto"/>
            <w:shd w:val="clear" w:color="auto" w:fill="F2F2F2" w:themeFill="background1" w:themeFillShade="F2"/>
            <w:noWrap/>
            <w:tcMar>
              <w:top w:w="15" w:type="dxa"/>
              <w:left w:w="15" w:type="dxa"/>
              <w:bottom w:w="0" w:type="dxa"/>
              <w:right w:w="15" w:type="dxa"/>
            </w:tcMar>
            <w:vAlign w:val="center"/>
            <w:hideMark/>
          </w:tcPr>
          <w:p w14:paraId="656ACB9E"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CNPLE</w:t>
            </w:r>
          </w:p>
        </w:tc>
        <w:tc>
          <w:tcPr>
            <w:tcW w:w="0" w:type="auto"/>
            <w:shd w:val="clear" w:color="auto" w:fill="F2F2F2" w:themeFill="background1" w:themeFillShade="F2"/>
            <w:noWrap/>
            <w:tcMar>
              <w:top w:w="15" w:type="dxa"/>
              <w:left w:w="15" w:type="dxa"/>
              <w:bottom w:w="0" w:type="dxa"/>
              <w:right w:w="15" w:type="dxa"/>
            </w:tcMar>
            <w:vAlign w:val="center"/>
            <w:hideMark/>
          </w:tcPr>
          <w:p w14:paraId="4D125A5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shd w:val="clear" w:color="auto" w:fill="F2F2F2" w:themeFill="background1" w:themeFillShade="F2"/>
            <w:noWrap/>
            <w:tcMar>
              <w:top w:w="15" w:type="dxa"/>
              <w:left w:w="15" w:type="dxa"/>
              <w:bottom w:w="0" w:type="dxa"/>
              <w:right w:w="15" w:type="dxa"/>
            </w:tcMar>
            <w:vAlign w:val="center"/>
            <w:hideMark/>
          </w:tcPr>
          <w:p w14:paraId="541FC12C" w14:textId="67A17913"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6142967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264</w:t>
            </w:r>
          </w:p>
        </w:tc>
        <w:tc>
          <w:tcPr>
            <w:tcW w:w="0" w:type="auto"/>
            <w:shd w:val="clear" w:color="auto" w:fill="F2F2F2" w:themeFill="background1" w:themeFillShade="F2"/>
            <w:noWrap/>
            <w:tcMar>
              <w:top w:w="15" w:type="dxa"/>
              <w:left w:w="15" w:type="dxa"/>
              <w:bottom w:w="0" w:type="dxa"/>
              <w:right w:w="15" w:type="dxa"/>
            </w:tcMar>
            <w:vAlign w:val="center"/>
            <w:hideMark/>
          </w:tcPr>
          <w:p w14:paraId="52933922" w14:textId="243CDDF5"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r w:rsidR="00AE6C80" w:rsidRPr="009A501D">
              <w:rPr>
                <w:rFonts w:ascii="Century Gothic" w:hAnsi="Century Gothic" w:cs="Calibri"/>
                <w:color w:val="000000"/>
                <w:sz w:val="16"/>
                <w:szCs w:val="16"/>
              </w:rPr>
              <w:t> </w:t>
            </w:r>
          </w:p>
        </w:tc>
        <w:tc>
          <w:tcPr>
            <w:tcW w:w="0" w:type="auto"/>
            <w:shd w:val="clear" w:color="auto" w:fill="F2F2F2" w:themeFill="background1" w:themeFillShade="F2"/>
            <w:noWrap/>
            <w:tcMar>
              <w:top w:w="15" w:type="dxa"/>
              <w:left w:w="15" w:type="dxa"/>
              <w:bottom w:w="0" w:type="dxa"/>
              <w:right w:w="15" w:type="dxa"/>
            </w:tcMar>
            <w:vAlign w:val="center"/>
            <w:hideMark/>
          </w:tcPr>
          <w:p w14:paraId="7503A86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285FD268" w14:textId="1BB7F9B5"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7F179DB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480B8A8B" w14:textId="3F8B6C94"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r>
      <w:tr w:rsidR="00AE6C80" w:rsidRPr="009A501D" w14:paraId="0FE94754"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01D64806"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4520" w:type="dxa"/>
            <w:shd w:val="clear" w:color="auto" w:fill="auto"/>
            <w:tcMar>
              <w:top w:w="15" w:type="dxa"/>
              <w:left w:w="15" w:type="dxa"/>
              <w:bottom w:w="0" w:type="dxa"/>
              <w:right w:w="15" w:type="dxa"/>
            </w:tcMar>
            <w:vAlign w:val="center"/>
            <w:hideMark/>
          </w:tcPr>
          <w:p w14:paraId="1495B12D"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Sistemas Penitenciarios Estatales</w:t>
            </w:r>
          </w:p>
        </w:tc>
        <w:tc>
          <w:tcPr>
            <w:tcW w:w="0" w:type="auto"/>
            <w:shd w:val="clear" w:color="auto" w:fill="auto"/>
            <w:noWrap/>
            <w:tcMar>
              <w:top w:w="15" w:type="dxa"/>
              <w:left w:w="15" w:type="dxa"/>
              <w:bottom w:w="0" w:type="dxa"/>
              <w:right w:w="15" w:type="dxa"/>
            </w:tcMar>
            <w:vAlign w:val="center"/>
            <w:hideMark/>
          </w:tcPr>
          <w:p w14:paraId="4DBAB828"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CNSIPEE</w:t>
            </w:r>
          </w:p>
        </w:tc>
        <w:tc>
          <w:tcPr>
            <w:tcW w:w="0" w:type="auto"/>
            <w:shd w:val="clear" w:color="auto" w:fill="auto"/>
            <w:noWrap/>
            <w:tcMar>
              <w:top w:w="15" w:type="dxa"/>
              <w:left w:w="15" w:type="dxa"/>
              <w:bottom w:w="0" w:type="dxa"/>
              <w:right w:w="15" w:type="dxa"/>
            </w:tcMar>
            <w:vAlign w:val="center"/>
            <w:hideMark/>
          </w:tcPr>
          <w:p w14:paraId="0F37B8D7" w14:textId="126E93B9"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67BACF91"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shd w:val="clear" w:color="auto" w:fill="auto"/>
            <w:noWrap/>
            <w:tcMar>
              <w:top w:w="15" w:type="dxa"/>
              <w:left w:w="15" w:type="dxa"/>
              <w:bottom w:w="0" w:type="dxa"/>
              <w:right w:w="15" w:type="dxa"/>
            </w:tcMar>
            <w:vAlign w:val="center"/>
            <w:hideMark/>
          </w:tcPr>
          <w:p w14:paraId="04B9E81D" w14:textId="43029D8E"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6B0A4C5E"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396</w:t>
            </w:r>
          </w:p>
        </w:tc>
        <w:tc>
          <w:tcPr>
            <w:tcW w:w="0" w:type="auto"/>
            <w:shd w:val="clear" w:color="auto" w:fill="auto"/>
            <w:noWrap/>
            <w:tcMar>
              <w:top w:w="15" w:type="dxa"/>
              <w:left w:w="15" w:type="dxa"/>
              <w:bottom w:w="0" w:type="dxa"/>
              <w:right w:w="15" w:type="dxa"/>
            </w:tcMar>
            <w:vAlign w:val="center"/>
            <w:hideMark/>
          </w:tcPr>
          <w:p w14:paraId="052095F5" w14:textId="343A3676"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4E25896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111442FB" w14:textId="42B1430C"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515A4A8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r>
      <w:tr w:rsidR="00AE6C80" w:rsidRPr="009A501D" w14:paraId="78C3614D"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03621CC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4520" w:type="dxa"/>
            <w:shd w:val="clear" w:color="auto" w:fill="F2F2F2" w:themeFill="background1" w:themeFillShade="F2"/>
            <w:tcMar>
              <w:top w:w="15" w:type="dxa"/>
              <w:left w:w="15" w:type="dxa"/>
              <w:bottom w:w="0" w:type="dxa"/>
              <w:right w:w="15" w:type="dxa"/>
            </w:tcMar>
            <w:vAlign w:val="center"/>
            <w:hideMark/>
          </w:tcPr>
          <w:p w14:paraId="65F7187E"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Sistema Penitenciario Federal</w:t>
            </w:r>
          </w:p>
        </w:tc>
        <w:tc>
          <w:tcPr>
            <w:tcW w:w="0" w:type="auto"/>
            <w:shd w:val="clear" w:color="auto" w:fill="F2F2F2" w:themeFill="background1" w:themeFillShade="F2"/>
            <w:noWrap/>
            <w:tcMar>
              <w:top w:w="15" w:type="dxa"/>
              <w:left w:w="15" w:type="dxa"/>
              <w:bottom w:w="0" w:type="dxa"/>
              <w:right w:w="15" w:type="dxa"/>
            </w:tcMar>
            <w:vAlign w:val="center"/>
            <w:hideMark/>
          </w:tcPr>
          <w:p w14:paraId="537392EE"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CNSIPEF</w:t>
            </w:r>
          </w:p>
        </w:tc>
        <w:tc>
          <w:tcPr>
            <w:tcW w:w="0" w:type="auto"/>
            <w:shd w:val="clear" w:color="auto" w:fill="F2F2F2" w:themeFill="background1" w:themeFillShade="F2"/>
            <w:noWrap/>
            <w:tcMar>
              <w:top w:w="15" w:type="dxa"/>
              <w:left w:w="15" w:type="dxa"/>
              <w:bottom w:w="0" w:type="dxa"/>
              <w:right w:w="15" w:type="dxa"/>
            </w:tcMar>
            <w:vAlign w:val="center"/>
            <w:hideMark/>
          </w:tcPr>
          <w:p w14:paraId="13D8A9A7" w14:textId="54A99F75"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79F1227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shd w:val="clear" w:color="auto" w:fill="F2F2F2" w:themeFill="background1" w:themeFillShade="F2"/>
            <w:noWrap/>
            <w:tcMar>
              <w:top w:w="15" w:type="dxa"/>
              <w:left w:w="15" w:type="dxa"/>
              <w:bottom w:w="0" w:type="dxa"/>
              <w:right w:w="15" w:type="dxa"/>
            </w:tcMar>
            <w:vAlign w:val="center"/>
            <w:hideMark/>
          </w:tcPr>
          <w:p w14:paraId="32C31A6D" w14:textId="4D6B6531"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01D9854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shd w:val="clear" w:color="auto" w:fill="F2F2F2" w:themeFill="background1" w:themeFillShade="F2"/>
            <w:noWrap/>
            <w:tcMar>
              <w:top w:w="15" w:type="dxa"/>
              <w:left w:w="15" w:type="dxa"/>
              <w:bottom w:w="0" w:type="dxa"/>
              <w:right w:w="15" w:type="dxa"/>
            </w:tcMar>
            <w:vAlign w:val="center"/>
            <w:hideMark/>
          </w:tcPr>
          <w:p w14:paraId="10DA47FD" w14:textId="5D964B68"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210876ED"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5CC72D8D" w14:textId="12D155BF"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602B50B0"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5094281E" w14:textId="77777777" w:rsidTr="00BC774F">
        <w:trPr>
          <w:trHeight w:val="284"/>
          <w:jc w:val="center"/>
        </w:trPr>
        <w:tc>
          <w:tcPr>
            <w:tcW w:w="0" w:type="auto"/>
            <w:shd w:val="clear" w:color="auto" w:fill="auto"/>
            <w:noWrap/>
            <w:tcMar>
              <w:top w:w="15" w:type="dxa"/>
              <w:left w:w="15" w:type="dxa"/>
              <w:bottom w:w="0" w:type="dxa"/>
              <w:right w:w="15" w:type="dxa"/>
            </w:tcMar>
            <w:vAlign w:val="center"/>
            <w:hideMark/>
          </w:tcPr>
          <w:p w14:paraId="7A78C05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auto"/>
            <w:noWrap/>
            <w:tcMar>
              <w:top w:w="15" w:type="dxa"/>
              <w:left w:w="15" w:type="dxa"/>
              <w:bottom w:w="0" w:type="dxa"/>
              <w:right w:w="15" w:type="dxa"/>
            </w:tcMar>
            <w:vAlign w:val="center"/>
            <w:hideMark/>
          </w:tcPr>
          <w:p w14:paraId="057846CB"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Seguridad Pública Estatal</w:t>
            </w:r>
          </w:p>
        </w:tc>
        <w:tc>
          <w:tcPr>
            <w:tcW w:w="0" w:type="auto"/>
            <w:shd w:val="clear" w:color="auto" w:fill="auto"/>
            <w:noWrap/>
            <w:tcMar>
              <w:top w:w="15" w:type="dxa"/>
              <w:left w:w="15" w:type="dxa"/>
              <w:bottom w:w="0" w:type="dxa"/>
              <w:right w:w="15" w:type="dxa"/>
            </w:tcMar>
            <w:vAlign w:val="center"/>
            <w:hideMark/>
          </w:tcPr>
          <w:p w14:paraId="7240843A"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CNSPE</w:t>
            </w:r>
          </w:p>
        </w:tc>
        <w:tc>
          <w:tcPr>
            <w:tcW w:w="0" w:type="auto"/>
            <w:shd w:val="clear" w:color="auto" w:fill="auto"/>
            <w:noWrap/>
            <w:tcMar>
              <w:top w:w="15" w:type="dxa"/>
              <w:left w:w="15" w:type="dxa"/>
              <w:bottom w:w="0" w:type="dxa"/>
              <w:right w:w="15" w:type="dxa"/>
            </w:tcMar>
            <w:vAlign w:val="center"/>
            <w:hideMark/>
          </w:tcPr>
          <w:p w14:paraId="301DA4E6" w14:textId="59FAA5A0"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7C4BE0E5"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shd w:val="clear" w:color="auto" w:fill="auto"/>
            <w:noWrap/>
            <w:tcMar>
              <w:top w:w="15" w:type="dxa"/>
              <w:left w:w="15" w:type="dxa"/>
              <w:bottom w:w="0" w:type="dxa"/>
              <w:right w:w="15" w:type="dxa"/>
            </w:tcMar>
            <w:vAlign w:val="center"/>
            <w:hideMark/>
          </w:tcPr>
          <w:p w14:paraId="05FFAD20" w14:textId="3EEAE216"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3CA168E3"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198</w:t>
            </w:r>
          </w:p>
        </w:tc>
        <w:tc>
          <w:tcPr>
            <w:tcW w:w="0" w:type="auto"/>
            <w:shd w:val="clear" w:color="auto" w:fill="auto"/>
            <w:noWrap/>
            <w:tcMar>
              <w:top w:w="15" w:type="dxa"/>
              <w:left w:w="15" w:type="dxa"/>
              <w:bottom w:w="0" w:type="dxa"/>
              <w:right w:w="15" w:type="dxa"/>
            </w:tcMar>
            <w:vAlign w:val="center"/>
            <w:hideMark/>
          </w:tcPr>
          <w:p w14:paraId="17419227" w14:textId="44BC09CF"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499092CC"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auto"/>
            <w:noWrap/>
            <w:tcMar>
              <w:top w:w="15" w:type="dxa"/>
              <w:left w:w="15" w:type="dxa"/>
              <w:bottom w:w="0" w:type="dxa"/>
              <w:right w:w="15" w:type="dxa"/>
            </w:tcMar>
            <w:vAlign w:val="center"/>
            <w:hideMark/>
          </w:tcPr>
          <w:p w14:paraId="4A5C7187" w14:textId="7B91C5A2"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auto"/>
            <w:noWrap/>
            <w:tcMar>
              <w:top w:w="15" w:type="dxa"/>
              <w:left w:w="15" w:type="dxa"/>
              <w:bottom w:w="0" w:type="dxa"/>
              <w:right w:w="15" w:type="dxa"/>
            </w:tcMar>
            <w:vAlign w:val="center"/>
            <w:hideMark/>
          </w:tcPr>
          <w:p w14:paraId="577C2494"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AE6C80" w:rsidRPr="009A501D" w14:paraId="2AB16001" w14:textId="77777777" w:rsidTr="004C2495">
        <w:trPr>
          <w:trHeight w:val="284"/>
          <w:jc w:val="center"/>
        </w:trPr>
        <w:tc>
          <w:tcPr>
            <w:tcW w:w="0" w:type="auto"/>
            <w:shd w:val="clear" w:color="auto" w:fill="F2F2F2" w:themeFill="background1" w:themeFillShade="F2"/>
            <w:noWrap/>
            <w:tcMar>
              <w:top w:w="15" w:type="dxa"/>
              <w:left w:w="15" w:type="dxa"/>
              <w:bottom w:w="0" w:type="dxa"/>
              <w:right w:w="15" w:type="dxa"/>
            </w:tcMar>
            <w:vAlign w:val="center"/>
            <w:hideMark/>
          </w:tcPr>
          <w:p w14:paraId="5ED3E562"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shd w:val="clear" w:color="auto" w:fill="F2F2F2" w:themeFill="background1" w:themeFillShade="F2"/>
            <w:noWrap/>
            <w:tcMar>
              <w:top w:w="15" w:type="dxa"/>
              <w:left w:w="15" w:type="dxa"/>
              <w:bottom w:w="0" w:type="dxa"/>
              <w:right w:w="15" w:type="dxa"/>
            </w:tcMar>
            <w:vAlign w:val="center"/>
            <w:hideMark/>
          </w:tcPr>
          <w:p w14:paraId="0213BC51" w14:textId="77777777" w:rsidR="00AE6C80" w:rsidRPr="009A501D" w:rsidRDefault="00AE6C80" w:rsidP="00D858E6">
            <w:pPr>
              <w:spacing w:after="0"/>
              <w:rPr>
                <w:rFonts w:ascii="Century Gothic" w:hAnsi="Century Gothic" w:cs="Calibri"/>
                <w:color w:val="000000"/>
                <w:sz w:val="16"/>
                <w:szCs w:val="16"/>
              </w:rPr>
            </w:pPr>
            <w:r w:rsidRPr="009A501D">
              <w:rPr>
                <w:rFonts w:ascii="Century Gothic" w:hAnsi="Century Gothic" w:cs="Calibri"/>
                <w:color w:val="000000"/>
                <w:sz w:val="16"/>
                <w:szCs w:val="16"/>
              </w:rPr>
              <w:t>Censo Nacional de Seguridad Pública Federal</w:t>
            </w:r>
          </w:p>
        </w:tc>
        <w:tc>
          <w:tcPr>
            <w:tcW w:w="0" w:type="auto"/>
            <w:shd w:val="clear" w:color="auto" w:fill="F2F2F2" w:themeFill="background1" w:themeFillShade="F2"/>
            <w:noWrap/>
            <w:tcMar>
              <w:top w:w="15" w:type="dxa"/>
              <w:left w:w="15" w:type="dxa"/>
              <w:bottom w:w="0" w:type="dxa"/>
              <w:right w:w="15" w:type="dxa"/>
            </w:tcMar>
            <w:vAlign w:val="center"/>
            <w:hideMark/>
          </w:tcPr>
          <w:p w14:paraId="4A2C2F7D" w14:textId="77777777" w:rsidR="00AE6C80" w:rsidRPr="009A501D" w:rsidRDefault="00AE6C80" w:rsidP="006B1567">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CNSPF</w:t>
            </w:r>
          </w:p>
        </w:tc>
        <w:tc>
          <w:tcPr>
            <w:tcW w:w="0" w:type="auto"/>
            <w:shd w:val="clear" w:color="auto" w:fill="F2F2F2" w:themeFill="background1" w:themeFillShade="F2"/>
            <w:noWrap/>
            <w:tcMar>
              <w:top w:w="15" w:type="dxa"/>
              <w:left w:w="15" w:type="dxa"/>
              <w:bottom w:w="0" w:type="dxa"/>
              <w:right w:w="15" w:type="dxa"/>
            </w:tcMar>
            <w:vAlign w:val="center"/>
            <w:hideMark/>
          </w:tcPr>
          <w:p w14:paraId="1C26B3DE" w14:textId="1E226D2E"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13CF13E2"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7</w:t>
            </w:r>
          </w:p>
        </w:tc>
        <w:tc>
          <w:tcPr>
            <w:tcW w:w="0" w:type="auto"/>
            <w:shd w:val="clear" w:color="auto" w:fill="F2F2F2" w:themeFill="background1" w:themeFillShade="F2"/>
            <w:noWrap/>
            <w:tcMar>
              <w:top w:w="15" w:type="dxa"/>
              <w:left w:w="15" w:type="dxa"/>
              <w:bottom w:w="0" w:type="dxa"/>
              <w:right w:w="15" w:type="dxa"/>
            </w:tcMar>
            <w:vAlign w:val="center"/>
            <w:hideMark/>
          </w:tcPr>
          <w:p w14:paraId="0A3A7C7A" w14:textId="44A6BD8B"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00C610B7"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7</w:t>
            </w:r>
          </w:p>
        </w:tc>
        <w:tc>
          <w:tcPr>
            <w:tcW w:w="0" w:type="auto"/>
            <w:shd w:val="clear" w:color="auto" w:fill="F2F2F2" w:themeFill="background1" w:themeFillShade="F2"/>
            <w:noWrap/>
            <w:tcMar>
              <w:top w:w="15" w:type="dxa"/>
              <w:left w:w="15" w:type="dxa"/>
              <w:bottom w:w="0" w:type="dxa"/>
              <w:right w:w="15" w:type="dxa"/>
            </w:tcMar>
            <w:vAlign w:val="center"/>
            <w:hideMark/>
          </w:tcPr>
          <w:p w14:paraId="497BFF64" w14:textId="798930D1"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35018109"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shd w:val="clear" w:color="auto" w:fill="F2F2F2" w:themeFill="background1" w:themeFillShade="F2"/>
            <w:noWrap/>
            <w:tcMar>
              <w:top w:w="15" w:type="dxa"/>
              <w:left w:w="15" w:type="dxa"/>
              <w:bottom w:w="0" w:type="dxa"/>
              <w:right w:w="15" w:type="dxa"/>
            </w:tcMar>
            <w:vAlign w:val="center"/>
            <w:hideMark/>
          </w:tcPr>
          <w:p w14:paraId="15C0162E" w14:textId="11FFEF03" w:rsidR="00AE6C80" w:rsidRPr="009A501D" w:rsidRDefault="00911C27"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SN</w:t>
            </w:r>
          </w:p>
        </w:tc>
        <w:tc>
          <w:tcPr>
            <w:tcW w:w="0" w:type="auto"/>
            <w:shd w:val="clear" w:color="auto" w:fill="F2F2F2" w:themeFill="background1" w:themeFillShade="F2"/>
            <w:noWrap/>
            <w:tcMar>
              <w:top w:w="15" w:type="dxa"/>
              <w:left w:w="15" w:type="dxa"/>
              <w:bottom w:w="0" w:type="dxa"/>
              <w:right w:w="15" w:type="dxa"/>
            </w:tcMar>
            <w:vAlign w:val="center"/>
            <w:hideMark/>
          </w:tcPr>
          <w:p w14:paraId="051FA95F" w14:textId="77777777" w:rsidR="00AE6C80" w:rsidRPr="009A501D" w:rsidRDefault="00AE6C80" w:rsidP="00D858E6">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bl>
    <w:p w14:paraId="71BCCC92" w14:textId="3F633E00" w:rsidR="00AE6C80" w:rsidRPr="009A501D" w:rsidRDefault="00BD05EC" w:rsidP="00BD05EC">
      <w:pPr>
        <w:spacing w:after="0"/>
        <w:ind w:firstLine="567"/>
        <w:jc w:val="both"/>
        <w:rPr>
          <w:rFonts w:ascii="Century Gothic" w:hAnsi="Century Gothic" w:cstheme="minorHAnsi"/>
          <w:sz w:val="14"/>
          <w:szCs w:val="14"/>
        </w:rPr>
      </w:pPr>
      <w:r w:rsidRPr="009A501D">
        <w:rPr>
          <w:rFonts w:ascii="Century Gothic" w:hAnsi="Century Gothic" w:cstheme="minorHAnsi"/>
          <w:sz w:val="14"/>
          <w:szCs w:val="14"/>
        </w:rPr>
        <w:t>S</w:t>
      </w:r>
      <w:r w:rsidR="00911C27" w:rsidRPr="009A501D">
        <w:rPr>
          <w:rFonts w:ascii="Century Gothic" w:hAnsi="Century Gothic" w:cstheme="minorHAnsi"/>
          <w:sz w:val="14"/>
          <w:szCs w:val="14"/>
        </w:rPr>
        <w:t>N</w:t>
      </w:r>
      <w:r w:rsidR="00AE6C80" w:rsidRPr="009A501D">
        <w:rPr>
          <w:rFonts w:ascii="Century Gothic" w:hAnsi="Century Gothic" w:cstheme="minorHAnsi"/>
          <w:sz w:val="14"/>
          <w:szCs w:val="14"/>
        </w:rPr>
        <w:t xml:space="preserve">: </w:t>
      </w:r>
      <w:r w:rsidR="00911C27" w:rsidRPr="009A501D">
        <w:rPr>
          <w:rFonts w:ascii="Century Gothic" w:hAnsi="Century Gothic" w:cstheme="minorHAnsi"/>
          <w:sz w:val="14"/>
          <w:szCs w:val="14"/>
        </w:rPr>
        <w:t>sin información</w:t>
      </w:r>
      <w:r w:rsidR="00AE6C80" w:rsidRPr="009A501D">
        <w:rPr>
          <w:rFonts w:ascii="Century Gothic" w:hAnsi="Century Gothic" w:cstheme="minorHAnsi"/>
          <w:sz w:val="14"/>
          <w:szCs w:val="14"/>
        </w:rPr>
        <w:t>.</w:t>
      </w:r>
    </w:p>
    <w:p w14:paraId="7300DE71" w14:textId="4EAC0332" w:rsidR="00AE6C80" w:rsidRPr="009A501D" w:rsidRDefault="00AE6C80" w:rsidP="00BD05EC">
      <w:pPr>
        <w:spacing w:after="0"/>
        <w:ind w:firstLine="567"/>
        <w:jc w:val="both"/>
        <w:rPr>
          <w:rFonts w:ascii="Century Gothic" w:hAnsi="Century Gothic"/>
          <w:sz w:val="14"/>
          <w:szCs w:val="14"/>
        </w:rPr>
      </w:pPr>
      <w:r w:rsidRPr="009A501D">
        <w:rPr>
          <w:rFonts w:ascii="Century Gothic" w:hAnsi="Century Gothic"/>
          <w:sz w:val="14"/>
          <w:szCs w:val="14"/>
        </w:rPr>
        <w:t>*Estos datos correspondían ser reportados en el Informe Anual de Resultados 2021, sin embargo</w:t>
      </w:r>
      <w:r w:rsidR="00A375A9" w:rsidRPr="009A501D">
        <w:rPr>
          <w:rFonts w:ascii="Century Gothic" w:hAnsi="Century Gothic"/>
          <w:sz w:val="14"/>
          <w:szCs w:val="14"/>
        </w:rPr>
        <w:t>,</w:t>
      </w:r>
      <w:r w:rsidRPr="009A501D">
        <w:rPr>
          <w:rFonts w:ascii="Century Gothic" w:hAnsi="Century Gothic"/>
          <w:sz w:val="14"/>
          <w:szCs w:val="14"/>
        </w:rPr>
        <w:t xml:space="preserve"> se recibieron con retraso en 2022. </w:t>
      </w:r>
    </w:p>
    <w:p w14:paraId="1DEF80B5" w14:textId="77777777" w:rsidR="00BD05EC" w:rsidRPr="009A501D" w:rsidRDefault="00AE6C80" w:rsidP="00BD05EC">
      <w:pPr>
        <w:spacing w:after="0"/>
        <w:ind w:firstLine="567"/>
        <w:jc w:val="both"/>
        <w:rPr>
          <w:rFonts w:ascii="Century Gothic" w:hAnsi="Century Gothic"/>
          <w:sz w:val="14"/>
          <w:szCs w:val="14"/>
        </w:rPr>
      </w:pPr>
      <w:r w:rsidRPr="009A501D">
        <w:rPr>
          <w:rFonts w:ascii="Century Gothic" w:hAnsi="Century Gothic"/>
          <w:sz w:val="14"/>
          <w:szCs w:val="14"/>
        </w:rPr>
        <w:t>**Estos datos corresponden a los indicadores registrados en metadatos durante 2022, independientemente del período de publicación de la información.</w:t>
      </w:r>
    </w:p>
    <w:p w14:paraId="01345F87" w14:textId="2809E052" w:rsidR="00514E11" w:rsidRPr="009A501D" w:rsidRDefault="00657B06" w:rsidP="00BD05EC">
      <w:pPr>
        <w:spacing w:after="0"/>
        <w:ind w:firstLine="567"/>
        <w:jc w:val="both"/>
        <w:rPr>
          <w:rFonts w:ascii="Century Gothic" w:hAnsi="Century Gothic"/>
        </w:rPr>
      </w:pPr>
      <w:r w:rsidRPr="009A501D">
        <w:rPr>
          <w:rFonts w:ascii="Century Gothic" w:hAnsi="Century Gothic"/>
          <w:sz w:val="19"/>
          <w:szCs w:val="19"/>
        </w:rPr>
        <w:br w:type="page"/>
      </w:r>
    </w:p>
    <w:p w14:paraId="51417783" w14:textId="6FD4BB0F" w:rsidR="00514E11" w:rsidRPr="009A501D" w:rsidRDefault="00514E11" w:rsidP="00664A1D">
      <w:pPr>
        <w:pStyle w:val="Ttulo2"/>
        <w:rPr>
          <w:rFonts w:ascii="Century Gothic" w:eastAsiaTheme="minorHAnsi" w:hAnsi="Century Gothic" w:cstheme="minorBidi"/>
          <w:bCs/>
          <w:color w:val="0079BF"/>
          <w:sz w:val="24"/>
          <w:szCs w:val="24"/>
        </w:rPr>
      </w:pPr>
      <w:bookmarkStart w:id="37" w:name="_Toc131161816"/>
      <w:r w:rsidRPr="009A501D">
        <w:rPr>
          <w:rFonts w:ascii="Century Gothic" w:hAnsi="Century Gothic"/>
          <w:color w:val="0079BF"/>
          <w:sz w:val="24"/>
        </w:rPr>
        <w:lastRenderedPageBreak/>
        <w:t xml:space="preserve">Anexo </w:t>
      </w:r>
      <w:r w:rsidR="00AE6C80" w:rsidRPr="009A501D">
        <w:rPr>
          <w:rFonts w:ascii="Century Gothic" w:hAnsi="Century Gothic"/>
          <w:color w:val="0079BF"/>
          <w:sz w:val="24"/>
        </w:rPr>
        <w:t>5</w:t>
      </w:r>
      <w:r w:rsidRPr="009A501D">
        <w:rPr>
          <w:rFonts w:ascii="Century Gothic" w:hAnsi="Century Gothic"/>
          <w:color w:val="0079BF"/>
          <w:sz w:val="24"/>
        </w:rPr>
        <w:t xml:space="preserve">: </w:t>
      </w:r>
      <w:r w:rsidR="00704337" w:rsidRPr="009A501D">
        <w:rPr>
          <w:rFonts w:ascii="Century Gothic" w:hAnsi="Century Gothic"/>
          <w:color w:val="0079BF"/>
          <w:sz w:val="24"/>
        </w:rPr>
        <w:t>Resultados de los i</w:t>
      </w:r>
      <w:r w:rsidRPr="009A501D">
        <w:rPr>
          <w:rFonts w:ascii="Century Gothic" w:hAnsi="Century Gothic"/>
          <w:color w:val="0079BF"/>
          <w:sz w:val="24"/>
        </w:rPr>
        <w:t>ndicadores de precisión y confiabilidad en encuestas</w:t>
      </w:r>
      <w:bookmarkEnd w:id="37"/>
    </w:p>
    <w:p w14:paraId="6A4D877F" w14:textId="33737ADF" w:rsidR="005A1399" w:rsidRPr="009A501D" w:rsidRDefault="005A1399" w:rsidP="00A32765">
      <w:pPr>
        <w:spacing w:before="240"/>
        <w:jc w:val="both"/>
        <w:rPr>
          <w:rFonts w:ascii="Century Gothic" w:hAnsi="Century Gothic" w:cstheme="minorHAnsi"/>
          <w:sz w:val="19"/>
          <w:szCs w:val="19"/>
        </w:rPr>
      </w:pPr>
      <w:r w:rsidRPr="009A501D">
        <w:rPr>
          <w:rFonts w:ascii="Century Gothic" w:hAnsi="Century Gothic" w:cstheme="minorHAnsi"/>
          <w:sz w:val="19"/>
          <w:szCs w:val="19"/>
        </w:rPr>
        <w:t>En 2017 y 2018 el Comité aprobó nueve indicadores para medir la precisión en encuestas. Los indicadores aprobados se diferenciaron entre uso externo y uso interno</w:t>
      </w:r>
      <w:r w:rsidR="00D71EE0" w:rsidRPr="009A501D">
        <w:rPr>
          <w:rFonts w:ascii="Century Gothic" w:hAnsi="Century Gothic" w:cstheme="minorHAnsi"/>
          <w:sz w:val="19"/>
          <w:szCs w:val="19"/>
        </w:rPr>
        <w:t xml:space="preserve"> (ver cuadro A.5.1)</w:t>
      </w:r>
      <w:r w:rsidRPr="009A501D">
        <w:rPr>
          <w:rFonts w:ascii="Century Gothic" w:hAnsi="Century Gothic" w:cstheme="minorHAnsi"/>
          <w:sz w:val="19"/>
          <w:szCs w:val="19"/>
        </w:rPr>
        <w:t xml:space="preserve">. Ambos deben reportarse en los metadatos de los </w:t>
      </w:r>
      <w:r w:rsidR="00EC4113" w:rsidRPr="009A501D">
        <w:rPr>
          <w:rFonts w:ascii="Century Gothic" w:hAnsi="Century Gothic" w:cstheme="minorHAnsi"/>
          <w:sz w:val="19"/>
          <w:szCs w:val="19"/>
        </w:rPr>
        <w:t>procesos de producción</w:t>
      </w:r>
      <w:r w:rsidRPr="009A501D">
        <w:rPr>
          <w:rFonts w:ascii="Century Gothic" w:hAnsi="Century Gothic" w:cstheme="minorHAnsi"/>
          <w:sz w:val="19"/>
          <w:szCs w:val="19"/>
        </w:rPr>
        <w:t>, pero los de uso externo están disponibles para los usuarios a través de la Red Nacional de Metadatos.</w:t>
      </w:r>
    </w:p>
    <w:p w14:paraId="200729DA" w14:textId="6AF8676B" w:rsidR="005A1399" w:rsidRPr="009A501D" w:rsidRDefault="005A1399" w:rsidP="00A32765">
      <w:pPr>
        <w:spacing w:before="240"/>
        <w:jc w:val="center"/>
        <w:rPr>
          <w:rFonts w:ascii="Century Gothic" w:hAnsi="Century Gothic" w:cstheme="majorHAnsi"/>
          <w:b/>
          <w:sz w:val="19"/>
          <w:szCs w:val="19"/>
        </w:rPr>
      </w:pPr>
      <w:r w:rsidRPr="009A501D">
        <w:rPr>
          <w:rFonts w:ascii="Century Gothic" w:hAnsi="Century Gothic" w:cstheme="majorHAnsi"/>
          <w:b/>
          <w:sz w:val="19"/>
          <w:szCs w:val="19"/>
        </w:rPr>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.1. Indicadores de precisión y confiabilidad estadística aprobados según tipo de uso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4825"/>
        <w:gridCol w:w="7082"/>
      </w:tblGrid>
      <w:tr w:rsidR="005A1399" w:rsidRPr="009A501D" w14:paraId="35DEAAD0" w14:textId="77777777" w:rsidTr="00317772">
        <w:trPr>
          <w:jc w:val="center"/>
        </w:trPr>
        <w:tc>
          <w:tcPr>
            <w:tcW w:w="4825" w:type="dxa"/>
            <w:shd w:val="clear" w:color="auto" w:fill="1F3864" w:themeFill="accent5" w:themeFillShade="80"/>
          </w:tcPr>
          <w:p w14:paraId="4DDD64A4" w14:textId="77777777" w:rsidR="005A1399" w:rsidRPr="009A501D" w:rsidRDefault="005A1399" w:rsidP="00911C27">
            <w:pPr>
              <w:spacing w:after="0"/>
              <w:ind w:left="357"/>
              <w:jc w:val="center"/>
              <w:rPr>
                <w:rFonts w:ascii="Century Gothic" w:eastAsia="Calibri" w:hAnsi="Century Gothic"/>
                <w:color w:val="FFFFFF" w:themeColor="background1"/>
                <w:sz w:val="16"/>
                <w:szCs w:val="20"/>
              </w:rPr>
            </w:pPr>
            <w:r w:rsidRPr="009A501D">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416AB641" w14:textId="77777777" w:rsidR="005A1399" w:rsidRPr="009A501D" w:rsidRDefault="005A1399" w:rsidP="00911C27">
            <w:pPr>
              <w:spacing w:after="0"/>
              <w:ind w:left="357"/>
              <w:jc w:val="center"/>
              <w:rPr>
                <w:rFonts w:ascii="Century Gothic" w:eastAsia="Calibri" w:hAnsi="Century Gothic"/>
                <w:color w:val="FFFFFF" w:themeColor="background1"/>
                <w:sz w:val="16"/>
                <w:szCs w:val="20"/>
              </w:rPr>
            </w:pPr>
            <w:r w:rsidRPr="009A501D">
              <w:rPr>
                <w:rFonts w:ascii="Century Gothic" w:eastAsia="Calibri" w:hAnsi="Century Gothic"/>
                <w:b/>
                <w:bCs/>
                <w:color w:val="FFFFFF" w:themeColor="background1"/>
                <w:sz w:val="16"/>
                <w:szCs w:val="20"/>
              </w:rPr>
              <w:t>Uso Interno:</w:t>
            </w:r>
          </w:p>
        </w:tc>
      </w:tr>
      <w:tr w:rsidR="005A1399" w:rsidRPr="009A501D" w14:paraId="459D748B" w14:textId="77777777" w:rsidTr="00A32765">
        <w:trPr>
          <w:trHeight w:val="1584"/>
          <w:jc w:val="center"/>
        </w:trPr>
        <w:tc>
          <w:tcPr>
            <w:tcW w:w="4825" w:type="dxa"/>
            <w:shd w:val="clear" w:color="auto" w:fill="FFFFFF" w:themeFill="background1"/>
            <w:vAlign w:val="center"/>
          </w:tcPr>
          <w:p w14:paraId="3A4BC72D" w14:textId="77777777" w:rsidR="005A1399" w:rsidRPr="009A501D" w:rsidRDefault="005A1399" w:rsidP="00A32765">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Coeficiente de Variación (CV)</w:t>
            </w:r>
          </w:p>
          <w:p w14:paraId="0824EC7B" w14:textId="77777777" w:rsidR="005A1399" w:rsidRPr="009A501D" w:rsidRDefault="005A1399" w:rsidP="00A32765">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Error Estándar (SE)</w:t>
            </w:r>
          </w:p>
          <w:p w14:paraId="0B90EA14" w14:textId="4ABB9FCA" w:rsidR="005A1399" w:rsidRPr="009A501D" w:rsidRDefault="005A1399" w:rsidP="00A32765">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Intervalos de confianza (IC)</w:t>
            </w:r>
          </w:p>
          <w:p w14:paraId="5170A801" w14:textId="77777777" w:rsidR="005A1399" w:rsidRPr="009A501D" w:rsidRDefault="005A1399" w:rsidP="00A32765">
            <w:pPr>
              <w:numPr>
                <w:ilvl w:val="0"/>
                <w:numId w:val="2"/>
              </w:numPr>
              <w:tabs>
                <w:tab w:val="clear" w:pos="720"/>
                <w:tab w:val="num" w:pos="317"/>
              </w:tabs>
              <w:spacing w:after="0" w:line="240" w:lineRule="auto"/>
              <w:ind w:left="317" w:hanging="283"/>
              <w:jc w:val="both"/>
              <w:rPr>
                <w:rFonts w:ascii="Century Gothic" w:eastAsia="Calibri" w:hAnsi="Century Gothic"/>
                <w:sz w:val="16"/>
                <w:szCs w:val="20"/>
              </w:rPr>
            </w:pPr>
            <w:r w:rsidRPr="009A501D">
              <w:rPr>
                <w:rFonts w:ascii="Century Gothic" w:eastAsia="Calibri" w:hAnsi="Century Gothic"/>
                <w:sz w:val="16"/>
                <w:szCs w:val="20"/>
              </w:rPr>
              <w:t>Cobertura de la variable de diseño (CVD)</w:t>
            </w:r>
            <w:r w:rsidRPr="009A501D">
              <w:rPr>
                <w:rFonts w:ascii="Century Gothic" w:eastAsia="Calibri" w:hAnsi="Century Gothic"/>
                <w:sz w:val="16"/>
                <w:szCs w:val="20"/>
              </w:rPr>
              <w:br/>
              <w:t>(sólo para encuestas con muestreo no probabilístico)</w:t>
            </w:r>
          </w:p>
        </w:tc>
        <w:tc>
          <w:tcPr>
            <w:tcW w:w="7082" w:type="dxa"/>
            <w:shd w:val="clear" w:color="auto" w:fill="FFFFFF" w:themeFill="background1"/>
            <w:vAlign w:val="center"/>
          </w:tcPr>
          <w:p w14:paraId="69EA04AE" w14:textId="77777777" w:rsidR="005A1399" w:rsidRPr="009A501D" w:rsidRDefault="005A1399" w:rsidP="00A32765">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no respuesta antes de imputación a nivel unidad de observación (TNR_AI)</w:t>
            </w:r>
          </w:p>
          <w:p w14:paraId="51C26AA4" w14:textId="77777777" w:rsidR="005A1399" w:rsidRPr="009A501D" w:rsidRDefault="005A1399" w:rsidP="00A32765">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cumplimiento de la muestra mínima antes de imputación (TCMM)</w:t>
            </w:r>
          </w:p>
          <w:p w14:paraId="2A81F0D8" w14:textId="77777777" w:rsidR="005A1399" w:rsidRPr="009A501D" w:rsidRDefault="005A1399" w:rsidP="00A32765">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no respuesta después de imputación a nivel unidad de observación (TNR_DI)</w:t>
            </w:r>
          </w:p>
          <w:p w14:paraId="56014B16" w14:textId="77777777" w:rsidR="005A1399" w:rsidRPr="009A501D" w:rsidRDefault="005A1399" w:rsidP="00A32765">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Tasa de imputación a nivel unidad de observación (TI)</w:t>
            </w:r>
          </w:p>
          <w:p w14:paraId="0AAA62D0" w14:textId="77777777" w:rsidR="005A1399" w:rsidRPr="009A501D" w:rsidRDefault="005A1399" w:rsidP="00A32765">
            <w:pPr>
              <w:numPr>
                <w:ilvl w:val="0"/>
                <w:numId w:val="3"/>
              </w:numPr>
              <w:tabs>
                <w:tab w:val="clear" w:pos="720"/>
                <w:tab w:val="num" w:pos="316"/>
              </w:tabs>
              <w:spacing w:after="0" w:line="240" w:lineRule="auto"/>
              <w:ind w:left="316" w:hanging="283"/>
              <w:jc w:val="both"/>
              <w:rPr>
                <w:rFonts w:ascii="Century Gothic" w:eastAsia="Calibri" w:hAnsi="Century Gothic"/>
                <w:sz w:val="16"/>
                <w:szCs w:val="20"/>
              </w:rPr>
            </w:pPr>
            <w:r w:rsidRPr="009A501D">
              <w:rPr>
                <w:rFonts w:ascii="Century Gothic" w:eastAsia="Calibri" w:hAnsi="Century Gothic"/>
                <w:sz w:val="16"/>
                <w:szCs w:val="20"/>
              </w:rPr>
              <w:t xml:space="preserve">Tasa de </w:t>
            </w:r>
            <w:proofErr w:type="spellStart"/>
            <w:r w:rsidRPr="009A501D">
              <w:rPr>
                <w:rFonts w:ascii="Century Gothic" w:eastAsia="Calibri" w:hAnsi="Century Gothic"/>
                <w:sz w:val="16"/>
                <w:szCs w:val="20"/>
              </w:rPr>
              <w:t>sobrecobertura</w:t>
            </w:r>
            <w:proofErr w:type="spellEnd"/>
            <w:r w:rsidRPr="009A501D">
              <w:rPr>
                <w:rFonts w:ascii="Century Gothic" w:eastAsia="Calibri" w:hAnsi="Century Gothic"/>
                <w:sz w:val="16"/>
                <w:szCs w:val="20"/>
              </w:rPr>
              <w:t xml:space="preserve"> a nivel unidad de observación (TSC)</w:t>
            </w:r>
          </w:p>
        </w:tc>
      </w:tr>
    </w:tbl>
    <w:p w14:paraId="2E2B9CA2" w14:textId="2EE38B2D"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El universo de encuestas por muestreo que para 2022 publicaron resultados conforme al Inventario de Programas de Información (IPI) y, por tanto, debieron calcular y reportar los indicadores antes mencionados fue de 116 ciclos correspondientes a 30 </w:t>
      </w:r>
      <w:r w:rsidR="00EC4113" w:rsidRPr="009A501D">
        <w:rPr>
          <w:rFonts w:ascii="Century Gothic" w:hAnsi="Century Gothic" w:cstheme="minorHAnsi"/>
          <w:sz w:val="19"/>
          <w:szCs w:val="19"/>
        </w:rPr>
        <w:t>p</w:t>
      </w:r>
      <w:r w:rsidRPr="009A501D">
        <w:rPr>
          <w:rFonts w:ascii="Century Gothic" w:hAnsi="Century Gothic" w:cstheme="minorHAnsi"/>
          <w:sz w:val="19"/>
          <w:szCs w:val="19"/>
        </w:rPr>
        <w:t xml:space="preserve">rocesos de </w:t>
      </w:r>
      <w:r w:rsidR="00911C27" w:rsidRPr="009A501D">
        <w:rPr>
          <w:rFonts w:ascii="Century Gothic" w:hAnsi="Century Gothic" w:cstheme="minorHAnsi"/>
          <w:sz w:val="19"/>
          <w:szCs w:val="19"/>
        </w:rPr>
        <w:t>producción</w:t>
      </w:r>
      <w:r w:rsidRPr="009A501D">
        <w:rPr>
          <w:rFonts w:ascii="Century Gothic" w:hAnsi="Century Gothic" w:cstheme="minorHAnsi"/>
          <w:sz w:val="19"/>
          <w:szCs w:val="19"/>
        </w:rPr>
        <w:t xml:space="preserve"> (ver cuadro A.</w:t>
      </w:r>
      <w:r w:rsidR="0006343F" w:rsidRPr="009A501D">
        <w:rPr>
          <w:rFonts w:ascii="Century Gothic" w:hAnsi="Century Gothic" w:cstheme="minorHAnsi"/>
          <w:sz w:val="19"/>
          <w:szCs w:val="19"/>
        </w:rPr>
        <w:t>5</w:t>
      </w:r>
      <w:r w:rsidRPr="009A501D">
        <w:rPr>
          <w:rFonts w:ascii="Century Gothic" w:hAnsi="Century Gothic" w:cstheme="minorHAnsi"/>
          <w:sz w:val="19"/>
          <w:szCs w:val="19"/>
        </w:rPr>
        <w:t xml:space="preserve">.2). Por primera ocasión se tuvo un 100% de </w:t>
      </w:r>
      <w:r w:rsidR="00044F5A" w:rsidRPr="009A501D">
        <w:rPr>
          <w:rFonts w:ascii="Century Gothic" w:hAnsi="Century Gothic" w:cstheme="minorHAnsi"/>
          <w:sz w:val="19"/>
          <w:szCs w:val="19"/>
        </w:rPr>
        <w:t>reporte</w:t>
      </w:r>
      <w:r w:rsidRPr="009A501D">
        <w:rPr>
          <w:rFonts w:ascii="Century Gothic" w:hAnsi="Century Gothic" w:cstheme="minorHAnsi"/>
          <w:sz w:val="19"/>
          <w:szCs w:val="19"/>
        </w:rPr>
        <w:t xml:space="preserve"> de indicadores, 84% reportados “En Tiempo” y 16% </w:t>
      </w:r>
      <w:r w:rsidR="0078764E" w:rsidRPr="009A501D">
        <w:rPr>
          <w:rFonts w:ascii="Century Gothic" w:hAnsi="Century Gothic" w:cstheme="minorHAnsi"/>
          <w:sz w:val="19"/>
          <w:szCs w:val="19"/>
        </w:rPr>
        <w:t xml:space="preserve">con </w:t>
      </w:r>
      <w:r w:rsidRPr="009A501D">
        <w:rPr>
          <w:rFonts w:ascii="Century Gothic" w:hAnsi="Century Gothic" w:cstheme="minorHAnsi"/>
          <w:sz w:val="19"/>
          <w:szCs w:val="19"/>
        </w:rPr>
        <w:t>“Retraso”</w:t>
      </w:r>
      <w:r w:rsidR="0063138A" w:rsidRPr="009A501D">
        <w:rPr>
          <w:rStyle w:val="Refdenotaalpie"/>
          <w:rFonts w:ascii="Century Gothic" w:hAnsi="Century Gothic" w:cstheme="minorHAnsi"/>
          <w:sz w:val="19"/>
          <w:szCs w:val="19"/>
        </w:rPr>
        <w:footnoteReference w:id="19"/>
      </w:r>
      <w:r w:rsidRPr="009A501D">
        <w:rPr>
          <w:rFonts w:ascii="Century Gothic" w:hAnsi="Century Gothic" w:cstheme="minorHAnsi"/>
          <w:sz w:val="19"/>
          <w:szCs w:val="19"/>
        </w:rPr>
        <w:t>.</w:t>
      </w:r>
    </w:p>
    <w:p w14:paraId="4BDCACE0" w14:textId="734034DC"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Cabe señalar que los </w:t>
      </w:r>
      <w:r w:rsidRPr="009A501D">
        <w:rPr>
          <w:rFonts w:ascii="Century Gothic" w:hAnsi="Century Gothic" w:cstheme="minorHAnsi"/>
          <w:i/>
          <w:sz w:val="19"/>
          <w:szCs w:val="19"/>
        </w:rPr>
        <w:t xml:space="preserve">Lineamientos de </w:t>
      </w:r>
      <w:r w:rsidR="00977CE4" w:rsidRPr="009A501D">
        <w:rPr>
          <w:rFonts w:ascii="Century Gothic" w:hAnsi="Century Gothic" w:cstheme="minorHAnsi"/>
          <w:i/>
          <w:sz w:val="19"/>
          <w:szCs w:val="19"/>
        </w:rPr>
        <w:t>C</w:t>
      </w:r>
      <w:r w:rsidRPr="009A501D">
        <w:rPr>
          <w:rFonts w:ascii="Century Gothic" w:hAnsi="Century Gothic" w:cstheme="minorHAnsi"/>
          <w:i/>
          <w:sz w:val="19"/>
          <w:szCs w:val="19"/>
        </w:rPr>
        <w:t xml:space="preserve">ambios a la </w:t>
      </w:r>
      <w:r w:rsidR="00977CE4" w:rsidRPr="009A501D">
        <w:rPr>
          <w:rFonts w:ascii="Century Gothic" w:hAnsi="Century Gothic" w:cstheme="minorHAnsi"/>
          <w:i/>
          <w:sz w:val="19"/>
          <w:szCs w:val="19"/>
        </w:rPr>
        <w:t>I</w:t>
      </w:r>
      <w:r w:rsidRPr="009A501D">
        <w:rPr>
          <w:rFonts w:ascii="Century Gothic" w:hAnsi="Century Gothic" w:cstheme="minorHAnsi"/>
          <w:i/>
          <w:sz w:val="19"/>
          <w:szCs w:val="19"/>
        </w:rPr>
        <w:t xml:space="preserve">nformación </w:t>
      </w:r>
      <w:r w:rsidR="00977CE4" w:rsidRPr="009A501D">
        <w:rPr>
          <w:rFonts w:ascii="Century Gothic" w:hAnsi="Century Gothic" w:cstheme="minorHAnsi"/>
          <w:i/>
          <w:sz w:val="19"/>
          <w:szCs w:val="19"/>
        </w:rPr>
        <w:t>D</w:t>
      </w:r>
      <w:r w:rsidRPr="009A501D">
        <w:rPr>
          <w:rFonts w:ascii="Century Gothic" w:hAnsi="Century Gothic" w:cstheme="minorHAnsi"/>
          <w:i/>
          <w:sz w:val="19"/>
          <w:szCs w:val="19"/>
        </w:rPr>
        <w:t xml:space="preserve">ivulgada en las </w:t>
      </w:r>
      <w:r w:rsidR="00977CE4" w:rsidRPr="009A501D">
        <w:rPr>
          <w:rFonts w:ascii="Century Gothic" w:hAnsi="Century Gothic" w:cstheme="minorHAnsi"/>
          <w:i/>
          <w:sz w:val="19"/>
          <w:szCs w:val="19"/>
        </w:rPr>
        <w:t>P</w:t>
      </w:r>
      <w:r w:rsidRPr="009A501D">
        <w:rPr>
          <w:rFonts w:ascii="Century Gothic" w:hAnsi="Century Gothic" w:cstheme="minorHAnsi"/>
          <w:i/>
          <w:sz w:val="19"/>
          <w:szCs w:val="19"/>
        </w:rPr>
        <w:t xml:space="preserve">ublicaciones </w:t>
      </w:r>
      <w:r w:rsidR="00977CE4" w:rsidRPr="009A501D">
        <w:rPr>
          <w:rFonts w:ascii="Century Gothic" w:hAnsi="Century Gothic" w:cstheme="minorHAnsi"/>
          <w:i/>
          <w:sz w:val="19"/>
          <w:szCs w:val="19"/>
        </w:rPr>
        <w:t>E</w:t>
      </w:r>
      <w:r w:rsidRPr="009A501D">
        <w:rPr>
          <w:rFonts w:ascii="Century Gothic" w:hAnsi="Century Gothic" w:cstheme="minorHAnsi"/>
          <w:i/>
          <w:sz w:val="19"/>
          <w:szCs w:val="19"/>
        </w:rPr>
        <w:t xml:space="preserve">stadísticas y </w:t>
      </w:r>
      <w:r w:rsidR="00977CE4" w:rsidRPr="009A501D">
        <w:rPr>
          <w:rFonts w:ascii="Century Gothic" w:hAnsi="Century Gothic" w:cstheme="minorHAnsi"/>
          <w:i/>
          <w:sz w:val="19"/>
          <w:szCs w:val="19"/>
        </w:rPr>
        <w:t>G</w:t>
      </w:r>
      <w:r w:rsidRPr="009A501D">
        <w:rPr>
          <w:rFonts w:ascii="Century Gothic" w:hAnsi="Century Gothic" w:cstheme="minorHAnsi"/>
          <w:i/>
          <w:sz w:val="19"/>
          <w:szCs w:val="19"/>
        </w:rPr>
        <w:t>eográficas</w:t>
      </w:r>
      <w:r w:rsidRPr="009A501D">
        <w:rPr>
          <w:rFonts w:ascii="Century Gothic" w:hAnsi="Century Gothic" w:cstheme="minorHAnsi"/>
          <w:sz w:val="19"/>
          <w:szCs w:val="19"/>
        </w:rPr>
        <w:t xml:space="preserve"> especifican cinco estatus de los datos que se publican (preliminares, revisados, definitivos, ajustados y corregidos). Cada vez que se sustituye información en el sitio web conforme a estos estatus, se deben reportar los indicadores de precisión, por lo que sufrieron reemplazos el 15% de los indicadores esperados, lo que significa una disminución considerable comparado contra el año anterior, en el que se registr</w:t>
      </w:r>
      <w:r w:rsidR="004E60B9" w:rsidRPr="009A501D">
        <w:rPr>
          <w:rFonts w:ascii="Century Gothic" w:hAnsi="Century Gothic" w:cstheme="minorHAnsi"/>
          <w:sz w:val="19"/>
          <w:szCs w:val="19"/>
        </w:rPr>
        <w:t>aron</w:t>
      </w:r>
      <w:r w:rsidRPr="009A501D">
        <w:rPr>
          <w:rFonts w:ascii="Century Gothic" w:hAnsi="Century Gothic" w:cstheme="minorHAnsi"/>
          <w:sz w:val="19"/>
          <w:szCs w:val="19"/>
        </w:rPr>
        <w:t xml:space="preserve"> reemplazos </w:t>
      </w:r>
      <w:r w:rsidR="004E60B9" w:rsidRPr="009A501D">
        <w:rPr>
          <w:rFonts w:ascii="Century Gothic" w:hAnsi="Century Gothic" w:cstheme="minorHAnsi"/>
          <w:sz w:val="19"/>
          <w:szCs w:val="19"/>
        </w:rPr>
        <w:t>para</w:t>
      </w:r>
      <w:r w:rsidRPr="009A501D">
        <w:rPr>
          <w:rFonts w:ascii="Century Gothic" w:hAnsi="Century Gothic" w:cstheme="minorHAnsi"/>
          <w:sz w:val="19"/>
          <w:szCs w:val="19"/>
        </w:rPr>
        <w:t xml:space="preserve"> 59% de los indicadores.</w:t>
      </w:r>
    </w:p>
    <w:p w14:paraId="5B011DA7" w14:textId="54DB7FD6" w:rsidR="00D858E6" w:rsidRPr="009A501D" w:rsidRDefault="00D858E6">
      <w:pPr>
        <w:rPr>
          <w:rFonts w:ascii="Century Gothic" w:hAnsi="Century Gothic" w:cstheme="minorHAnsi"/>
          <w:sz w:val="19"/>
          <w:szCs w:val="19"/>
        </w:rPr>
      </w:pPr>
      <w:r w:rsidRPr="009A501D">
        <w:rPr>
          <w:rFonts w:ascii="Century Gothic" w:hAnsi="Century Gothic" w:cstheme="minorHAnsi"/>
          <w:sz w:val="19"/>
          <w:szCs w:val="19"/>
        </w:rPr>
        <w:br w:type="page"/>
      </w:r>
    </w:p>
    <w:p w14:paraId="617CCB2C" w14:textId="7C2B840F" w:rsidR="005A1399" w:rsidRPr="009A501D" w:rsidRDefault="005A1399" w:rsidP="00664A1D">
      <w:pPr>
        <w:spacing w:before="240"/>
        <w:jc w:val="center"/>
        <w:rPr>
          <w:rFonts w:ascii="Century Gothic" w:hAnsi="Century Gothic"/>
          <w:b/>
          <w:sz w:val="19"/>
          <w:szCs w:val="19"/>
        </w:rPr>
      </w:pPr>
      <w:r w:rsidRPr="009A501D">
        <w:rPr>
          <w:rFonts w:ascii="Century Gothic" w:hAnsi="Century Gothic" w:cstheme="majorHAnsi"/>
          <w:b/>
          <w:sz w:val="19"/>
          <w:szCs w:val="19"/>
        </w:rPr>
        <w:lastRenderedPageBreak/>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 xml:space="preserve">.2. </w:t>
      </w:r>
      <w:r w:rsidRPr="009A501D">
        <w:rPr>
          <w:rFonts w:ascii="Century Gothic" w:hAnsi="Century Gothic"/>
          <w:b/>
          <w:sz w:val="19"/>
          <w:szCs w:val="19"/>
        </w:rPr>
        <w:t>Encuestas publicadas en 2022 y que debieron reportar indicadores de precisión estadística</w:t>
      </w:r>
    </w:p>
    <w:tbl>
      <w:tblPr>
        <w:tblW w:w="12920" w:type="dxa"/>
        <w:jc w:val="center"/>
        <w:tblCellMar>
          <w:left w:w="0" w:type="dxa"/>
          <w:right w:w="0" w:type="dxa"/>
        </w:tblCellMar>
        <w:tblLook w:val="04A0" w:firstRow="1" w:lastRow="0" w:firstColumn="1" w:lastColumn="0" w:noHBand="0" w:noVBand="1"/>
      </w:tblPr>
      <w:tblGrid>
        <w:gridCol w:w="860"/>
        <w:gridCol w:w="1220"/>
        <w:gridCol w:w="1220"/>
        <w:gridCol w:w="1460"/>
        <w:gridCol w:w="1240"/>
        <w:gridCol w:w="1000"/>
        <w:gridCol w:w="960"/>
        <w:gridCol w:w="1240"/>
        <w:gridCol w:w="1240"/>
        <w:gridCol w:w="1240"/>
        <w:gridCol w:w="1240"/>
      </w:tblGrid>
      <w:tr w:rsidR="005A1399" w:rsidRPr="009A501D" w14:paraId="4B7BDA93" w14:textId="77777777" w:rsidTr="00D858E6">
        <w:trPr>
          <w:trHeight w:val="227"/>
          <w:tblHeader/>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0B8B4E93"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22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7A520CFB" w14:textId="5DD9E1A2"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122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38C8E023"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Tipo de encuesta</w:t>
            </w:r>
          </w:p>
        </w:tc>
        <w:tc>
          <w:tcPr>
            <w:tcW w:w="14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0D4B685F"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20EFCD32"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Ciclos publicados 2022</w:t>
            </w:r>
          </w:p>
        </w:tc>
        <w:tc>
          <w:tcPr>
            <w:tcW w:w="692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2A9FB1FC"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Reporte de Indicadores de Precisión Estadística (IPE)</w:t>
            </w:r>
          </w:p>
        </w:tc>
      </w:tr>
      <w:tr w:rsidR="005A1399" w:rsidRPr="009A501D" w14:paraId="50C93408" w14:textId="77777777" w:rsidTr="00D858E6">
        <w:trPr>
          <w:trHeight w:val="227"/>
          <w:tblHeade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7D24EC" w14:textId="77777777" w:rsidR="005A1399" w:rsidRPr="009A501D" w:rsidRDefault="005A1399" w:rsidP="00D858E6">
            <w:pPr>
              <w:spacing w:after="0"/>
              <w:contextualSpacing/>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FE64AE" w14:textId="77777777" w:rsidR="005A1399" w:rsidRPr="009A501D" w:rsidRDefault="005A1399" w:rsidP="00D858E6">
            <w:pPr>
              <w:spacing w:after="0"/>
              <w:contextualSpacing/>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690CC0" w14:textId="77777777" w:rsidR="005A1399" w:rsidRPr="009A501D" w:rsidRDefault="005A1399" w:rsidP="00D858E6">
            <w:pPr>
              <w:spacing w:after="0"/>
              <w:contextualSpacing/>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1AFBAA" w14:textId="77777777" w:rsidR="005A1399" w:rsidRPr="009A501D" w:rsidRDefault="005A1399" w:rsidP="00D858E6">
            <w:pPr>
              <w:spacing w:after="0"/>
              <w:contextualSpacing/>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58CDE" w14:textId="77777777" w:rsidR="005A1399" w:rsidRPr="009A501D" w:rsidRDefault="005A1399" w:rsidP="00D858E6">
            <w:pPr>
              <w:spacing w:after="0"/>
              <w:contextualSpacing/>
              <w:rPr>
                <w:rFonts w:ascii="Century Gothic" w:hAnsi="Century Gothic" w:cs="Calibri"/>
                <w:b/>
                <w:color w:val="FFFFFF"/>
                <w:sz w:val="16"/>
                <w:szCs w:val="16"/>
              </w:rPr>
            </w:pP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7269C789" w14:textId="0051097B" w:rsidR="005A1399" w:rsidRPr="009A501D" w:rsidRDefault="00777F2C"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E</w:t>
            </w:r>
            <w:r w:rsidR="005A1399" w:rsidRPr="009A501D">
              <w:rPr>
                <w:rFonts w:ascii="Century Gothic" w:hAnsi="Century Gothic" w:cs="Calibri"/>
                <w:b/>
                <w:bCs/>
                <w:color w:val="FFFFFF"/>
                <w:sz w:val="16"/>
                <w:szCs w:val="16"/>
              </w:rPr>
              <w:t>sperados</w:t>
            </w:r>
          </w:p>
        </w:tc>
        <w:tc>
          <w:tcPr>
            <w:tcW w:w="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5F18B706" w14:textId="7D1A94F4" w:rsidR="005A1399" w:rsidRPr="009A501D" w:rsidRDefault="00777F2C"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R</w:t>
            </w:r>
            <w:r w:rsidR="005A1399" w:rsidRPr="009A501D">
              <w:rPr>
                <w:rFonts w:ascii="Century Gothic" w:hAnsi="Century Gothic" w:cs="Calibri"/>
                <w:b/>
                <w:bCs/>
                <w:color w:val="FFFFFF"/>
                <w:sz w:val="16"/>
                <w:szCs w:val="16"/>
              </w:rPr>
              <w:t xml:space="preserve">ecibidos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FDA"/>
            <w:tcMar>
              <w:top w:w="15" w:type="dxa"/>
              <w:left w:w="15" w:type="dxa"/>
              <w:bottom w:w="0" w:type="dxa"/>
              <w:right w:w="15" w:type="dxa"/>
            </w:tcMar>
            <w:vAlign w:val="center"/>
            <w:hideMark/>
          </w:tcPr>
          <w:p w14:paraId="52323C84" w14:textId="77777777" w:rsidR="005A1399" w:rsidRPr="009A501D" w:rsidRDefault="005A1399" w:rsidP="00D858E6">
            <w:pPr>
              <w:spacing w:after="0"/>
              <w:contextualSpacing/>
              <w:jc w:val="center"/>
              <w:rPr>
                <w:rFonts w:ascii="Century Gothic" w:hAnsi="Century Gothic" w:cs="Calibri"/>
                <w:b/>
                <w:sz w:val="16"/>
                <w:szCs w:val="16"/>
              </w:rPr>
            </w:pPr>
            <w:r w:rsidRPr="009A501D">
              <w:rPr>
                <w:rFonts w:ascii="Century Gothic" w:hAnsi="Century Gothic" w:cs="Calibri"/>
                <w:b/>
                <w:sz w:val="16"/>
                <w:szCs w:val="16"/>
              </w:rPr>
              <w:t>En Tiempo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2CC"/>
            <w:tcMar>
              <w:top w:w="15" w:type="dxa"/>
              <w:left w:w="15" w:type="dxa"/>
              <w:bottom w:w="0" w:type="dxa"/>
              <w:right w:w="15" w:type="dxa"/>
            </w:tcMar>
            <w:vAlign w:val="center"/>
            <w:hideMark/>
          </w:tcPr>
          <w:p w14:paraId="6C487DE6" w14:textId="77777777" w:rsidR="005A1399" w:rsidRPr="009A501D" w:rsidRDefault="005A1399" w:rsidP="00D858E6">
            <w:pPr>
              <w:spacing w:after="0"/>
              <w:contextualSpacing/>
              <w:jc w:val="center"/>
              <w:rPr>
                <w:rFonts w:ascii="Century Gothic" w:hAnsi="Century Gothic" w:cs="Calibri"/>
                <w:b/>
                <w:sz w:val="16"/>
                <w:szCs w:val="16"/>
              </w:rPr>
            </w:pPr>
            <w:r w:rsidRPr="009A501D">
              <w:rPr>
                <w:rFonts w:ascii="Century Gothic" w:hAnsi="Century Gothic" w:cs="Calibri"/>
                <w:b/>
                <w:sz w:val="16"/>
                <w:szCs w:val="16"/>
              </w:rPr>
              <w:t>Retraso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4D6"/>
            <w:tcMar>
              <w:top w:w="15" w:type="dxa"/>
              <w:left w:w="15" w:type="dxa"/>
              <w:bottom w:w="0" w:type="dxa"/>
              <w:right w:w="15" w:type="dxa"/>
            </w:tcMar>
            <w:vAlign w:val="center"/>
            <w:hideMark/>
          </w:tcPr>
          <w:p w14:paraId="3412DA9D" w14:textId="77777777" w:rsidR="005A1399" w:rsidRPr="009A501D" w:rsidRDefault="005A1399" w:rsidP="00D858E6">
            <w:pPr>
              <w:spacing w:after="0"/>
              <w:contextualSpacing/>
              <w:jc w:val="center"/>
              <w:rPr>
                <w:rFonts w:ascii="Century Gothic" w:hAnsi="Century Gothic" w:cs="Calibri"/>
                <w:b/>
                <w:sz w:val="16"/>
                <w:szCs w:val="16"/>
              </w:rPr>
            </w:pPr>
            <w:r w:rsidRPr="009A501D">
              <w:rPr>
                <w:rFonts w:ascii="Century Gothic" w:hAnsi="Century Gothic" w:cs="Calibri"/>
                <w:b/>
                <w:sz w:val="16"/>
                <w:szCs w:val="16"/>
              </w:rPr>
              <w:t>No Entregado</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52598ED4" w14:textId="22F1CFFD" w:rsidR="005A1399" w:rsidRPr="009A501D" w:rsidRDefault="00777F2C"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R</w:t>
            </w:r>
            <w:r w:rsidR="005A1399" w:rsidRPr="009A501D">
              <w:rPr>
                <w:rFonts w:ascii="Century Gothic" w:hAnsi="Century Gothic" w:cs="Calibri"/>
                <w:b/>
                <w:bCs/>
                <w:color w:val="FFFFFF"/>
                <w:sz w:val="16"/>
                <w:szCs w:val="16"/>
              </w:rPr>
              <w:t>eemplazados</w:t>
            </w:r>
          </w:p>
        </w:tc>
      </w:tr>
      <w:tr w:rsidR="005A1399" w:rsidRPr="009A501D" w14:paraId="3FB58DB1"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1DDE8A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DGIAI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332F0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BIARE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B9FE9A6"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D3516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Semestral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5E7D7C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A4DDFE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894AA3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A52EA6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F6626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C29069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CEEC98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2245A14B"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30996B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E8CFE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EAEC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B7C21A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42352D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2CE54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764CE5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14C37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063B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31BA8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CDEC1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E8064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58ADD5D9"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49895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27D42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ECIS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702E9C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5CF833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4E880A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69BA98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CC3A8B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92C33F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D19F0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CFDBB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2BD59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3E9F7CC9"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F1D76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BE2322A"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ENDUTIH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FAB264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E7AA3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97AAE1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75909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38710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7541B2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A1FD8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1873E5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C70635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2F0552EF"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830636"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91FB4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EMOE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613BA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39D78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A0EEEF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F1B8F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52C48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749A01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8E9B2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FE2B4A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7395F2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77</w:t>
            </w:r>
          </w:p>
        </w:tc>
      </w:tr>
      <w:tr w:rsidR="005A1399" w:rsidRPr="009A501D" w14:paraId="196668AF"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A4B71E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B5D143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CDD5A7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E49B4A"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7263CB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0F4730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CEE9E8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9437A1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CB0287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D0C273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649D46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r>
      <w:tr w:rsidR="005A1399" w:rsidRPr="009A501D" w14:paraId="75C4986E"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CABF5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1A53A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ENAFIN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08F81A"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922D8A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DD9AD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8AEC3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4951BA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753951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C8B53A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814B4E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D6E266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3E34521D"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18B1B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65A55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EAC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E851D3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3BE0D8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D19283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928A6B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790811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DB420B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573D5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7D9AD1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D22DC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36216019"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3EFC5F"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64C08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EAIM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B3B946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7B8E93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BD7CD0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0E07A0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B6302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E61A78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363ABD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1C46F3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EB3A1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72FFDBD1"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97078B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D327C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EASPNF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1AA7C8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477079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6B754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67E85C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EDE731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6F3013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837BF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637A7C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2BFFC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6C41D8F7"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A0C40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8E32EA"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EAT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440F1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E034476"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6646A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B20C3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D8BDB7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6E7E4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EE555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84D8AC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1D1E4C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7AC3E55F"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2D6A8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5D868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EMEC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0FDD03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428ACAA"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774A67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122D94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F56B0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17D24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EA7C1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CA7E5E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02AF34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r>
      <w:tr w:rsidR="005A1399" w:rsidRPr="009A501D" w14:paraId="581898D0"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43740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EC64C5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EMIM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6C6B3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25B131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AF87D6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9EE96E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11F08C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E9FDE3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61C681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D286E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8E6DD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27</w:t>
            </w:r>
          </w:p>
        </w:tc>
      </w:tr>
      <w:tr w:rsidR="005A1399" w:rsidRPr="009A501D" w14:paraId="1B543290"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AB36E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65555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EMS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87D14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Mixta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C73A4F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B8CAFC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3F945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2BD3C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678BB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69092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913D8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EF1BFB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r>
      <w:tr w:rsidR="005A1399" w:rsidRPr="009A501D" w14:paraId="626E7207"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246D9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8D2B4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ENIF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AC2DC9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095B94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AF13DD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3DD6C2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8A980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FF718C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7DD0F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6C6BC0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127E44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19276B3A"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1973C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7A543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MODECULT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FE403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4F23D3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C2372D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6FAB39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AC7CAD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BE96E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AF869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FCA251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FCE69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05289EF2"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495C6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16B789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MOLEC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2FE457F"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FBCF0A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E69168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091128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881943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E1F2E5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D426F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C86A1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B9A9A9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672BA40D"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2665D7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C1C76DF"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MOPRADEF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B091E4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7DB95C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E0D190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78519E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840556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719A5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FB026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1978A6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DA53D4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19887B70"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04184D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C91876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ENOE-NE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603E10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DDC408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5A542D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002990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EB5C11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DBC780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254831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35390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D9CC8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1D66896E"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3F43F1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C25598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ENCO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FE879C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94396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56C1A1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3191C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BB1C28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D8082F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62D3A5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023D1C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933A5A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4D85629F"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1B2F65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A01B2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ENOE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3D801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676DD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2EE6EA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1805C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A2D97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67CB3B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906800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69F6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12E6FD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r>
      <w:tr w:rsidR="005A1399" w:rsidRPr="009A501D" w14:paraId="45E865AA"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254D9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F1EA64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ENAPE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DD8E0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9F01D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21606F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2153F1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42232A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FD9CE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78A31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915BD3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0932A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09DBA29D"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F910B69"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A6FC77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ENDISEG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D44C22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D83CF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FA876F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E8153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8340D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5A573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0D1735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E4187B9"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3009ED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2A4420E0"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9FA0D1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8D5241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ENDIREH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D56B8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8BF615"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Quinquenal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D6C791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6F468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8F229C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3869C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83E54D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A490D9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9AA1F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4D40F3ED"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2AE084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80F3B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ENCIG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11D45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E0B33C3"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CDC83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86899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588A9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2C9B9E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EE37E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E34FF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B808A2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2E629409"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FDAAB4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EAB1DF"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ENVE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0B6660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0749587"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99090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FB1E3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CC3FC5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B36BB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393A6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826E3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3CB03E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3A25CD65"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6D5D731"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4AD35F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ENVIPE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FB0870"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07F78C4"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48ED5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C6F3D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086080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EFBF5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8CB75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963323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D895F9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r>
      <w:tr w:rsidR="005A1399" w:rsidRPr="009A501D" w14:paraId="5AB5E221"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74580D8"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6CC08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MOCIBA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723B226"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F7615DF"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32037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9BB1AE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0519A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B67C9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D704B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ADD12C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E2774B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4546826E"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B0EEA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4C0F86E"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ENSU</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07536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Probabilística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61850A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DDB825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23413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88A4C2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9928B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ABC1AE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D60AD4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0E4D18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764BA727" w14:textId="77777777" w:rsidTr="00D858E6">
        <w:trPr>
          <w:trHeight w:val="227"/>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0688C2"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B9494D"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ECADEFI-CHIH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3DEC1B"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Determinística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97BF8C" w14:textId="77777777" w:rsidR="005A1399" w:rsidRPr="009A501D" w:rsidRDefault="005A1399" w:rsidP="00D858E6">
            <w:pPr>
              <w:spacing w:after="0"/>
              <w:contextualSpacing/>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9C1B6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2D3109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63014B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D98BD7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7A8CB5B"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18E2F1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6B12E5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r>
      <w:tr w:rsidR="005A1399" w:rsidRPr="009A501D" w14:paraId="50B8C943" w14:textId="77777777" w:rsidTr="00D858E6">
        <w:trPr>
          <w:trHeight w:val="227"/>
          <w:jc w:val="center"/>
        </w:trPr>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4F58846B" w14:textId="77777777" w:rsidR="005A1399" w:rsidRPr="009A501D" w:rsidRDefault="005A1399" w:rsidP="00D858E6">
            <w:pPr>
              <w:spacing w:after="0"/>
              <w:contextualSpacing/>
              <w:jc w:val="right"/>
              <w:rPr>
                <w:rFonts w:ascii="Century Gothic" w:hAnsi="Century Gothic" w:cs="Calibri"/>
                <w:b/>
                <w:color w:val="FFFFFF"/>
                <w:sz w:val="16"/>
                <w:szCs w:val="16"/>
              </w:rPr>
            </w:pPr>
            <w:r w:rsidRPr="009A501D">
              <w:rPr>
                <w:rFonts w:ascii="Century Gothic" w:hAnsi="Century Gothic" w:cs="Calibri"/>
                <w:b/>
                <w:color w:val="FFFFFF"/>
                <w:sz w:val="16"/>
                <w:szCs w:val="16"/>
              </w:rPr>
              <w:t>Total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1DCE373"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620E7FCD"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932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6149D12F"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932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67EADF9F"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785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3891D804"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147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4E18D197"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292D7A47"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139</w:t>
            </w:r>
          </w:p>
        </w:tc>
      </w:tr>
      <w:tr w:rsidR="005A1399" w:rsidRPr="009A501D" w14:paraId="5E885CE5" w14:textId="77777777" w:rsidTr="00D858E6">
        <w:trPr>
          <w:trHeight w:val="227"/>
          <w:jc w:val="center"/>
        </w:trPr>
        <w:tc>
          <w:tcPr>
            <w:tcW w:w="0" w:type="auto"/>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5C0DF684" w14:textId="77777777" w:rsidR="005A1399" w:rsidRPr="009A501D" w:rsidRDefault="005A1399" w:rsidP="00D858E6">
            <w:pPr>
              <w:spacing w:after="0"/>
              <w:contextualSpacing/>
              <w:jc w:val="right"/>
              <w:rPr>
                <w:rFonts w:ascii="Century Gothic" w:hAnsi="Century Gothic" w:cs="Calibri"/>
                <w:b/>
                <w:color w:val="FFFFFF"/>
                <w:sz w:val="16"/>
                <w:szCs w:val="16"/>
              </w:rPr>
            </w:pPr>
            <w:r w:rsidRPr="009A501D">
              <w:rPr>
                <w:rFonts w:ascii="Century Gothic" w:hAnsi="Century Gothic" w:cs="Calibri"/>
                <w:b/>
                <w:color w:val="FFFFFF"/>
                <w:sz w:val="16"/>
                <w:szCs w:val="16"/>
              </w:rPr>
              <w:t>Porcentaje del total esperados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EB7045D"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6E2F3887"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24987D98"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0916EF16"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4FDEE1AD"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34849D03"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15%</w:t>
            </w:r>
          </w:p>
        </w:tc>
      </w:tr>
    </w:tbl>
    <w:p w14:paraId="3060B11B" w14:textId="69ABA3F8" w:rsidR="005A1399" w:rsidRPr="009A501D" w:rsidRDefault="005A1399" w:rsidP="00664A1D">
      <w:pPr>
        <w:tabs>
          <w:tab w:val="left" w:pos="13608"/>
        </w:tabs>
        <w:spacing w:after="0"/>
        <w:ind w:left="426" w:right="933"/>
        <w:jc w:val="both"/>
        <w:rPr>
          <w:rFonts w:ascii="Century Gothic" w:hAnsi="Century Gothic" w:cstheme="majorHAnsi"/>
          <w:sz w:val="15"/>
          <w:szCs w:val="15"/>
        </w:rPr>
      </w:pPr>
      <w:r w:rsidRPr="009A501D">
        <w:rPr>
          <w:rFonts w:ascii="Century Gothic" w:hAnsi="Century Gothic" w:cs="Calibri"/>
          <w:sz w:val="15"/>
          <w:szCs w:val="15"/>
        </w:rPr>
        <w:t xml:space="preserve"> </w:t>
      </w:r>
    </w:p>
    <w:p w14:paraId="5FDBFC1B" w14:textId="7AC34696" w:rsidR="005A1399" w:rsidRPr="009A501D" w:rsidRDefault="00D76730" w:rsidP="00664A1D">
      <w:pPr>
        <w:spacing w:before="240"/>
        <w:jc w:val="both"/>
        <w:rPr>
          <w:rFonts w:ascii="Century Gothic" w:hAnsi="Century Gothic" w:cstheme="minorHAnsi"/>
          <w:bCs/>
          <w:sz w:val="19"/>
          <w:szCs w:val="19"/>
        </w:rPr>
      </w:pPr>
      <w:r w:rsidRPr="009A501D">
        <w:rPr>
          <w:rFonts w:ascii="Century Gothic" w:hAnsi="Century Gothic" w:cstheme="minorHAnsi"/>
          <w:bCs/>
          <w:sz w:val="19"/>
          <w:szCs w:val="19"/>
        </w:rPr>
        <w:lastRenderedPageBreak/>
        <w:t>En</w:t>
      </w:r>
      <w:r w:rsidR="005A1399" w:rsidRPr="009A501D">
        <w:rPr>
          <w:rFonts w:ascii="Century Gothic" w:hAnsi="Century Gothic" w:cstheme="minorHAnsi"/>
          <w:bCs/>
          <w:sz w:val="19"/>
          <w:szCs w:val="19"/>
        </w:rPr>
        <w:t xml:space="preserve"> 2022, </w:t>
      </w:r>
      <w:r w:rsidR="00EC4113" w:rsidRPr="009A501D">
        <w:rPr>
          <w:rFonts w:ascii="Century Gothic" w:hAnsi="Century Gothic" w:cstheme="minorHAnsi"/>
          <w:bCs/>
          <w:sz w:val="19"/>
          <w:szCs w:val="19"/>
        </w:rPr>
        <w:t>procesos de producción</w:t>
      </w:r>
      <w:r w:rsidR="005A1399" w:rsidRPr="009A501D">
        <w:rPr>
          <w:rFonts w:ascii="Century Gothic" w:hAnsi="Century Gothic" w:cstheme="minorHAnsi"/>
          <w:bCs/>
          <w:sz w:val="19"/>
          <w:szCs w:val="19"/>
        </w:rPr>
        <w:t xml:space="preserve"> como la Encuesta Nacional sobre la Dinámica de las Relaciones en los Hogares (ENDRIEH), Encuesta Nacional sobre Diversidad Sexual y de Género (ENDISEG), Encuesta Nacional sobre Acceso y Permanencia en la Educación (ENAPE) y Encuesta de Comercio Internacional de Servicios (ECIS) realizaron, por primera vez, el reporte de indicadores de precisión. De igual manera, la Encuesta Nacional de Ocupación y Empleo (ENOE), en su proceso con periodicidad </w:t>
      </w:r>
      <w:r w:rsidR="00E435CD" w:rsidRPr="009A501D">
        <w:rPr>
          <w:rFonts w:ascii="Century Gothic" w:hAnsi="Century Gothic" w:cstheme="minorHAnsi"/>
          <w:bCs/>
          <w:sz w:val="19"/>
          <w:szCs w:val="19"/>
        </w:rPr>
        <w:t>m</w:t>
      </w:r>
      <w:r w:rsidR="005A1399" w:rsidRPr="009A501D">
        <w:rPr>
          <w:rFonts w:ascii="Century Gothic" w:hAnsi="Century Gothic" w:cstheme="minorHAnsi"/>
          <w:bCs/>
          <w:sz w:val="19"/>
          <w:szCs w:val="19"/>
        </w:rPr>
        <w:t>ensual, realizó el reporte de</w:t>
      </w:r>
      <w:r w:rsidR="00985A3B" w:rsidRPr="009A501D">
        <w:rPr>
          <w:rFonts w:ascii="Century Gothic" w:hAnsi="Century Gothic" w:cstheme="minorHAnsi"/>
          <w:bCs/>
          <w:sz w:val="19"/>
          <w:szCs w:val="19"/>
        </w:rPr>
        <w:t xml:space="preserve"> indicadores de precisión</w:t>
      </w:r>
      <w:r w:rsidR="005A1399" w:rsidRPr="009A501D">
        <w:rPr>
          <w:rFonts w:ascii="Century Gothic" w:hAnsi="Century Gothic" w:cstheme="minorHAnsi"/>
          <w:bCs/>
          <w:sz w:val="19"/>
          <w:szCs w:val="19"/>
        </w:rPr>
        <w:t xml:space="preserve"> por primera ocasión, en adición al proceso trimestral que </w:t>
      </w:r>
      <w:r w:rsidR="00A568BE" w:rsidRPr="009A501D">
        <w:rPr>
          <w:rFonts w:ascii="Century Gothic" w:hAnsi="Century Gothic" w:cstheme="minorHAnsi"/>
          <w:bCs/>
          <w:sz w:val="19"/>
          <w:szCs w:val="19"/>
        </w:rPr>
        <w:t xml:space="preserve">reporta </w:t>
      </w:r>
      <w:r w:rsidR="005A1399" w:rsidRPr="009A501D">
        <w:rPr>
          <w:rFonts w:ascii="Century Gothic" w:hAnsi="Century Gothic" w:cstheme="minorHAnsi"/>
          <w:bCs/>
          <w:sz w:val="19"/>
          <w:szCs w:val="19"/>
        </w:rPr>
        <w:t>desde 2018.</w:t>
      </w:r>
    </w:p>
    <w:p w14:paraId="239898A4" w14:textId="5768B00F" w:rsidR="005A1399" w:rsidRPr="009A501D" w:rsidRDefault="009D604A" w:rsidP="00664A1D">
      <w:pPr>
        <w:spacing w:before="240"/>
        <w:jc w:val="both"/>
        <w:rPr>
          <w:rFonts w:ascii="Century Gothic" w:hAnsi="Century Gothic" w:cstheme="minorHAnsi"/>
          <w:bCs/>
          <w:sz w:val="19"/>
          <w:szCs w:val="19"/>
        </w:rPr>
      </w:pPr>
      <w:r w:rsidRPr="009A501D">
        <w:rPr>
          <w:rFonts w:ascii="Century Gothic" w:hAnsi="Century Gothic" w:cstheme="minorHAnsi"/>
          <w:bCs/>
          <w:sz w:val="19"/>
          <w:szCs w:val="19"/>
        </w:rPr>
        <w:t>Por otra parte, en la tabla A.5.3 se presentan las encuestas que en 2022 reportaron indicadores de precisión estadística como alcances a información publicada en años anteriores</w:t>
      </w:r>
      <w:r w:rsidR="0086376E" w:rsidRPr="009A501D">
        <w:rPr>
          <w:rFonts w:ascii="Century Gothic" w:hAnsi="Century Gothic" w:cstheme="minorHAnsi"/>
          <w:bCs/>
          <w:sz w:val="19"/>
          <w:szCs w:val="19"/>
        </w:rPr>
        <w:t xml:space="preserve">, </w:t>
      </w:r>
      <w:r w:rsidRPr="009A501D">
        <w:rPr>
          <w:rFonts w:ascii="Century Gothic" w:hAnsi="Century Gothic" w:cstheme="minorHAnsi"/>
          <w:bCs/>
          <w:sz w:val="19"/>
          <w:szCs w:val="19"/>
        </w:rPr>
        <w:t xml:space="preserve">cuando se hicieron cambios a la información, tal y como está señalado en los </w:t>
      </w:r>
      <w:r w:rsidRPr="009A501D">
        <w:rPr>
          <w:rFonts w:ascii="Century Gothic" w:hAnsi="Century Gothic" w:cstheme="minorHAnsi"/>
          <w:bCs/>
          <w:i/>
          <w:iCs/>
          <w:sz w:val="19"/>
          <w:szCs w:val="19"/>
        </w:rPr>
        <w:t>Lineamientos de cambios a la información divulgada en las publicaciones estadísticas y geográficas</w:t>
      </w:r>
      <w:r w:rsidRPr="009A501D">
        <w:rPr>
          <w:rFonts w:ascii="Century Gothic" w:hAnsi="Century Gothic" w:cstheme="minorHAnsi"/>
          <w:bCs/>
          <w:sz w:val="19"/>
          <w:szCs w:val="19"/>
        </w:rPr>
        <w:t>.</w:t>
      </w:r>
    </w:p>
    <w:p w14:paraId="07557DC8" w14:textId="24E605C7" w:rsidR="005A1399" w:rsidRPr="009A501D" w:rsidRDefault="005A1399" w:rsidP="00664A1D">
      <w:pPr>
        <w:spacing w:before="240"/>
        <w:jc w:val="center"/>
        <w:rPr>
          <w:rFonts w:ascii="Century Gothic" w:hAnsi="Century Gothic"/>
          <w:b/>
          <w:sz w:val="19"/>
          <w:szCs w:val="19"/>
        </w:rPr>
      </w:pPr>
      <w:r w:rsidRPr="009A501D">
        <w:rPr>
          <w:rFonts w:ascii="Century Gothic" w:hAnsi="Century Gothic" w:cstheme="majorHAnsi"/>
          <w:b/>
          <w:sz w:val="19"/>
          <w:szCs w:val="19"/>
        </w:rPr>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 xml:space="preserve">.3. </w:t>
      </w:r>
      <w:r w:rsidR="00304B7B" w:rsidRPr="009A501D">
        <w:rPr>
          <w:rFonts w:ascii="Century Gothic" w:hAnsi="Century Gothic"/>
          <w:b/>
          <w:sz w:val="19"/>
          <w:szCs w:val="19"/>
        </w:rPr>
        <w:t>Número</w:t>
      </w:r>
      <w:r w:rsidRPr="009A501D">
        <w:rPr>
          <w:rFonts w:ascii="Century Gothic" w:hAnsi="Century Gothic"/>
          <w:b/>
          <w:sz w:val="19"/>
          <w:szCs w:val="19"/>
        </w:rPr>
        <w:t xml:space="preserve"> indicadores de precisión </w:t>
      </w:r>
      <w:r w:rsidR="002752B5" w:rsidRPr="009A501D">
        <w:rPr>
          <w:rFonts w:ascii="Century Gothic" w:hAnsi="Century Gothic"/>
          <w:b/>
          <w:sz w:val="19"/>
          <w:szCs w:val="19"/>
        </w:rPr>
        <w:t>con cambios</w:t>
      </w:r>
      <w:r w:rsidRPr="009A501D">
        <w:rPr>
          <w:rFonts w:ascii="Century Gothic" w:hAnsi="Century Gothic"/>
          <w:b/>
          <w:sz w:val="19"/>
          <w:szCs w:val="19"/>
        </w:rPr>
        <w:t xml:space="preserve"> recibidos en 2022</w:t>
      </w:r>
    </w:p>
    <w:tbl>
      <w:tblPr>
        <w:tblW w:w="11076" w:type="dxa"/>
        <w:jc w:val="center"/>
        <w:tblCellMar>
          <w:left w:w="70" w:type="dxa"/>
          <w:right w:w="70" w:type="dxa"/>
        </w:tblCellMar>
        <w:tblLook w:val="04A0" w:firstRow="1" w:lastRow="0" w:firstColumn="1" w:lastColumn="0" w:noHBand="0" w:noVBand="1"/>
      </w:tblPr>
      <w:tblGrid>
        <w:gridCol w:w="1129"/>
        <w:gridCol w:w="1701"/>
        <w:gridCol w:w="2046"/>
        <w:gridCol w:w="1240"/>
        <w:gridCol w:w="1240"/>
        <w:gridCol w:w="1240"/>
        <w:gridCol w:w="1240"/>
        <w:gridCol w:w="1240"/>
      </w:tblGrid>
      <w:tr w:rsidR="005A1399" w:rsidRPr="009A501D" w14:paraId="0E711FFE" w14:textId="77777777" w:rsidTr="00D858E6">
        <w:trPr>
          <w:trHeight w:val="227"/>
          <w:jc w:val="center"/>
        </w:trPr>
        <w:tc>
          <w:tcPr>
            <w:tcW w:w="112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5C71A4D"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248E219" w14:textId="03CAA32A"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20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116C919"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49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22DB334"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Año de referencia de la información</w:t>
            </w:r>
          </w:p>
        </w:tc>
        <w:tc>
          <w:tcPr>
            <w:tcW w:w="12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E4093C0" w14:textId="011581F6"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Total</w:t>
            </w:r>
          </w:p>
        </w:tc>
      </w:tr>
      <w:tr w:rsidR="005A1399" w:rsidRPr="009A501D" w14:paraId="4E517F42" w14:textId="77777777" w:rsidTr="00D858E6">
        <w:trPr>
          <w:trHeight w:val="227"/>
          <w:jc w:val="center"/>
        </w:trPr>
        <w:tc>
          <w:tcPr>
            <w:tcW w:w="112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E514D6" w14:textId="77777777" w:rsidR="005A1399" w:rsidRPr="009A501D" w:rsidRDefault="005A1399" w:rsidP="00D858E6">
            <w:pPr>
              <w:spacing w:after="0"/>
              <w:contextualSpacing/>
              <w:rPr>
                <w:rFonts w:ascii="Century Gothic" w:hAnsi="Century Gothic" w:cs="Calibri"/>
                <w:b/>
                <w:color w:val="FFFFFF"/>
                <w:sz w:val="16"/>
                <w:szCs w:val="16"/>
              </w:rPr>
            </w:pPr>
          </w:p>
        </w:tc>
        <w:tc>
          <w:tcPr>
            <w:tcW w:w="17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5D2D1D" w14:textId="77777777" w:rsidR="005A1399" w:rsidRPr="009A501D" w:rsidRDefault="005A1399" w:rsidP="00D858E6">
            <w:pPr>
              <w:spacing w:after="0"/>
              <w:contextualSpacing/>
              <w:rPr>
                <w:rFonts w:ascii="Century Gothic" w:hAnsi="Century Gothic" w:cs="Calibri"/>
                <w:b/>
                <w:color w:val="FFFFFF"/>
                <w:sz w:val="16"/>
                <w:szCs w:val="16"/>
              </w:rPr>
            </w:pPr>
          </w:p>
        </w:tc>
        <w:tc>
          <w:tcPr>
            <w:tcW w:w="204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985D12" w14:textId="77777777" w:rsidR="005A1399" w:rsidRPr="009A501D" w:rsidRDefault="005A1399" w:rsidP="00D858E6">
            <w:pPr>
              <w:spacing w:after="0"/>
              <w:contextualSpacing/>
              <w:rPr>
                <w:rFonts w:ascii="Century Gothic" w:hAnsi="Century Gothic" w:cs="Calibri"/>
                <w:b/>
                <w:color w:val="FFFFFF"/>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78374378"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2018</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7B243AD1"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37F1573E"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40ACADFB" w14:textId="77777777" w:rsidR="005A1399" w:rsidRPr="009A501D" w:rsidRDefault="005A1399"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12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9B4276" w14:textId="77777777" w:rsidR="005A1399" w:rsidRPr="009A501D" w:rsidRDefault="005A1399" w:rsidP="00D858E6">
            <w:pPr>
              <w:spacing w:after="0"/>
              <w:contextualSpacing/>
              <w:rPr>
                <w:rFonts w:ascii="Century Gothic" w:hAnsi="Century Gothic" w:cs="Calibri"/>
                <w:b/>
                <w:color w:val="FFFFFF"/>
                <w:sz w:val="16"/>
                <w:szCs w:val="16"/>
              </w:rPr>
            </w:pPr>
          </w:p>
        </w:tc>
      </w:tr>
      <w:tr w:rsidR="005A1399" w:rsidRPr="009A501D" w14:paraId="528EE12F"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8BF160"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DGIAI</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B7C704"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BIARE</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5AC7CF"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Semestral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4B0247E" w14:textId="5C27C540" w:rsidR="005A1399" w:rsidRPr="009A501D" w:rsidRDefault="004C29F1"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474DCE1" w14:textId="3B092C4C" w:rsidR="005A1399" w:rsidRPr="009A501D" w:rsidRDefault="00F6713F"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5</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24A54D2" w14:textId="6C3AA6D6" w:rsidR="005A1399" w:rsidRPr="009A501D" w:rsidRDefault="00F6713F"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8A4AECA" w14:textId="5CB9A5B4" w:rsidR="005A1399" w:rsidRPr="009A501D" w:rsidRDefault="00F6713F"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D2658E" w14:textId="7F36CB4C" w:rsidR="005A1399" w:rsidRPr="009A501D" w:rsidRDefault="004C29F1"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17</w:t>
            </w:r>
          </w:p>
        </w:tc>
      </w:tr>
      <w:tr w:rsidR="005A1399" w:rsidRPr="009A501D" w14:paraId="045F258F"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E61B7CB"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5D4B9EB"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EAC</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CED37AD"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37DB061"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7E44C7D"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C57035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127253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5CAE92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r>
      <w:tr w:rsidR="005A1399" w:rsidRPr="009A501D" w14:paraId="5F29909C"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308ED4"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E4377A"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EAEC</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43122B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0D3600"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DD52F9"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C5046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46DDA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8B126C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r>
      <w:tr w:rsidR="005A1399" w:rsidRPr="009A501D" w14:paraId="366CC5FA"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89D9539"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72A2C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EAIM</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8DB2B18"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B111527"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9656669"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216C3E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E66552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6DC8F2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r>
      <w:tr w:rsidR="005A1399" w:rsidRPr="009A501D" w14:paraId="361A283D"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F3D680"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678955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EASPNF</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B05DDDC"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1CFDAF"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23D2EB1"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35098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DBC4A7A"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82058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r>
      <w:tr w:rsidR="005A1399" w:rsidRPr="009A501D" w14:paraId="2B303CB6"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4868819"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81FFC0D"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EAT</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E1557D0"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3D69F46"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BA94309"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77D547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E1E027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0507F4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r>
      <w:tr w:rsidR="005A1399" w:rsidRPr="009A501D" w14:paraId="0F68674C"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95CB23"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9EEEB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ENDUTIH</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386C4C"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49F719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D53008" w14:textId="77777777" w:rsidR="005A1399" w:rsidRPr="009A501D" w:rsidRDefault="005A1399" w:rsidP="00D858E6">
            <w:pPr>
              <w:spacing w:after="0"/>
              <w:contextualSpacing/>
              <w:jc w:val="center"/>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A060A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A88D8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4B64D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r>
      <w:tr w:rsidR="005A1399" w:rsidRPr="009A501D" w14:paraId="6EFFEC23"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34F8442"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C91B3EB"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EMEC</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CAFECFA"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4230BEA"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F8CC25D"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6091FA8"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71060DF"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A613A2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r>
      <w:tr w:rsidR="005A1399" w:rsidRPr="009A501D" w14:paraId="6F0460F1"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12E6FC"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343D8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EMIM</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228E76B"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642AE05"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1AA77F"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987705"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81AEA6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B9E9D4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r>
      <w:tr w:rsidR="005A1399" w:rsidRPr="009A501D" w14:paraId="3DF0EB50"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607E794"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84BCD24"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EMS</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F09B6A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2B0A63E"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DE66B3E"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BAD17BE"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A74B54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A5B5C4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60</w:t>
            </w:r>
          </w:p>
        </w:tc>
      </w:tr>
      <w:tr w:rsidR="005A1399" w:rsidRPr="009A501D" w14:paraId="3C7A99EF"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E8020C5"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76150F"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ENEC</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12C513"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81F6801"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E5E32D"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9491614"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36</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3E0EA3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685F7A6"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66</w:t>
            </w:r>
          </w:p>
        </w:tc>
      </w:tr>
      <w:tr w:rsidR="005A1399" w:rsidRPr="009A501D" w14:paraId="53628D0A"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6703E9D"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B1EF03D"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ENTI</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CF340E1"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B0CE715"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909E753"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BFC14B2" w14:textId="77777777" w:rsidR="005A1399" w:rsidRPr="009A501D" w:rsidRDefault="005A1399" w:rsidP="00D858E6">
            <w:pPr>
              <w:spacing w:after="0"/>
              <w:contextualSpacing/>
              <w:jc w:val="center"/>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0B2DDB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8EF678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r>
      <w:tr w:rsidR="005A1399" w:rsidRPr="009A501D" w14:paraId="0C7BAFB4"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C995EC"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E8937AD"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ENOE</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29E9D8"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FFD095D"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5D2567"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70BA8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0B1C72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F312C4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27</w:t>
            </w:r>
          </w:p>
        </w:tc>
      </w:tr>
      <w:tr w:rsidR="005A1399" w:rsidRPr="009A501D" w14:paraId="457416C6"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0104A10"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BF5E7BC"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ENOE-NE</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3C7D94F"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4E8942B" w14:textId="77777777" w:rsidR="005A1399" w:rsidRPr="009A501D" w:rsidRDefault="005A1399" w:rsidP="00D858E6">
            <w:pPr>
              <w:spacing w:after="0"/>
              <w:contextualSpacing/>
              <w:rPr>
                <w:rFonts w:ascii="Century Gothic" w:hAnsi="Century Gothic" w:cs="Calibri"/>
                <w:color w:val="000000"/>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9890F9B" w14:textId="77777777" w:rsidR="005A1399" w:rsidRPr="009A501D" w:rsidRDefault="005A1399" w:rsidP="00D858E6">
            <w:pPr>
              <w:spacing w:after="0"/>
              <w:contextualSpacing/>
              <w:jc w:val="center"/>
              <w:rPr>
                <w:sz w:val="16"/>
                <w:szCs w:val="16"/>
              </w:rPr>
            </w:pP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A28B34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672A24E"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6C95950"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9</w:t>
            </w:r>
          </w:p>
        </w:tc>
      </w:tr>
      <w:tr w:rsidR="005A1399" w:rsidRPr="009A501D" w14:paraId="61C34B38" w14:textId="77777777" w:rsidTr="00D858E6">
        <w:trPr>
          <w:trHeight w:val="227"/>
          <w:jc w:val="center"/>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9A7310"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3CEB13"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ENCO</w:t>
            </w:r>
          </w:p>
        </w:tc>
        <w:tc>
          <w:tcPr>
            <w:tcW w:w="20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51335EE" w14:textId="77777777" w:rsidR="005A1399" w:rsidRPr="009A501D" w:rsidRDefault="005A1399" w:rsidP="001739EA">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08D961"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78849FC"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8B2A08"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FD83472"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60D475" w14:textId="77777777" w:rsidR="005A1399" w:rsidRPr="009A501D" w:rsidRDefault="005A1399" w:rsidP="00D858E6">
            <w:pPr>
              <w:spacing w:after="0"/>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6</w:t>
            </w:r>
          </w:p>
        </w:tc>
      </w:tr>
      <w:tr w:rsidR="005A1399" w:rsidRPr="009A501D" w14:paraId="51FAD4DE" w14:textId="77777777" w:rsidTr="00D858E6">
        <w:trPr>
          <w:trHeight w:val="227"/>
          <w:jc w:val="center"/>
        </w:trPr>
        <w:tc>
          <w:tcPr>
            <w:tcW w:w="487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hideMark/>
          </w:tcPr>
          <w:p w14:paraId="1C297E76" w14:textId="2440F9F5" w:rsidR="005A1399" w:rsidRPr="009A501D" w:rsidRDefault="005A1399" w:rsidP="00D858E6">
            <w:pPr>
              <w:spacing w:after="0"/>
              <w:contextualSpacing/>
              <w:jc w:val="right"/>
              <w:rPr>
                <w:rFonts w:ascii="Century Gothic" w:hAnsi="Century Gothic" w:cs="Calibri"/>
                <w:b/>
                <w:color w:val="FFFFFF"/>
                <w:sz w:val="16"/>
                <w:szCs w:val="16"/>
              </w:rPr>
            </w:pPr>
            <w:r w:rsidRPr="009A501D">
              <w:rPr>
                <w:rFonts w:ascii="Century Gothic" w:hAnsi="Century Gothic" w:cs="Calibri"/>
                <w:b/>
                <w:color w:val="FFFFFF"/>
                <w:sz w:val="16"/>
                <w:szCs w:val="16"/>
              </w:rPr>
              <w:t>Total</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tcPr>
          <w:p w14:paraId="7EE5238B" w14:textId="10315353" w:rsidR="005A1399" w:rsidRPr="009A501D" w:rsidRDefault="00304B7B"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18</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tcPr>
          <w:p w14:paraId="379191EB" w14:textId="3C3A2FC7" w:rsidR="005A1399" w:rsidRPr="009A501D" w:rsidRDefault="00304B7B"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25</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tcPr>
          <w:p w14:paraId="6697B91D" w14:textId="6B7D7FAF" w:rsidR="005A1399" w:rsidRPr="009A501D" w:rsidRDefault="00304B7B"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91</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tcPr>
          <w:p w14:paraId="65A57815" w14:textId="446E4E8C" w:rsidR="005A1399" w:rsidRPr="009A501D" w:rsidRDefault="00304B7B"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165</w:t>
            </w:r>
          </w:p>
        </w:tc>
        <w:tc>
          <w:tcPr>
            <w:tcW w:w="1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vAlign w:val="center"/>
          </w:tcPr>
          <w:p w14:paraId="17FCA2B6" w14:textId="1D2AE405" w:rsidR="005A1399" w:rsidRPr="009A501D" w:rsidRDefault="00304B7B" w:rsidP="00D858E6">
            <w:pPr>
              <w:spacing w:after="0"/>
              <w:contextualSpacing/>
              <w:jc w:val="center"/>
              <w:rPr>
                <w:rFonts w:ascii="Century Gothic" w:hAnsi="Century Gothic" w:cs="Calibri"/>
                <w:b/>
                <w:color w:val="FFFFFF"/>
                <w:sz w:val="16"/>
                <w:szCs w:val="16"/>
              </w:rPr>
            </w:pPr>
            <w:r w:rsidRPr="009A501D">
              <w:rPr>
                <w:rFonts w:ascii="Century Gothic" w:hAnsi="Century Gothic" w:cs="Calibri"/>
                <w:b/>
                <w:color w:val="FFFFFF"/>
                <w:sz w:val="16"/>
                <w:szCs w:val="16"/>
              </w:rPr>
              <w:t>299</w:t>
            </w:r>
          </w:p>
        </w:tc>
      </w:tr>
    </w:tbl>
    <w:p w14:paraId="23BB7105" w14:textId="77777777" w:rsidR="005A1399" w:rsidRPr="009A501D" w:rsidRDefault="005A1399" w:rsidP="00664A1D">
      <w:pPr>
        <w:spacing w:before="240"/>
        <w:jc w:val="both"/>
        <w:rPr>
          <w:rFonts w:ascii="Century Gothic" w:hAnsi="Century Gothic" w:cstheme="minorHAnsi"/>
          <w:b/>
          <w:sz w:val="19"/>
          <w:szCs w:val="19"/>
        </w:rPr>
      </w:pPr>
      <w:r w:rsidRPr="009A501D">
        <w:rPr>
          <w:rFonts w:ascii="Century Gothic" w:hAnsi="Century Gothic" w:cstheme="minorHAnsi"/>
          <w:b/>
          <w:sz w:val="19"/>
          <w:szCs w:val="19"/>
        </w:rPr>
        <w:t>INDICADORES DE USO EXTERNO</w:t>
      </w:r>
    </w:p>
    <w:p w14:paraId="2E0FEA22" w14:textId="1DD1F13D"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Para los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s con muestreo mixto se presenta un resumen del </w:t>
      </w:r>
      <w:r w:rsidRPr="009A501D">
        <w:rPr>
          <w:rFonts w:ascii="Century Gothic" w:hAnsi="Century Gothic" w:cstheme="minorHAnsi"/>
          <w:i/>
          <w:iCs/>
          <w:sz w:val="19"/>
          <w:szCs w:val="19"/>
        </w:rPr>
        <w:t>indicador cobertura de la variable de diseño</w:t>
      </w:r>
      <w:r w:rsidRPr="009A501D">
        <w:rPr>
          <w:rFonts w:ascii="Century Gothic" w:hAnsi="Century Gothic" w:cstheme="minorHAnsi"/>
          <w:sz w:val="19"/>
          <w:szCs w:val="19"/>
        </w:rPr>
        <w:t xml:space="preserve"> (cuadro A.</w:t>
      </w:r>
      <w:r w:rsidR="0006343F" w:rsidRPr="009A501D">
        <w:rPr>
          <w:rFonts w:ascii="Century Gothic" w:hAnsi="Century Gothic" w:cstheme="minorHAnsi"/>
          <w:sz w:val="19"/>
          <w:szCs w:val="19"/>
        </w:rPr>
        <w:t>5</w:t>
      </w:r>
      <w:r w:rsidRPr="009A501D">
        <w:rPr>
          <w:rFonts w:ascii="Century Gothic" w:hAnsi="Century Gothic" w:cstheme="minorHAnsi"/>
          <w:sz w:val="19"/>
          <w:szCs w:val="19"/>
        </w:rPr>
        <w:t>.4).  La cobertura representa el porcentaje alcanzado de la variable de diseño con respecto al marco estadístico. Esta es la variable en la que se basa la selecci</w:t>
      </w:r>
      <w:r w:rsidRPr="009A501D">
        <w:rPr>
          <w:rFonts w:ascii="Century Gothic" w:hAnsi="Century Gothic" w:cs="Century Gothic"/>
          <w:sz w:val="19"/>
          <w:szCs w:val="19"/>
        </w:rPr>
        <w:t>ó</w:t>
      </w:r>
      <w:r w:rsidRPr="009A501D">
        <w:rPr>
          <w:rFonts w:ascii="Century Gothic" w:hAnsi="Century Gothic" w:cstheme="minorHAnsi"/>
          <w:sz w:val="19"/>
          <w:szCs w:val="19"/>
        </w:rPr>
        <w:t>n no probabil</w:t>
      </w:r>
      <w:r w:rsidRPr="009A501D">
        <w:rPr>
          <w:rFonts w:ascii="Century Gothic" w:hAnsi="Century Gothic" w:cs="Century Gothic"/>
          <w:sz w:val="19"/>
          <w:szCs w:val="19"/>
        </w:rPr>
        <w:t>í</w:t>
      </w:r>
      <w:r w:rsidRPr="009A501D">
        <w:rPr>
          <w:rFonts w:ascii="Century Gothic" w:hAnsi="Century Gothic" w:cstheme="minorHAnsi"/>
          <w:sz w:val="19"/>
          <w:szCs w:val="19"/>
        </w:rPr>
        <w:t>stica de la muestra y refleja la cobertura alcanzada de la misma con respecto al marco y, por tanto, la precisión en el valor reportado.  En caso de que no se logre el nivel de cobertura esperado o deseado, y con el fin de mejorar el valor de la cobertura, se pued</w:t>
      </w:r>
      <w:r w:rsidR="00F833E6" w:rsidRPr="009A501D">
        <w:rPr>
          <w:rFonts w:ascii="Century Gothic" w:hAnsi="Century Gothic" w:cstheme="minorHAnsi"/>
          <w:sz w:val="19"/>
          <w:szCs w:val="19"/>
        </w:rPr>
        <w:t>e</w:t>
      </w:r>
      <w:r w:rsidRPr="009A501D">
        <w:rPr>
          <w:rFonts w:ascii="Century Gothic" w:hAnsi="Century Gothic" w:cstheme="minorHAnsi"/>
          <w:sz w:val="19"/>
          <w:szCs w:val="19"/>
        </w:rPr>
        <w:t xml:space="preserve"> analizar la conveniencia de aumentar el tamaño de la muestra, lo que podría tener un impacto tanto operativo como presupuestal.</w:t>
      </w:r>
    </w:p>
    <w:p w14:paraId="1AD9EC92" w14:textId="42C0A625"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lastRenderedPageBreak/>
        <w:t>En el cuadro A.</w:t>
      </w:r>
      <w:r w:rsidR="00AE6C80" w:rsidRPr="009A501D">
        <w:rPr>
          <w:rFonts w:ascii="Century Gothic" w:hAnsi="Century Gothic" w:cstheme="minorHAnsi"/>
          <w:sz w:val="19"/>
          <w:szCs w:val="19"/>
        </w:rPr>
        <w:t>5</w:t>
      </w:r>
      <w:r w:rsidRPr="009A501D">
        <w:rPr>
          <w:rFonts w:ascii="Century Gothic" w:hAnsi="Century Gothic" w:cstheme="minorHAnsi"/>
          <w:sz w:val="19"/>
          <w:szCs w:val="19"/>
        </w:rPr>
        <w:t xml:space="preserve">.4 el número de casos corresponde al número de indicadores-objetivo en cada dominio de estudio conforme a la periodicidad del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 Adicionalmente, se muestra la distribución de casos en que la </w:t>
      </w:r>
      <w:r w:rsidRPr="009A501D">
        <w:rPr>
          <w:rFonts w:ascii="Century Gothic" w:hAnsi="Century Gothic" w:cstheme="minorHAnsi"/>
          <w:i/>
          <w:iCs/>
          <w:sz w:val="19"/>
          <w:szCs w:val="19"/>
        </w:rPr>
        <w:t>cobertura de la variable de diseño</w:t>
      </w:r>
      <w:r w:rsidRPr="009A501D">
        <w:rPr>
          <w:rFonts w:ascii="Century Gothic" w:hAnsi="Century Gothic" w:cstheme="minorHAnsi"/>
          <w:sz w:val="19"/>
          <w:szCs w:val="19"/>
        </w:rPr>
        <w:t xml:space="preserve"> presenta valores considerados de alta precisión (≥80%), de precisión moderada (60%-80%) y baja precisión (&lt;60%).  La </w:t>
      </w:r>
      <w:r w:rsidRPr="009A501D">
        <w:rPr>
          <w:rFonts w:ascii="Century Gothic" w:hAnsi="Century Gothic" w:cstheme="minorHAnsi"/>
          <w:i/>
          <w:iCs/>
          <w:sz w:val="19"/>
          <w:szCs w:val="19"/>
        </w:rPr>
        <w:t>cobertura de la variable de diseño</w:t>
      </w:r>
      <w:r w:rsidRPr="009A501D">
        <w:rPr>
          <w:rFonts w:ascii="Century Gothic" w:hAnsi="Century Gothic" w:cstheme="minorHAnsi"/>
          <w:sz w:val="19"/>
          <w:szCs w:val="19"/>
        </w:rPr>
        <w:t xml:space="preserve"> en 2022 es prácticamente igual a 2020 y 2018, lo cual muestra el esfuerzo realizado para mantener la calidad en este indicador a lo largo del tiempo, aunque aún mantienen un alto porcentaje de dominios de estudio en los indicadores-objetivo publicados con precisión moderada, destacando la Encuesta Anual de Comercio (EAC), Encuesta Mensual sobre Empresas Comerciales (EMEC) y Encuesta Anual de Servicios Privados no Financieros (EASPNF) como los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s con menor número de casos con alta precisión estadística.</w:t>
      </w:r>
    </w:p>
    <w:p w14:paraId="265A79FA" w14:textId="4FCBC005" w:rsidR="005A1399" w:rsidRPr="009A501D" w:rsidRDefault="005A1399" w:rsidP="00664A1D">
      <w:pPr>
        <w:spacing w:before="240"/>
        <w:jc w:val="center"/>
        <w:rPr>
          <w:rFonts w:ascii="Century Gothic" w:hAnsi="Century Gothic" w:cstheme="minorHAnsi"/>
          <w:b/>
          <w:sz w:val="19"/>
          <w:szCs w:val="19"/>
        </w:rPr>
      </w:pPr>
      <w:r w:rsidRPr="009A501D">
        <w:rPr>
          <w:rFonts w:ascii="Century Gothic" w:hAnsi="Century Gothic" w:cstheme="majorHAnsi"/>
          <w:b/>
          <w:sz w:val="19"/>
          <w:szCs w:val="19"/>
        </w:rPr>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 xml:space="preserve">.4. Frecuencias de la cobertura de la variable de diseño en encuestas en unidades económicas de acuerdo con los umbrales aprobados en el Comité por </w:t>
      </w:r>
      <w:r w:rsidR="00EC4113" w:rsidRPr="009A501D">
        <w:rPr>
          <w:rFonts w:ascii="Century Gothic" w:hAnsi="Century Gothic" w:cstheme="majorHAnsi"/>
          <w:b/>
          <w:sz w:val="19"/>
          <w:szCs w:val="19"/>
        </w:rPr>
        <w:t>proceso</w:t>
      </w:r>
    </w:p>
    <w:tbl>
      <w:tblPr>
        <w:tblW w:w="13800" w:type="dxa"/>
        <w:jc w:val="center"/>
        <w:tblCellMar>
          <w:left w:w="70" w:type="dxa"/>
          <w:right w:w="70" w:type="dxa"/>
        </w:tblCellMar>
        <w:tblLook w:val="04A0" w:firstRow="1" w:lastRow="0" w:firstColumn="1" w:lastColumn="0" w:noHBand="0" w:noVBand="1"/>
      </w:tblPr>
      <w:tblGrid>
        <w:gridCol w:w="876"/>
        <w:gridCol w:w="1519"/>
        <w:gridCol w:w="1358"/>
        <w:gridCol w:w="1096"/>
        <w:gridCol w:w="737"/>
        <w:gridCol w:w="738"/>
        <w:gridCol w:w="1175"/>
        <w:gridCol w:w="698"/>
        <w:gridCol w:w="658"/>
        <w:gridCol w:w="1195"/>
        <w:gridCol w:w="658"/>
        <w:gridCol w:w="678"/>
        <w:gridCol w:w="1057"/>
        <w:gridCol w:w="658"/>
        <w:gridCol w:w="678"/>
        <w:gridCol w:w="146"/>
      </w:tblGrid>
      <w:tr w:rsidR="005A1399" w:rsidRPr="009A501D" w14:paraId="588AEDA2" w14:textId="77777777" w:rsidTr="00317772">
        <w:trPr>
          <w:gridAfter w:val="1"/>
          <w:wAfter w:w="36" w:type="dxa"/>
          <w:trHeight w:val="284"/>
          <w:tblHeader/>
          <w:jc w:val="center"/>
        </w:trPr>
        <w:tc>
          <w:tcPr>
            <w:tcW w:w="86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8064548"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51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239CD6B7"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135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2E5F230" w14:textId="355A97DB"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257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A88EEC2" w14:textId="0C4E538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Indicadores publicados en el Informe de resultados del </w:t>
            </w:r>
            <w:r w:rsidR="005E61B3" w:rsidRPr="009A501D">
              <w:rPr>
                <w:rFonts w:ascii="Century Gothic" w:hAnsi="Century Gothic" w:cs="Calibri"/>
                <w:b/>
                <w:color w:val="FFFFFF"/>
                <w:sz w:val="16"/>
                <w:szCs w:val="16"/>
              </w:rPr>
              <w:t>Comité</w:t>
            </w:r>
            <w:r w:rsidRPr="009A501D">
              <w:rPr>
                <w:rFonts w:ascii="Century Gothic" w:hAnsi="Century Gothic" w:cs="Calibri"/>
                <w:b/>
                <w:color w:val="FFFFFF"/>
                <w:sz w:val="16"/>
                <w:szCs w:val="16"/>
              </w:rPr>
              <w:t xml:space="preserve"> 2018 - Línea base</w:t>
            </w:r>
          </w:p>
        </w:tc>
        <w:tc>
          <w:tcPr>
            <w:tcW w:w="253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23C61B7" w14:textId="091C9FE1"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Indicadores publicados en el Informe de resultados del </w:t>
            </w:r>
            <w:r w:rsidR="005E61B3" w:rsidRPr="009A501D">
              <w:rPr>
                <w:rFonts w:ascii="Century Gothic" w:hAnsi="Century Gothic" w:cs="Calibri"/>
                <w:b/>
                <w:color w:val="FFFFFF"/>
                <w:sz w:val="16"/>
                <w:szCs w:val="16"/>
              </w:rPr>
              <w:t>Comité</w:t>
            </w:r>
            <w:r w:rsidRPr="009A501D">
              <w:rPr>
                <w:rFonts w:ascii="Century Gothic" w:hAnsi="Century Gothic" w:cs="Calibri"/>
                <w:b/>
                <w:color w:val="FFFFFF"/>
                <w:sz w:val="16"/>
                <w:szCs w:val="16"/>
              </w:rPr>
              <w:t xml:space="preserve"> 2019</w:t>
            </w:r>
          </w:p>
        </w:tc>
        <w:tc>
          <w:tcPr>
            <w:tcW w:w="253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17D9021" w14:textId="4A7BB0F6"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Indicadores publicados en el Informe de resultados del </w:t>
            </w:r>
            <w:r w:rsidR="005E61B3" w:rsidRPr="009A501D">
              <w:rPr>
                <w:rFonts w:ascii="Century Gothic" w:hAnsi="Century Gothic" w:cs="Calibri"/>
                <w:b/>
                <w:color w:val="FFFFFF"/>
                <w:sz w:val="16"/>
                <w:szCs w:val="16"/>
              </w:rPr>
              <w:t>Comité</w:t>
            </w:r>
            <w:r w:rsidRPr="009A501D">
              <w:rPr>
                <w:rFonts w:ascii="Century Gothic" w:hAnsi="Century Gothic" w:cs="Calibri"/>
                <w:b/>
                <w:color w:val="FFFFFF"/>
                <w:sz w:val="16"/>
                <w:szCs w:val="16"/>
              </w:rPr>
              <w:t xml:space="preserve"> 2021</w:t>
            </w:r>
          </w:p>
        </w:tc>
        <w:tc>
          <w:tcPr>
            <w:tcW w:w="239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90F3C58"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Indicadores publicados en 2022*</w:t>
            </w:r>
          </w:p>
        </w:tc>
      </w:tr>
      <w:tr w:rsidR="005A1399" w:rsidRPr="009A501D" w14:paraId="5633F7A1" w14:textId="77777777" w:rsidTr="00317772">
        <w:trPr>
          <w:gridAfter w:val="1"/>
          <w:wAfter w:w="36" w:type="dxa"/>
          <w:trHeight w:val="450"/>
          <w:tblHeader/>
          <w:jc w:val="center"/>
        </w:trPr>
        <w:tc>
          <w:tcPr>
            <w:tcW w:w="86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CB4ED2" w14:textId="77777777" w:rsidR="005A1399" w:rsidRPr="009A501D" w:rsidRDefault="005A1399" w:rsidP="007F5C1B">
            <w:pPr>
              <w:spacing w:after="0" w:line="240" w:lineRule="auto"/>
              <w:rPr>
                <w:rFonts w:ascii="Century Gothic" w:hAnsi="Century Gothic" w:cs="Calibri"/>
                <w:b/>
                <w:color w:val="FFFFFF"/>
                <w:sz w:val="16"/>
                <w:szCs w:val="16"/>
              </w:rPr>
            </w:pPr>
          </w:p>
        </w:tc>
        <w:tc>
          <w:tcPr>
            <w:tcW w:w="151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9BA880" w14:textId="77777777" w:rsidR="005A1399" w:rsidRPr="009A501D" w:rsidRDefault="005A1399" w:rsidP="007F5C1B">
            <w:pPr>
              <w:spacing w:after="0" w:line="240" w:lineRule="auto"/>
              <w:rPr>
                <w:rFonts w:ascii="Century Gothic" w:hAnsi="Century Gothic" w:cs="Calibri"/>
                <w:b/>
                <w:color w:val="FFFFFF"/>
                <w:sz w:val="16"/>
                <w:szCs w:val="16"/>
              </w:rPr>
            </w:pPr>
          </w:p>
        </w:tc>
        <w:tc>
          <w:tcPr>
            <w:tcW w:w="135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9C2B03" w14:textId="77777777" w:rsidR="005A1399" w:rsidRPr="009A501D" w:rsidRDefault="005A1399" w:rsidP="007F5C1B">
            <w:pPr>
              <w:spacing w:after="0" w:line="240" w:lineRule="auto"/>
              <w:rPr>
                <w:rFonts w:ascii="Century Gothic" w:hAnsi="Century Gothic" w:cs="Calibri"/>
                <w:b/>
                <w:color w:val="FFFFFF"/>
                <w:sz w:val="16"/>
                <w:szCs w:val="16"/>
              </w:rPr>
            </w:pPr>
          </w:p>
        </w:tc>
        <w:tc>
          <w:tcPr>
            <w:tcW w:w="10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E2AFD3E" w14:textId="69214D84"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Número de </w:t>
            </w:r>
            <w:r w:rsidR="00B46281" w:rsidRPr="009A501D">
              <w:rPr>
                <w:rFonts w:ascii="Century Gothic" w:hAnsi="Century Gothic" w:cs="Calibri"/>
                <w:b/>
                <w:color w:val="FFFFFF"/>
                <w:sz w:val="16"/>
                <w:szCs w:val="16"/>
              </w:rPr>
              <w:t>c</w:t>
            </w:r>
            <w:r w:rsidRPr="009A501D">
              <w:rPr>
                <w:rFonts w:ascii="Century Gothic" w:hAnsi="Century Gothic" w:cs="Calibri"/>
                <w:b/>
                <w:color w:val="FFFFFF"/>
                <w:sz w:val="16"/>
                <w:szCs w:val="16"/>
              </w:rPr>
              <w:t>asos**</w:t>
            </w:r>
          </w:p>
        </w:tc>
        <w:tc>
          <w:tcPr>
            <w:tcW w:w="73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241DD69"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Alta</w:t>
            </w:r>
            <w:r w:rsidRPr="009A501D">
              <w:rPr>
                <w:rFonts w:ascii="Century Gothic" w:hAnsi="Century Gothic" w:cs="Calibri"/>
                <w:b/>
                <w:color w:val="000000"/>
                <w:sz w:val="16"/>
                <w:szCs w:val="16"/>
              </w:rPr>
              <w:br/>
              <w:t>≥80</w:t>
            </w:r>
            <w:r w:rsidRPr="009A501D">
              <w:rPr>
                <w:rFonts w:ascii="Century Gothic" w:hAnsi="Century Gothic" w:cs="Calibri"/>
                <w:b/>
                <w:color w:val="000000"/>
                <w:sz w:val="16"/>
                <w:szCs w:val="16"/>
                <w:vertAlign w:val="superscript"/>
              </w:rPr>
              <w:t>a/</w:t>
            </w:r>
          </w:p>
        </w:tc>
        <w:tc>
          <w:tcPr>
            <w:tcW w:w="73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53D7CD3A"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Baja</w:t>
            </w:r>
            <w:r w:rsidRPr="009A501D">
              <w:rPr>
                <w:rFonts w:ascii="Century Gothic" w:hAnsi="Century Gothic" w:cs="Calibri"/>
                <w:b/>
                <w:color w:val="000000"/>
                <w:sz w:val="16"/>
                <w:szCs w:val="16"/>
              </w:rPr>
              <w:br/>
              <w:t>&lt;60</w:t>
            </w:r>
            <w:r w:rsidRPr="009A501D">
              <w:rPr>
                <w:rFonts w:ascii="Century Gothic" w:hAnsi="Century Gothic" w:cs="Calibri"/>
                <w:b/>
                <w:color w:val="000000"/>
                <w:sz w:val="16"/>
                <w:szCs w:val="16"/>
                <w:vertAlign w:val="superscript"/>
              </w:rPr>
              <w:t>a/</w:t>
            </w:r>
          </w:p>
        </w:tc>
        <w:tc>
          <w:tcPr>
            <w:tcW w:w="117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8E8F9DF" w14:textId="2DAA9E6C"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Número de </w:t>
            </w:r>
            <w:r w:rsidR="00B46281" w:rsidRPr="009A501D">
              <w:rPr>
                <w:rFonts w:ascii="Century Gothic" w:hAnsi="Century Gothic" w:cs="Calibri"/>
                <w:b/>
                <w:color w:val="FFFFFF"/>
                <w:sz w:val="16"/>
                <w:szCs w:val="16"/>
              </w:rPr>
              <w:t>c</w:t>
            </w:r>
            <w:r w:rsidRPr="009A501D">
              <w:rPr>
                <w:rFonts w:ascii="Century Gothic" w:hAnsi="Century Gothic" w:cs="Calibri"/>
                <w:b/>
                <w:color w:val="FFFFFF"/>
                <w:sz w:val="16"/>
                <w:szCs w:val="16"/>
              </w:rPr>
              <w:t>asos</w:t>
            </w:r>
          </w:p>
        </w:tc>
        <w:tc>
          <w:tcPr>
            <w:tcW w:w="6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3CC6A4A6"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Alta</w:t>
            </w:r>
            <w:r w:rsidRPr="009A501D">
              <w:rPr>
                <w:rFonts w:ascii="Century Gothic" w:hAnsi="Century Gothic" w:cs="Calibri"/>
                <w:b/>
                <w:color w:val="000000"/>
                <w:sz w:val="16"/>
                <w:szCs w:val="16"/>
              </w:rPr>
              <w:br/>
              <w:t>≥80</w:t>
            </w:r>
            <w:r w:rsidRPr="009A501D">
              <w:rPr>
                <w:rFonts w:ascii="Century Gothic" w:hAnsi="Century Gothic" w:cs="Calibri"/>
                <w:b/>
                <w:color w:val="000000"/>
                <w:sz w:val="16"/>
                <w:szCs w:val="16"/>
                <w:vertAlign w:val="superscript"/>
              </w:rPr>
              <w:t>a/</w:t>
            </w:r>
          </w:p>
        </w:tc>
        <w:tc>
          <w:tcPr>
            <w:tcW w:w="65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2BA73678"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Baja</w:t>
            </w:r>
            <w:r w:rsidRPr="009A501D">
              <w:rPr>
                <w:rFonts w:ascii="Century Gothic" w:hAnsi="Century Gothic" w:cs="Calibri"/>
                <w:b/>
                <w:color w:val="000000"/>
                <w:sz w:val="16"/>
                <w:szCs w:val="16"/>
              </w:rPr>
              <w:br/>
              <w:t>&lt;60</w:t>
            </w:r>
            <w:r w:rsidRPr="009A501D">
              <w:rPr>
                <w:rFonts w:ascii="Century Gothic" w:hAnsi="Century Gothic" w:cs="Calibri"/>
                <w:b/>
                <w:color w:val="000000"/>
                <w:sz w:val="16"/>
                <w:szCs w:val="16"/>
                <w:vertAlign w:val="superscript"/>
              </w:rPr>
              <w:t>a/</w:t>
            </w:r>
          </w:p>
        </w:tc>
        <w:tc>
          <w:tcPr>
            <w:tcW w:w="119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8E15BFB" w14:textId="36AEE27E"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Número de </w:t>
            </w:r>
            <w:r w:rsidR="006D1623">
              <w:rPr>
                <w:rFonts w:ascii="Century Gothic" w:hAnsi="Century Gothic" w:cs="Calibri"/>
                <w:b/>
                <w:color w:val="FFFFFF"/>
                <w:sz w:val="16"/>
                <w:szCs w:val="16"/>
              </w:rPr>
              <w:t>c</w:t>
            </w:r>
            <w:r w:rsidRPr="009A501D">
              <w:rPr>
                <w:rFonts w:ascii="Century Gothic" w:hAnsi="Century Gothic" w:cs="Calibri"/>
                <w:b/>
                <w:color w:val="FFFFFF"/>
                <w:sz w:val="16"/>
                <w:szCs w:val="16"/>
              </w:rPr>
              <w:t>asos</w:t>
            </w:r>
          </w:p>
        </w:tc>
        <w:tc>
          <w:tcPr>
            <w:tcW w:w="65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0892837B"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Alta</w:t>
            </w:r>
            <w:r w:rsidRPr="009A501D">
              <w:rPr>
                <w:rFonts w:ascii="Century Gothic" w:hAnsi="Century Gothic" w:cs="Calibri"/>
                <w:b/>
                <w:color w:val="000000"/>
                <w:sz w:val="16"/>
                <w:szCs w:val="16"/>
              </w:rPr>
              <w:br/>
              <w:t>≥80</w:t>
            </w:r>
            <w:r w:rsidRPr="009A501D">
              <w:rPr>
                <w:rFonts w:ascii="Century Gothic" w:hAnsi="Century Gothic" w:cs="Calibri"/>
                <w:b/>
                <w:color w:val="000000"/>
                <w:sz w:val="16"/>
                <w:szCs w:val="16"/>
                <w:vertAlign w:val="superscript"/>
              </w:rPr>
              <w:t>a/</w:t>
            </w:r>
          </w:p>
        </w:tc>
        <w:tc>
          <w:tcPr>
            <w:tcW w:w="6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77CAAA3F"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Baja</w:t>
            </w:r>
            <w:r w:rsidRPr="009A501D">
              <w:rPr>
                <w:rFonts w:ascii="Century Gothic" w:hAnsi="Century Gothic" w:cs="Calibri"/>
                <w:b/>
                <w:color w:val="000000"/>
                <w:sz w:val="16"/>
                <w:szCs w:val="16"/>
              </w:rPr>
              <w:br/>
              <w:t>&lt;60</w:t>
            </w:r>
            <w:r w:rsidRPr="009A501D">
              <w:rPr>
                <w:rFonts w:ascii="Century Gothic" w:hAnsi="Century Gothic" w:cs="Calibri"/>
                <w:b/>
                <w:color w:val="000000"/>
                <w:sz w:val="16"/>
                <w:szCs w:val="16"/>
                <w:vertAlign w:val="superscript"/>
              </w:rPr>
              <w:t>a/</w:t>
            </w:r>
          </w:p>
        </w:tc>
        <w:tc>
          <w:tcPr>
            <w:tcW w:w="105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4F2254E" w14:textId="2D1A4DC0"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Número de </w:t>
            </w:r>
            <w:r w:rsidR="00B46281" w:rsidRPr="009A501D">
              <w:rPr>
                <w:rFonts w:ascii="Century Gothic" w:hAnsi="Century Gothic" w:cs="Calibri"/>
                <w:b/>
                <w:color w:val="FFFFFF"/>
                <w:sz w:val="16"/>
                <w:szCs w:val="16"/>
              </w:rPr>
              <w:t>c</w:t>
            </w:r>
            <w:r w:rsidRPr="009A501D">
              <w:rPr>
                <w:rFonts w:ascii="Century Gothic" w:hAnsi="Century Gothic" w:cs="Calibri"/>
                <w:b/>
                <w:color w:val="FFFFFF"/>
                <w:sz w:val="16"/>
                <w:szCs w:val="16"/>
              </w:rPr>
              <w:t>asos</w:t>
            </w:r>
          </w:p>
        </w:tc>
        <w:tc>
          <w:tcPr>
            <w:tcW w:w="65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488DE2E6"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Alta</w:t>
            </w:r>
            <w:r w:rsidRPr="009A501D">
              <w:rPr>
                <w:rFonts w:ascii="Century Gothic" w:hAnsi="Century Gothic" w:cs="Calibri"/>
                <w:b/>
                <w:color w:val="000000"/>
                <w:sz w:val="16"/>
                <w:szCs w:val="16"/>
              </w:rPr>
              <w:br/>
              <w:t>≥80</w:t>
            </w:r>
            <w:r w:rsidRPr="009A501D">
              <w:rPr>
                <w:rFonts w:ascii="Century Gothic" w:hAnsi="Century Gothic" w:cs="Calibri"/>
                <w:b/>
                <w:color w:val="000000"/>
                <w:sz w:val="16"/>
                <w:szCs w:val="16"/>
                <w:vertAlign w:val="superscript"/>
              </w:rPr>
              <w:t>a/</w:t>
            </w:r>
          </w:p>
        </w:tc>
        <w:tc>
          <w:tcPr>
            <w:tcW w:w="67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064668ED" w14:textId="77777777" w:rsidR="005A1399" w:rsidRPr="009A501D" w:rsidRDefault="005A1399" w:rsidP="007F5C1B">
            <w:pPr>
              <w:spacing w:after="0" w:line="240" w:lineRule="auto"/>
              <w:jc w:val="center"/>
              <w:rPr>
                <w:rFonts w:ascii="Century Gothic" w:hAnsi="Century Gothic" w:cs="Calibri"/>
                <w:b/>
                <w:color w:val="000000"/>
                <w:sz w:val="16"/>
                <w:szCs w:val="16"/>
              </w:rPr>
            </w:pPr>
            <w:r w:rsidRPr="009A501D">
              <w:rPr>
                <w:rFonts w:ascii="Century Gothic" w:hAnsi="Century Gothic" w:cs="Calibri"/>
                <w:b/>
                <w:color w:val="000000"/>
                <w:sz w:val="16"/>
                <w:szCs w:val="16"/>
              </w:rPr>
              <w:t>Baja</w:t>
            </w:r>
            <w:r w:rsidRPr="009A501D">
              <w:rPr>
                <w:rFonts w:ascii="Century Gothic" w:hAnsi="Century Gothic" w:cs="Calibri"/>
                <w:b/>
                <w:color w:val="000000"/>
                <w:sz w:val="16"/>
                <w:szCs w:val="16"/>
              </w:rPr>
              <w:br/>
              <w:t>&lt;60</w:t>
            </w:r>
            <w:r w:rsidRPr="009A501D">
              <w:rPr>
                <w:rFonts w:ascii="Century Gothic" w:hAnsi="Century Gothic" w:cs="Calibri"/>
                <w:b/>
                <w:color w:val="000000"/>
                <w:sz w:val="16"/>
                <w:szCs w:val="16"/>
                <w:vertAlign w:val="superscript"/>
              </w:rPr>
              <w:t>a/</w:t>
            </w:r>
          </w:p>
        </w:tc>
      </w:tr>
      <w:tr w:rsidR="005A1399" w:rsidRPr="009A501D" w14:paraId="496CD105" w14:textId="77777777" w:rsidTr="00317772">
        <w:trPr>
          <w:trHeight w:val="284"/>
          <w:tblHeader/>
          <w:jc w:val="center"/>
        </w:trPr>
        <w:tc>
          <w:tcPr>
            <w:tcW w:w="86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AFC9C9" w14:textId="77777777" w:rsidR="005A1399" w:rsidRPr="009A501D" w:rsidRDefault="005A1399" w:rsidP="007F5C1B">
            <w:pPr>
              <w:spacing w:after="0" w:line="240" w:lineRule="auto"/>
              <w:rPr>
                <w:rFonts w:ascii="Century Gothic" w:hAnsi="Century Gothic" w:cs="Calibri"/>
                <w:b/>
                <w:color w:val="FFFFFF"/>
                <w:sz w:val="16"/>
                <w:szCs w:val="16"/>
              </w:rPr>
            </w:pPr>
          </w:p>
        </w:tc>
        <w:tc>
          <w:tcPr>
            <w:tcW w:w="151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DCE5E2" w14:textId="77777777" w:rsidR="005A1399" w:rsidRPr="009A501D" w:rsidRDefault="005A1399" w:rsidP="007F5C1B">
            <w:pPr>
              <w:spacing w:after="0" w:line="240" w:lineRule="auto"/>
              <w:rPr>
                <w:rFonts w:ascii="Century Gothic" w:hAnsi="Century Gothic" w:cs="Calibri"/>
                <w:b/>
                <w:color w:val="FFFFFF"/>
                <w:sz w:val="16"/>
                <w:szCs w:val="16"/>
              </w:rPr>
            </w:pPr>
          </w:p>
        </w:tc>
        <w:tc>
          <w:tcPr>
            <w:tcW w:w="135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6BDBFA" w14:textId="77777777" w:rsidR="005A1399" w:rsidRPr="009A501D" w:rsidRDefault="005A1399" w:rsidP="007F5C1B">
            <w:pPr>
              <w:spacing w:after="0" w:line="240" w:lineRule="auto"/>
              <w:rPr>
                <w:rFonts w:ascii="Century Gothic" w:hAnsi="Century Gothic" w:cs="Calibri"/>
                <w:b/>
                <w:color w:val="FFFFFF"/>
                <w:sz w:val="16"/>
                <w:szCs w:val="16"/>
              </w:rPr>
            </w:pPr>
          </w:p>
        </w:tc>
        <w:tc>
          <w:tcPr>
            <w:tcW w:w="109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E2ED99" w14:textId="77777777" w:rsidR="005A1399" w:rsidRPr="009A501D" w:rsidRDefault="005A1399" w:rsidP="007F5C1B">
            <w:pPr>
              <w:spacing w:after="0" w:line="240" w:lineRule="auto"/>
              <w:rPr>
                <w:rFonts w:ascii="Century Gothic" w:hAnsi="Century Gothic" w:cs="Calibri"/>
                <w:b/>
                <w:color w:val="FFFFFF"/>
                <w:sz w:val="16"/>
                <w:szCs w:val="16"/>
              </w:rPr>
            </w:pPr>
          </w:p>
        </w:tc>
        <w:tc>
          <w:tcPr>
            <w:tcW w:w="73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C1D002" w14:textId="77777777" w:rsidR="005A1399" w:rsidRPr="009A501D" w:rsidRDefault="005A1399" w:rsidP="007F5C1B">
            <w:pPr>
              <w:spacing w:after="0" w:line="240" w:lineRule="auto"/>
              <w:rPr>
                <w:rFonts w:ascii="Century Gothic" w:hAnsi="Century Gothic" w:cs="Calibri"/>
                <w:b/>
                <w:color w:val="000000"/>
                <w:sz w:val="16"/>
                <w:szCs w:val="16"/>
              </w:rPr>
            </w:pPr>
          </w:p>
        </w:tc>
        <w:tc>
          <w:tcPr>
            <w:tcW w:w="73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55DD3A" w14:textId="77777777" w:rsidR="005A1399" w:rsidRPr="009A501D" w:rsidRDefault="005A1399" w:rsidP="007F5C1B">
            <w:pPr>
              <w:spacing w:after="0" w:line="240" w:lineRule="auto"/>
              <w:rPr>
                <w:rFonts w:ascii="Century Gothic" w:hAnsi="Century Gothic" w:cs="Calibri"/>
                <w:b/>
                <w:color w:val="000000"/>
                <w:sz w:val="16"/>
                <w:szCs w:val="16"/>
              </w:rPr>
            </w:pPr>
          </w:p>
        </w:tc>
        <w:tc>
          <w:tcPr>
            <w:tcW w:w="117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14E79E" w14:textId="77777777" w:rsidR="005A1399" w:rsidRPr="009A501D" w:rsidRDefault="005A1399" w:rsidP="007F5C1B">
            <w:pPr>
              <w:spacing w:after="0" w:line="240" w:lineRule="auto"/>
              <w:rPr>
                <w:rFonts w:ascii="Century Gothic" w:hAnsi="Century Gothic" w:cs="Calibri"/>
                <w:b/>
                <w:color w:val="FFFFFF"/>
                <w:sz w:val="16"/>
                <w:szCs w:val="16"/>
              </w:rPr>
            </w:pPr>
          </w:p>
        </w:tc>
        <w:tc>
          <w:tcPr>
            <w:tcW w:w="6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06614E" w14:textId="77777777" w:rsidR="005A1399" w:rsidRPr="009A501D" w:rsidRDefault="005A1399" w:rsidP="007F5C1B">
            <w:pPr>
              <w:spacing w:after="0" w:line="240" w:lineRule="auto"/>
              <w:rPr>
                <w:rFonts w:ascii="Century Gothic" w:hAnsi="Century Gothic" w:cs="Calibri"/>
                <w:b/>
                <w:color w:val="000000"/>
                <w:sz w:val="16"/>
                <w:szCs w:val="16"/>
              </w:rPr>
            </w:pPr>
          </w:p>
        </w:tc>
        <w:tc>
          <w:tcPr>
            <w:tcW w:w="65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CFBD10" w14:textId="77777777" w:rsidR="005A1399" w:rsidRPr="009A501D" w:rsidRDefault="005A1399" w:rsidP="007F5C1B">
            <w:pPr>
              <w:spacing w:after="0" w:line="240" w:lineRule="auto"/>
              <w:rPr>
                <w:rFonts w:ascii="Century Gothic" w:hAnsi="Century Gothic" w:cs="Calibri"/>
                <w:b/>
                <w:color w:val="000000"/>
                <w:sz w:val="16"/>
                <w:szCs w:val="16"/>
              </w:rPr>
            </w:pPr>
          </w:p>
        </w:tc>
        <w:tc>
          <w:tcPr>
            <w:tcW w:w="119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94CC7B" w14:textId="77777777" w:rsidR="005A1399" w:rsidRPr="009A501D" w:rsidRDefault="005A1399" w:rsidP="007F5C1B">
            <w:pPr>
              <w:spacing w:after="0" w:line="240" w:lineRule="auto"/>
              <w:rPr>
                <w:rFonts w:ascii="Century Gothic" w:hAnsi="Century Gothic" w:cs="Calibri"/>
                <w:b/>
                <w:color w:val="FFFFFF"/>
                <w:sz w:val="16"/>
                <w:szCs w:val="16"/>
              </w:rPr>
            </w:pPr>
          </w:p>
        </w:tc>
        <w:tc>
          <w:tcPr>
            <w:tcW w:w="65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7550F7" w14:textId="77777777" w:rsidR="005A1399" w:rsidRPr="009A501D" w:rsidRDefault="005A1399" w:rsidP="007F5C1B">
            <w:pPr>
              <w:spacing w:after="0" w:line="240" w:lineRule="auto"/>
              <w:rPr>
                <w:rFonts w:ascii="Century Gothic" w:hAnsi="Century Gothic" w:cs="Calibri"/>
                <w:b/>
                <w:color w:val="000000"/>
                <w:sz w:val="16"/>
                <w:szCs w:val="16"/>
              </w:rPr>
            </w:pPr>
          </w:p>
        </w:tc>
        <w:tc>
          <w:tcPr>
            <w:tcW w:w="6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AFFC1C" w14:textId="77777777" w:rsidR="005A1399" w:rsidRPr="009A501D" w:rsidRDefault="005A1399" w:rsidP="007F5C1B">
            <w:pPr>
              <w:spacing w:after="0" w:line="240" w:lineRule="auto"/>
              <w:rPr>
                <w:rFonts w:ascii="Century Gothic" w:hAnsi="Century Gothic" w:cs="Calibri"/>
                <w:b/>
                <w:color w:val="000000"/>
                <w:sz w:val="16"/>
                <w:szCs w:val="16"/>
              </w:rPr>
            </w:pPr>
          </w:p>
        </w:tc>
        <w:tc>
          <w:tcPr>
            <w:tcW w:w="105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67729F" w14:textId="77777777" w:rsidR="005A1399" w:rsidRPr="009A501D" w:rsidRDefault="005A1399" w:rsidP="007F5C1B">
            <w:pPr>
              <w:spacing w:after="0" w:line="240" w:lineRule="auto"/>
              <w:rPr>
                <w:rFonts w:ascii="Century Gothic" w:hAnsi="Century Gothic" w:cs="Calibri"/>
                <w:b/>
                <w:color w:val="FFFFFF"/>
                <w:sz w:val="16"/>
                <w:szCs w:val="16"/>
              </w:rPr>
            </w:pPr>
          </w:p>
        </w:tc>
        <w:tc>
          <w:tcPr>
            <w:tcW w:w="65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A51D4C" w14:textId="77777777" w:rsidR="005A1399" w:rsidRPr="009A501D" w:rsidRDefault="005A1399" w:rsidP="007F5C1B">
            <w:pPr>
              <w:spacing w:after="0" w:line="240" w:lineRule="auto"/>
              <w:rPr>
                <w:rFonts w:ascii="Century Gothic" w:hAnsi="Century Gothic" w:cs="Calibri"/>
                <w:b/>
                <w:color w:val="000000"/>
                <w:sz w:val="16"/>
                <w:szCs w:val="16"/>
              </w:rPr>
            </w:pPr>
          </w:p>
        </w:tc>
        <w:tc>
          <w:tcPr>
            <w:tcW w:w="67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61B6CA" w14:textId="77777777" w:rsidR="005A1399" w:rsidRPr="009A501D" w:rsidRDefault="005A1399" w:rsidP="007F5C1B">
            <w:pPr>
              <w:spacing w:after="0" w:line="240" w:lineRule="auto"/>
              <w:rPr>
                <w:rFonts w:ascii="Century Gothic" w:hAnsi="Century Gothic" w:cs="Calibri"/>
                <w:b/>
                <w:color w:val="000000"/>
                <w:sz w:val="16"/>
                <w:szCs w:val="16"/>
              </w:rPr>
            </w:pPr>
          </w:p>
        </w:tc>
        <w:tc>
          <w:tcPr>
            <w:tcW w:w="36" w:type="dxa"/>
            <w:tcBorders>
              <w:top w:val="nil"/>
              <w:left w:val="single" w:sz="4" w:space="0" w:color="BFBFBF" w:themeColor="background1" w:themeShade="BF"/>
              <w:bottom w:val="nil"/>
              <w:right w:val="nil"/>
            </w:tcBorders>
            <w:shd w:val="clear" w:color="auto" w:fill="auto"/>
            <w:noWrap/>
            <w:vAlign w:val="bottom"/>
            <w:hideMark/>
          </w:tcPr>
          <w:p w14:paraId="2FAE367B" w14:textId="77777777" w:rsidR="005A1399" w:rsidRPr="009A501D" w:rsidRDefault="005A1399" w:rsidP="007F5C1B">
            <w:pPr>
              <w:spacing w:after="0" w:line="240" w:lineRule="auto"/>
              <w:jc w:val="center"/>
              <w:rPr>
                <w:rFonts w:ascii="Century Gothic" w:hAnsi="Century Gothic" w:cs="Calibri"/>
                <w:b/>
                <w:color w:val="000000"/>
                <w:sz w:val="16"/>
                <w:szCs w:val="16"/>
              </w:rPr>
            </w:pPr>
          </w:p>
        </w:tc>
      </w:tr>
      <w:tr w:rsidR="005A1399" w:rsidRPr="009A501D" w14:paraId="302AD1E6" w14:textId="77777777" w:rsidTr="004C2495">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E9B7977"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D8FC377"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F4A822C"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EAC</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870B8F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7398D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8BB5F2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35%</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3E15F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3DE54F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36D66B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70A20B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A95189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4DC4C9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273157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40C7E6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E5A2A8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shd w:val="clear" w:color="auto" w:fill="F2F2F2" w:themeFill="background1" w:themeFillShade="F2"/>
            <w:vAlign w:val="center"/>
            <w:hideMark/>
          </w:tcPr>
          <w:p w14:paraId="541E7993" w14:textId="77777777" w:rsidR="005A1399" w:rsidRPr="009A501D" w:rsidRDefault="005A1399" w:rsidP="007F5C1B">
            <w:pPr>
              <w:spacing w:after="0" w:line="240" w:lineRule="auto"/>
              <w:rPr>
                <w:sz w:val="16"/>
                <w:szCs w:val="16"/>
              </w:rPr>
            </w:pPr>
          </w:p>
        </w:tc>
      </w:tr>
      <w:tr w:rsidR="005A1399" w:rsidRPr="009A501D" w14:paraId="7760901F" w14:textId="77777777" w:rsidTr="00317772">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C321B1"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F08BE5"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C33AF1F"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EAIM</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D23DC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236</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9915D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61%</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E8DB4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431601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40A47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BF1DC4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89C0CA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9DFE0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926C4C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57102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12B10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1E611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vAlign w:val="center"/>
            <w:hideMark/>
          </w:tcPr>
          <w:p w14:paraId="2A7F7963" w14:textId="77777777" w:rsidR="005A1399" w:rsidRPr="009A501D" w:rsidRDefault="005A1399" w:rsidP="007F5C1B">
            <w:pPr>
              <w:spacing w:after="0" w:line="240" w:lineRule="auto"/>
              <w:rPr>
                <w:sz w:val="16"/>
                <w:szCs w:val="16"/>
              </w:rPr>
            </w:pPr>
          </w:p>
        </w:tc>
      </w:tr>
      <w:tr w:rsidR="005A1399" w:rsidRPr="009A501D" w14:paraId="46998A0A" w14:textId="77777777" w:rsidTr="004C2495">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E85E833"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229DEF2"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5AAB67"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EASPNF</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06E5ED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48</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53864F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56%</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857CC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13%</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F10634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2BD649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67%</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C9183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BB2357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EBA076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67%</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B9ABF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07F90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E86B0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67%</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E5E2F2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shd w:val="clear" w:color="auto" w:fill="F2F2F2" w:themeFill="background1" w:themeFillShade="F2"/>
            <w:vAlign w:val="center"/>
            <w:hideMark/>
          </w:tcPr>
          <w:p w14:paraId="3E43B592" w14:textId="77777777" w:rsidR="005A1399" w:rsidRPr="009A501D" w:rsidRDefault="005A1399" w:rsidP="007F5C1B">
            <w:pPr>
              <w:spacing w:after="0" w:line="240" w:lineRule="auto"/>
              <w:rPr>
                <w:sz w:val="16"/>
                <w:szCs w:val="16"/>
              </w:rPr>
            </w:pPr>
          </w:p>
        </w:tc>
      </w:tr>
      <w:tr w:rsidR="005A1399" w:rsidRPr="009A501D" w14:paraId="436384F2" w14:textId="77777777" w:rsidTr="00317772">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B517FF9"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A71ADE"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5BEA552"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EAT</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D8F92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7DA45A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57%</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ADCE7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14%</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5D7503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02C969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99AAF9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E4F3AA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89E9B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5D8E60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FD89B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599E06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432AA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vAlign w:val="center"/>
            <w:hideMark/>
          </w:tcPr>
          <w:p w14:paraId="0AC85B4E" w14:textId="77777777" w:rsidR="005A1399" w:rsidRPr="009A501D" w:rsidRDefault="005A1399" w:rsidP="007F5C1B">
            <w:pPr>
              <w:spacing w:after="0" w:line="240" w:lineRule="auto"/>
              <w:rPr>
                <w:sz w:val="16"/>
                <w:szCs w:val="16"/>
              </w:rPr>
            </w:pPr>
          </w:p>
        </w:tc>
      </w:tr>
      <w:tr w:rsidR="005A1399" w:rsidRPr="009A501D" w14:paraId="4F82950A" w14:textId="77777777" w:rsidTr="004C2495">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BF007F0"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6D5BBB"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864CABB"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EMEC</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DC251C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2C93EE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30%</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7FE3F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583FD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A96B44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2902F4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072F5A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5463A3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2334AA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4C4F01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23B9E5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43720D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shd w:val="clear" w:color="auto" w:fill="F2F2F2" w:themeFill="background1" w:themeFillShade="F2"/>
            <w:vAlign w:val="center"/>
            <w:hideMark/>
          </w:tcPr>
          <w:p w14:paraId="71F49845" w14:textId="77777777" w:rsidR="005A1399" w:rsidRPr="009A501D" w:rsidRDefault="005A1399" w:rsidP="007F5C1B">
            <w:pPr>
              <w:spacing w:after="0" w:line="240" w:lineRule="auto"/>
              <w:rPr>
                <w:sz w:val="16"/>
                <w:szCs w:val="16"/>
              </w:rPr>
            </w:pPr>
          </w:p>
        </w:tc>
      </w:tr>
      <w:tr w:rsidR="005A1399" w:rsidRPr="009A501D" w14:paraId="711ABBCE" w14:textId="77777777" w:rsidTr="00317772">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9C71C7"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C5D4A2"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7B0F90"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EMIM</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10D07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236</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1963A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89%</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11E1E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D133C2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5F7355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C5A1E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3E19C6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138C6D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A31409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8868F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2302F2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78%</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8D364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vAlign w:val="center"/>
            <w:hideMark/>
          </w:tcPr>
          <w:p w14:paraId="5D67C5C3" w14:textId="77777777" w:rsidR="005A1399" w:rsidRPr="009A501D" w:rsidRDefault="005A1399" w:rsidP="007F5C1B">
            <w:pPr>
              <w:spacing w:after="0" w:line="240" w:lineRule="auto"/>
              <w:rPr>
                <w:sz w:val="16"/>
                <w:szCs w:val="16"/>
              </w:rPr>
            </w:pPr>
          </w:p>
        </w:tc>
      </w:tr>
      <w:tr w:rsidR="005A1399" w:rsidRPr="009A501D" w14:paraId="72F2E205" w14:textId="77777777" w:rsidTr="004C2495">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9A3B23E"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7F9B74A"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1F93F4B"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EMS</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1FDD69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60</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1D6CF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72%</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DEA15F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859CDE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83D8FC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73%</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C0C1C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D76B0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832B78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74%</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CB8704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AB8BF7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119</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C9535D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74%</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33FEA4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shd w:val="clear" w:color="auto" w:fill="F2F2F2" w:themeFill="background1" w:themeFillShade="F2"/>
            <w:vAlign w:val="center"/>
            <w:hideMark/>
          </w:tcPr>
          <w:p w14:paraId="160C5A5A" w14:textId="77777777" w:rsidR="005A1399" w:rsidRPr="009A501D" w:rsidRDefault="005A1399" w:rsidP="007F5C1B">
            <w:pPr>
              <w:spacing w:after="0" w:line="240" w:lineRule="auto"/>
              <w:rPr>
                <w:sz w:val="16"/>
                <w:szCs w:val="16"/>
              </w:rPr>
            </w:pPr>
          </w:p>
        </w:tc>
      </w:tr>
      <w:tr w:rsidR="005A1399" w:rsidRPr="009A501D" w14:paraId="35659E3A" w14:textId="77777777" w:rsidTr="00317772">
        <w:trPr>
          <w:trHeight w:val="284"/>
          <w:jc w:val="center"/>
        </w:trPr>
        <w:tc>
          <w:tcPr>
            <w:tcW w:w="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D5C3EA"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C9C9A4"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1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9496621" w14:textId="77777777" w:rsidR="005A1399" w:rsidRPr="009A501D" w:rsidRDefault="005A1399" w:rsidP="00423255">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ECADEFI-CHIH</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DFD9C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9B18BD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7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B4DAE6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29CC8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98996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420B5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9BACDC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E75CAE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F4BCF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0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301C4B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E485C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AED39A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tcBorders>
              <w:left w:val="single" w:sz="4" w:space="0" w:color="BFBFBF" w:themeColor="background1" w:themeShade="BF"/>
            </w:tcBorders>
            <w:vAlign w:val="center"/>
            <w:hideMark/>
          </w:tcPr>
          <w:p w14:paraId="09CA6A88" w14:textId="77777777" w:rsidR="005A1399" w:rsidRPr="009A501D" w:rsidRDefault="005A1399" w:rsidP="007F5C1B">
            <w:pPr>
              <w:spacing w:after="0" w:line="240" w:lineRule="auto"/>
              <w:rPr>
                <w:sz w:val="16"/>
                <w:szCs w:val="16"/>
              </w:rPr>
            </w:pPr>
          </w:p>
        </w:tc>
      </w:tr>
    </w:tbl>
    <w:p w14:paraId="1673E11A" w14:textId="49014C71" w:rsidR="005A1399" w:rsidRPr="009A501D" w:rsidRDefault="005A1399" w:rsidP="007F5C1B">
      <w:pPr>
        <w:spacing w:after="0"/>
        <w:ind w:left="284" w:right="508"/>
        <w:jc w:val="both"/>
        <w:rPr>
          <w:rFonts w:ascii="Century Gothic" w:eastAsia="Century Gothic" w:hAnsi="Century Gothic" w:cs="Century Gothic"/>
          <w:position w:val="4"/>
          <w:sz w:val="14"/>
          <w:szCs w:val="14"/>
        </w:rPr>
      </w:pPr>
      <w:r w:rsidRPr="009A501D">
        <w:rPr>
          <w:rFonts w:ascii="Century Gothic" w:eastAsia="Century Gothic" w:hAnsi="Century Gothic" w:cs="Century Gothic"/>
          <w:position w:val="4"/>
          <w:sz w:val="14"/>
          <w:szCs w:val="14"/>
          <w:vertAlign w:val="superscript"/>
        </w:rPr>
        <w:t>a/</w:t>
      </w:r>
      <w:r w:rsidRPr="009A501D">
        <w:rPr>
          <w:rFonts w:ascii="Century Gothic" w:eastAsia="Century Gothic" w:hAnsi="Century Gothic" w:cs="Century Gothic"/>
          <w:position w:val="4"/>
          <w:sz w:val="14"/>
          <w:szCs w:val="14"/>
        </w:rPr>
        <w:t xml:space="preserve"> Los umbrales para la cobertura de la variable de diseño aprobados por el Comité para encuestas en unidades económicas. Estos </w:t>
      </w:r>
      <w:r w:rsidR="00EC4113" w:rsidRPr="009A501D">
        <w:rPr>
          <w:rFonts w:ascii="Century Gothic" w:eastAsia="Century Gothic" w:hAnsi="Century Gothic" w:cs="Century Gothic"/>
          <w:position w:val="4"/>
          <w:sz w:val="14"/>
          <w:szCs w:val="14"/>
        </w:rPr>
        <w:t>proceso</w:t>
      </w:r>
      <w:r w:rsidRPr="009A501D">
        <w:rPr>
          <w:rFonts w:ascii="Century Gothic" w:eastAsia="Century Gothic" w:hAnsi="Century Gothic" w:cs="Century Gothic"/>
          <w:position w:val="4"/>
          <w:sz w:val="14"/>
          <w:szCs w:val="14"/>
        </w:rPr>
        <w:t xml:space="preserve">s tienen un diseño mixto, es decir, una parte probabilística y una no probabilística. Debido a cuestiones de espacio, se omitió el umbral de calidad Moderada [60-80), sin embargo, el porcentaje de casos que caen en dicho umbral por </w:t>
      </w:r>
      <w:r w:rsidR="00EC4113" w:rsidRPr="009A501D">
        <w:rPr>
          <w:rFonts w:ascii="Century Gothic" w:eastAsia="Century Gothic" w:hAnsi="Century Gothic" w:cs="Century Gothic"/>
          <w:position w:val="4"/>
          <w:sz w:val="14"/>
          <w:szCs w:val="14"/>
        </w:rPr>
        <w:t>proceso</w:t>
      </w:r>
      <w:r w:rsidRPr="009A501D">
        <w:rPr>
          <w:rFonts w:ascii="Century Gothic" w:eastAsia="Century Gothic" w:hAnsi="Century Gothic" w:cs="Century Gothic"/>
          <w:position w:val="4"/>
          <w:sz w:val="14"/>
          <w:szCs w:val="14"/>
        </w:rPr>
        <w:t xml:space="preserve"> se puede obtener como el complemento de la suma de los umbrales presentes.</w:t>
      </w:r>
    </w:p>
    <w:p w14:paraId="768F679A" w14:textId="6525997C" w:rsidR="005A1399" w:rsidRPr="009A501D" w:rsidRDefault="005A1399" w:rsidP="007F5C1B">
      <w:pPr>
        <w:spacing w:after="0"/>
        <w:ind w:left="284" w:right="508"/>
        <w:jc w:val="both"/>
        <w:rPr>
          <w:rFonts w:ascii="Century Gothic" w:hAnsi="Century Gothic"/>
          <w:sz w:val="14"/>
          <w:szCs w:val="14"/>
        </w:rPr>
      </w:pPr>
      <w:r w:rsidRPr="009A501D">
        <w:rPr>
          <w:rFonts w:ascii="Century Gothic" w:hAnsi="Century Gothic"/>
          <w:sz w:val="14"/>
          <w:szCs w:val="14"/>
        </w:rPr>
        <w:t xml:space="preserve">*Estos datos corresponden a la información publicada en 2022, y que reportaron indicadores en los metadatos hasta el 31 de enero de 2023. </w:t>
      </w:r>
    </w:p>
    <w:p w14:paraId="768671E2" w14:textId="2AB13CB5" w:rsidR="005A1399" w:rsidRPr="009A501D" w:rsidRDefault="005A1399" w:rsidP="007F5C1B">
      <w:pPr>
        <w:spacing w:after="0"/>
        <w:ind w:left="284" w:right="508"/>
        <w:jc w:val="both"/>
        <w:rPr>
          <w:rFonts w:ascii="Century Gothic" w:hAnsi="Century Gothic"/>
          <w:sz w:val="14"/>
          <w:szCs w:val="14"/>
        </w:rPr>
      </w:pPr>
      <w:r w:rsidRPr="009A501D">
        <w:rPr>
          <w:rFonts w:ascii="Century Gothic" w:hAnsi="Century Gothic"/>
          <w:sz w:val="14"/>
          <w:szCs w:val="14"/>
        </w:rPr>
        <w:t>**El número de casos corresponde a la multiplicación de los indicadores-objetivo por los dominios de estudio por el número de publicaciones durante el año.  Dado que en 2018 comenzó la publicación de los indicadores de precisión estadística, no se publicaron para los 12 meses; en 2019 se publicaron más de 12 meses ya que se reportaron los faltantes en 2018; en 2020 se publicaron 12 meses con algunas excepciones por la contingencia sanitaria, en 2021 se publicaron 12 meses y en 2022 se publicaron conforme a lo mencionado en el cuadro A.6.2.</w:t>
      </w:r>
    </w:p>
    <w:p w14:paraId="0DFDF8E2" w14:textId="00F595BC"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El </w:t>
      </w:r>
      <w:r w:rsidRPr="009A501D">
        <w:rPr>
          <w:rFonts w:ascii="Century Gothic" w:hAnsi="Century Gothic" w:cstheme="minorHAnsi"/>
          <w:i/>
          <w:iCs/>
          <w:sz w:val="19"/>
          <w:szCs w:val="19"/>
        </w:rPr>
        <w:t>coeficiente de variación</w:t>
      </w:r>
      <w:r w:rsidRPr="009A501D">
        <w:rPr>
          <w:rFonts w:ascii="Century Gothic" w:hAnsi="Century Gothic" w:cstheme="minorHAnsi"/>
          <w:sz w:val="19"/>
          <w:szCs w:val="19"/>
        </w:rPr>
        <w:t xml:space="preserve"> es una medida de la calidad de las estimaciones en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s con muestreo probabilístico que indica el porcentaje que representa el </w:t>
      </w:r>
      <w:r w:rsidRPr="009A501D">
        <w:rPr>
          <w:rFonts w:ascii="Century Gothic" w:hAnsi="Century Gothic" w:cstheme="minorHAnsi"/>
          <w:i/>
          <w:iCs/>
          <w:sz w:val="19"/>
          <w:szCs w:val="19"/>
        </w:rPr>
        <w:t>error estándar</w:t>
      </w:r>
      <w:r w:rsidRPr="009A501D">
        <w:rPr>
          <w:rFonts w:ascii="Century Gothic" w:hAnsi="Century Gothic" w:cstheme="minorHAnsi"/>
          <w:sz w:val="19"/>
          <w:szCs w:val="19"/>
        </w:rPr>
        <w:t xml:space="preserve"> respecto a la estimación del parámetro. El </w:t>
      </w:r>
      <w:r w:rsidRPr="009A501D">
        <w:rPr>
          <w:rFonts w:ascii="Century Gothic" w:hAnsi="Century Gothic" w:cstheme="minorHAnsi"/>
          <w:i/>
          <w:iCs/>
          <w:sz w:val="19"/>
          <w:szCs w:val="19"/>
        </w:rPr>
        <w:t>coeficiente de variación</w:t>
      </w:r>
      <w:r w:rsidRPr="009A501D">
        <w:rPr>
          <w:rFonts w:ascii="Century Gothic" w:hAnsi="Century Gothic" w:cstheme="minorHAnsi"/>
          <w:sz w:val="19"/>
          <w:szCs w:val="19"/>
        </w:rPr>
        <w:t xml:space="preserve"> es considerado el principal indicador de precisión estadística dado que, entre más cercano a cero es su valor, la estimación se aproxima a la realidad del fenómeno que se desea representar o medir. En los cuadros A.</w:t>
      </w:r>
      <w:r w:rsidR="00AE6C80" w:rsidRPr="009A501D">
        <w:rPr>
          <w:rFonts w:ascii="Century Gothic" w:hAnsi="Century Gothic" w:cstheme="minorHAnsi"/>
          <w:sz w:val="19"/>
          <w:szCs w:val="19"/>
        </w:rPr>
        <w:t>5</w:t>
      </w:r>
      <w:r w:rsidRPr="009A501D">
        <w:rPr>
          <w:rFonts w:ascii="Century Gothic" w:hAnsi="Century Gothic" w:cstheme="minorHAnsi"/>
          <w:sz w:val="19"/>
          <w:szCs w:val="19"/>
        </w:rPr>
        <w:t>.5 y A.</w:t>
      </w:r>
      <w:r w:rsidR="00AE6C80" w:rsidRPr="009A501D">
        <w:rPr>
          <w:rFonts w:ascii="Century Gothic" w:hAnsi="Century Gothic" w:cstheme="minorHAnsi"/>
          <w:sz w:val="19"/>
          <w:szCs w:val="19"/>
        </w:rPr>
        <w:t>5</w:t>
      </w:r>
      <w:r w:rsidRPr="009A501D">
        <w:rPr>
          <w:rFonts w:ascii="Century Gothic" w:hAnsi="Century Gothic" w:cstheme="minorHAnsi"/>
          <w:sz w:val="19"/>
          <w:szCs w:val="19"/>
        </w:rPr>
        <w:t xml:space="preserve">.6 se presenta el porcentaje de coeficientes de variación reportados que se encuentran en cada uno de los rangos de interpretación de la precisión: alta [0%–20%), moderada [20%–30%) y baja (≥30%) en unidades económicas y alta [0%–15%), moderada [15%–30%) y baja (≥30%) en hogares y otras unidades. El número de casos corresponde al número de indicadores-objetivo en cada dominio de estudio conforme a la periodicidad del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 </w:t>
      </w:r>
    </w:p>
    <w:p w14:paraId="626115C5" w14:textId="418D031A" w:rsidR="007F5C1B" w:rsidRPr="009A501D" w:rsidRDefault="007F5C1B">
      <w:pPr>
        <w:rPr>
          <w:rFonts w:ascii="Century Gothic" w:hAnsi="Century Gothic" w:cstheme="minorHAnsi"/>
          <w:sz w:val="19"/>
          <w:szCs w:val="19"/>
        </w:rPr>
      </w:pPr>
      <w:r w:rsidRPr="009A501D">
        <w:rPr>
          <w:rFonts w:ascii="Century Gothic" w:hAnsi="Century Gothic" w:cstheme="minorHAnsi"/>
          <w:sz w:val="19"/>
          <w:szCs w:val="19"/>
        </w:rPr>
        <w:br w:type="page"/>
      </w:r>
    </w:p>
    <w:p w14:paraId="70ED4FAF" w14:textId="12C2FDC2" w:rsidR="005A1399" w:rsidRPr="009A501D" w:rsidRDefault="005A1399"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lastRenderedPageBreak/>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.5. Frecuencias del coeficiente de variación en encuestas en unidades económicas</w:t>
      </w:r>
      <w:r w:rsidRPr="009A501D">
        <w:rPr>
          <w:rFonts w:ascii="Century Gothic" w:hAnsi="Century Gothic" w:cstheme="majorHAnsi"/>
          <w:b/>
          <w:sz w:val="19"/>
          <w:szCs w:val="19"/>
        </w:rPr>
        <w:br/>
        <w:t xml:space="preserve"> de acuerdo con los umbrales aprobados en el Comité por </w:t>
      </w:r>
      <w:r w:rsidR="00EC4113" w:rsidRPr="009A501D">
        <w:rPr>
          <w:rFonts w:ascii="Century Gothic" w:hAnsi="Century Gothic" w:cstheme="majorHAnsi"/>
          <w:b/>
          <w:sz w:val="19"/>
          <w:szCs w:val="19"/>
        </w:rPr>
        <w:t>proceso</w:t>
      </w:r>
    </w:p>
    <w:tbl>
      <w:tblPr>
        <w:tblW w:w="13940" w:type="dxa"/>
        <w:jc w:val="center"/>
        <w:tblCellMar>
          <w:left w:w="70" w:type="dxa"/>
          <w:right w:w="70" w:type="dxa"/>
        </w:tblCellMar>
        <w:tblLook w:val="04A0" w:firstRow="1" w:lastRow="0" w:firstColumn="1" w:lastColumn="0" w:noHBand="0" w:noVBand="1"/>
      </w:tblPr>
      <w:tblGrid>
        <w:gridCol w:w="938"/>
        <w:gridCol w:w="1477"/>
        <w:gridCol w:w="1277"/>
        <w:gridCol w:w="998"/>
        <w:gridCol w:w="817"/>
        <w:gridCol w:w="718"/>
        <w:gridCol w:w="1000"/>
        <w:gridCol w:w="875"/>
        <w:gridCol w:w="718"/>
        <w:gridCol w:w="931"/>
        <w:gridCol w:w="865"/>
        <w:gridCol w:w="687"/>
        <w:gridCol w:w="998"/>
        <w:gridCol w:w="797"/>
        <w:gridCol w:w="698"/>
        <w:gridCol w:w="146"/>
      </w:tblGrid>
      <w:tr w:rsidR="005A1399" w:rsidRPr="009A501D" w14:paraId="532BEBB2" w14:textId="77777777" w:rsidTr="009D7886">
        <w:trPr>
          <w:gridAfter w:val="1"/>
          <w:wAfter w:w="146" w:type="dxa"/>
          <w:trHeight w:val="284"/>
          <w:tblHeader/>
          <w:jc w:val="center"/>
        </w:trPr>
        <w:tc>
          <w:tcPr>
            <w:tcW w:w="93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B16D4CC" w14:textId="77777777"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UA</w:t>
            </w:r>
          </w:p>
        </w:tc>
        <w:tc>
          <w:tcPr>
            <w:tcW w:w="147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5EE896D" w14:textId="77777777"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Periodicidad</w:t>
            </w:r>
          </w:p>
        </w:tc>
        <w:tc>
          <w:tcPr>
            <w:tcW w:w="127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7B1AE2FA" w14:textId="6143D680" w:rsidR="005A1399" w:rsidRPr="009A501D" w:rsidRDefault="00EC4113"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Proceso</w:t>
            </w:r>
          </w:p>
        </w:tc>
        <w:tc>
          <w:tcPr>
            <w:tcW w:w="253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51827C7E" w14:textId="78363B1D"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2018 - Línea base.</w:t>
            </w:r>
          </w:p>
        </w:tc>
        <w:tc>
          <w:tcPr>
            <w:tcW w:w="259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15EEC85D" w14:textId="7458F306"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2019</w:t>
            </w:r>
          </w:p>
        </w:tc>
        <w:tc>
          <w:tcPr>
            <w:tcW w:w="24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0489626B" w14:textId="528F6EA7"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2021</w:t>
            </w:r>
          </w:p>
        </w:tc>
        <w:tc>
          <w:tcPr>
            <w:tcW w:w="249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2591530D" w14:textId="77777777"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Indicadores publicados en 2022*</w:t>
            </w:r>
          </w:p>
        </w:tc>
      </w:tr>
      <w:tr w:rsidR="005A1399" w:rsidRPr="009A501D" w14:paraId="19FB252D" w14:textId="77777777" w:rsidTr="009D7886">
        <w:trPr>
          <w:gridAfter w:val="1"/>
          <w:wAfter w:w="146" w:type="dxa"/>
          <w:trHeight w:val="450"/>
          <w:tblHeader/>
          <w:jc w:val="center"/>
        </w:trPr>
        <w:tc>
          <w:tcPr>
            <w:tcW w:w="93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FDDA90"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147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B6AA6A"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127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B4981F"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9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83CC184" w14:textId="603DF23D"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423255"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1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D8C04B"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[0-20)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7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4F55C0D5"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 xml:space="preserve">≥30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10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27D37F13" w14:textId="767B735E"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423255"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7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77BED19E"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[0-20)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7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6E7C92CE"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 xml:space="preserve">Baja </w:t>
            </w:r>
            <w:r w:rsidRPr="009A501D">
              <w:rPr>
                <w:rFonts w:ascii="Century Gothic" w:hAnsi="Century Gothic" w:cs="Calibri"/>
                <w:b/>
                <w:bCs/>
                <w:color w:val="000000"/>
                <w:sz w:val="16"/>
                <w:szCs w:val="16"/>
              </w:rPr>
              <w:br/>
              <w:t xml:space="preserve">≥30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93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3C18E524" w14:textId="3E9860E6"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9D788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6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221B7D1B"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[0-20)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8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139B4549"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 xml:space="preserve">≥30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9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vAlign w:val="center"/>
            <w:hideMark/>
          </w:tcPr>
          <w:p w14:paraId="46BDB824" w14:textId="580B5DF6" w:rsidR="005A1399" w:rsidRPr="009A501D" w:rsidRDefault="005A1399" w:rsidP="007F5C1B">
            <w:pPr>
              <w:spacing w:after="0" w:line="240" w:lineRule="auto"/>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9D788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79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774E26E0"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[0-20)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9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5400"/>
            <w:vAlign w:val="center"/>
            <w:hideMark/>
          </w:tcPr>
          <w:p w14:paraId="0C364B80" w14:textId="77777777" w:rsidR="005A1399" w:rsidRPr="009A501D" w:rsidRDefault="005A1399" w:rsidP="007F5C1B">
            <w:pPr>
              <w:spacing w:after="0" w:line="240" w:lineRule="auto"/>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 xml:space="preserve">≥30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r>
      <w:tr w:rsidR="005A1399" w:rsidRPr="009A501D" w14:paraId="06FCEDBD" w14:textId="77777777" w:rsidTr="009D7886">
        <w:trPr>
          <w:trHeight w:val="284"/>
          <w:tblHeader/>
          <w:jc w:val="center"/>
        </w:trPr>
        <w:tc>
          <w:tcPr>
            <w:tcW w:w="93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CDE140"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147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472D0A"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127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97BBD7"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9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0DED76"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8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5BB737"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7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906950"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100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24DB9B"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87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09B654"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7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A49972"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93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9F7797"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86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BBB923"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68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EBA7964"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9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CFA69B" w14:textId="77777777" w:rsidR="005A1399" w:rsidRPr="009A501D" w:rsidRDefault="005A1399" w:rsidP="007F5C1B">
            <w:pPr>
              <w:spacing w:after="0" w:line="240" w:lineRule="auto"/>
              <w:rPr>
                <w:rFonts w:ascii="Century Gothic" w:hAnsi="Century Gothic" w:cs="Calibri"/>
                <w:b/>
                <w:bCs/>
                <w:color w:val="FFFFFF"/>
                <w:sz w:val="16"/>
                <w:szCs w:val="16"/>
              </w:rPr>
            </w:pPr>
          </w:p>
        </w:tc>
        <w:tc>
          <w:tcPr>
            <w:tcW w:w="79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374168"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69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D4F5FE" w14:textId="77777777" w:rsidR="005A1399" w:rsidRPr="009A501D" w:rsidRDefault="005A1399" w:rsidP="007F5C1B">
            <w:pPr>
              <w:spacing w:after="0" w:line="240" w:lineRule="auto"/>
              <w:rPr>
                <w:rFonts w:ascii="Century Gothic" w:hAnsi="Century Gothic" w:cs="Calibri"/>
                <w:b/>
                <w:bCs/>
                <w:color w:val="000000"/>
                <w:sz w:val="16"/>
                <w:szCs w:val="16"/>
              </w:rPr>
            </w:pPr>
          </w:p>
        </w:tc>
        <w:tc>
          <w:tcPr>
            <w:tcW w:w="146" w:type="dxa"/>
            <w:tcBorders>
              <w:top w:val="nil"/>
              <w:left w:val="single" w:sz="4" w:space="0" w:color="BFBFBF" w:themeColor="background1" w:themeShade="BF"/>
              <w:bottom w:val="nil"/>
              <w:right w:val="nil"/>
            </w:tcBorders>
            <w:shd w:val="clear" w:color="auto" w:fill="auto"/>
            <w:noWrap/>
            <w:vAlign w:val="bottom"/>
            <w:hideMark/>
          </w:tcPr>
          <w:p w14:paraId="09EDE87E" w14:textId="77777777" w:rsidR="005A1399" w:rsidRPr="009A501D" w:rsidRDefault="005A1399" w:rsidP="007F5C1B">
            <w:pPr>
              <w:spacing w:after="0" w:line="240" w:lineRule="auto"/>
              <w:jc w:val="center"/>
              <w:rPr>
                <w:rFonts w:ascii="Century Gothic" w:hAnsi="Century Gothic" w:cs="Calibri"/>
                <w:b/>
                <w:bCs/>
                <w:color w:val="000000"/>
                <w:sz w:val="16"/>
                <w:szCs w:val="16"/>
              </w:rPr>
            </w:pPr>
          </w:p>
        </w:tc>
      </w:tr>
      <w:tr w:rsidR="005A1399" w:rsidRPr="009A501D" w14:paraId="1DCCCEC6"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391579"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8F9841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4C7A76"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EAC</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C02C52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40</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15148A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65DC57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66DAEB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44</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8D5653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98158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E7E477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D876F6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86%</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FC9827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09F8E2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44</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41CAC7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84%</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B10D2E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11%</w:t>
            </w:r>
          </w:p>
        </w:tc>
        <w:tc>
          <w:tcPr>
            <w:tcW w:w="146" w:type="dxa"/>
            <w:tcBorders>
              <w:left w:val="single" w:sz="4" w:space="0" w:color="BFBFBF" w:themeColor="background1" w:themeShade="BF"/>
            </w:tcBorders>
            <w:shd w:val="clear" w:color="auto" w:fill="F2F2F2" w:themeFill="background1" w:themeFillShade="F2"/>
            <w:vAlign w:val="center"/>
            <w:hideMark/>
          </w:tcPr>
          <w:p w14:paraId="4F76DB6D" w14:textId="77777777" w:rsidR="005A1399" w:rsidRPr="009A501D" w:rsidRDefault="005A1399" w:rsidP="007F5C1B">
            <w:pPr>
              <w:spacing w:after="0" w:line="240" w:lineRule="auto"/>
              <w:rPr>
                <w:sz w:val="20"/>
                <w:szCs w:val="20"/>
              </w:rPr>
            </w:pPr>
          </w:p>
        </w:tc>
      </w:tr>
      <w:tr w:rsidR="005A1399" w:rsidRPr="009A501D" w14:paraId="3EDC36C2"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525442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B4EEFB"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40BFF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EAEC</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123E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6F77C4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F6842D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D9AB7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293E14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E35391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DC872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93A459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B8CFBA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A9E7C2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0C9E4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2115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vAlign w:val="center"/>
            <w:hideMark/>
          </w:tcPr>
          <w:p w14:paraId="582FDA72" w14:textId="77777777" w:rsidR="005A1399" w:rsidRPr="009A501D" w:rsidRDefault="005A1399" w:rsidP="007F5C1B">
            <w:pPr>
              <w:spacing w:after="0" w:line="240" w:lineRule="auto"/>
              <w:rPr>
                <w:sz w:val="20"/>
                <w:szCs w:val="20"/>
              </w:rPr>
            </w:pPr>
          </w:p>
        </w:tc>
      </w:tr>
      <w:tr w:rsidR="005A1399" w:rsidRPr="009A501D" w14:paraId="171B3F9F"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12D872C"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AA75C87"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1959411"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EAIM</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25E0EA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D657C5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95F83E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054D3A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149264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E4E65D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0A66A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B4A2EA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ED569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720FF4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7EF42C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E0C3C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shd w:val="clear" w:color="auto" w:fill="F2F2F2" w:themeFill="background1" w:themeFillShade="F2"/>
            <w:vAlign w:val="center"/>
            <w:hideMark/>
          </w:tcPr>
          <w:p w14:paraId="39C35EDE" w14:textId="77777777" w:rsidR="005A1399" w:rsidRPr="009A501D" w:rsidRDefault="005A1399" w:rsidP="007F5C1B">
            <w:pPr>
              <w:spacing w:after="0" w:line="240" w:lineRule="auto"/>
              <w:rPr>
                <w:sz w:val="20"/>
                <w:szCs w:val="20"/>
              </w:rPr>
            </w:pPr>
          </w:p>
        </w:tc>
      </w:tr>
      <w:tr w:rsidR="005A1399" w:rsidRPr="009A501D" w14:paraId="29B0EE7B"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B64697E"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2FB921"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DDDCD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EASPNF</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6ED4C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76</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FE52BC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96%</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CE7E6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D476A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80</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AD8F62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06912D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036FB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80</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0E14AC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85%</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FF37F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313FAD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80</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8B012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85%</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B89A2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w:t>
            </w:r>
          </w:p>
        </w:tc>
        <w:tc>
          <w:tcPr>
            <w:tcW w:w="146" w:type="dxa"/>
            <w:tcBorders>
              <w:left w:val="single" w:sz="4" w:space="0" w:color="BFBFBF" w:themeColor="background1" w:themeShade="BF"/>
            </w:tcBorders>
            <w:vAlign w:val="center"/>
            <w:hideMark/>
          </w:tcPr>
          <w:p w14:paraId="67FE813D" w14:textId="77777777" w:rsidR="005A1399" w:rsidRPr="009A501D" w:rsidRDefault="005A1399" w:rsidP="007F5C1B">
            <w:pPr>
              <w:spacing w:after="0" w:line="240" w:lineRule="auto"/>
              <w:rPr>
                <w:sz w:val="20"/>
                <w:szCs w:val="20"/>
              </w:rPr>
            </w:pPr>
          </w:p>
        </w:tc>
      </w:tr>
      <w:tr w:rsidR="005A1399" w:rsidRPr="009A501D" w14:paraId="7FA24F15"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3B9BF0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7E30B7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C3AF75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EAT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D2ED5A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8C6A7A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81B938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4F8842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CF2B6A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6558FB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B76322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06F96A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3F3684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BF3221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96F80B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5AA5E9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shd w:val="clear" w:color="auto" w:fill="F2F2F2" w:themeFill="background1" w:themeFillShade="F2"/>
            <w:vAlign w:val="center"/>
            <w:hideMark/>
          </w:tcPr>
          <w:p w14:paraId="73FB02AB" w14:textId="77777777" w:rsidR="005A1399" w:rsidRPr="009A501D" w:rsidRDefault="005A1399" w:rsidP="007F5C1B">
            <w:pPr>
              <w:spacing w:after="0" w:line="240" w:lineRule="auto"/>
              <w:rPr>
                <w:sz w:val="20"/>
                <w:szCs w:val="20"/>
              </w:rPr>
            </w:pPr>
          </w:p>
        </w:tc>
      </w:tr>
      <w:tr w:rsidR="005A1399" w:rsidRPr="009A501D" w14:paraId="49317E7C"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C0C74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AA936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Anual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E5229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ECIS</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6BFA33" w14:textId="77777777" w:rsidR="005A1399" w:rsidRPr="009A501D" w:rsidRDefault="005A1399" w:rsidP="007F5C1B">
            <w:pPr>
              <w:spacing w:after="0" w:line="240" w:lineRule="auto"/>
              <w:rPr>
                <w:rFonts w:ascii="Century Gothic" w:hAnsi="Century Gothic" w:cs="Calibri"/>
                <w:sz w:val="16"/>
                <w:szCs w:val="16"/>
              </w:rPr>
            </w:pP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66A7B73" w14:textId="77777777" w:rsidR="005A1399" w:rsidRPr="009A501D" w:rsidRDefault="005A1399" w:rsidP="007F5C1B">
            <w:pPr>
              <w:spacing w:after="0" w:line="240" w:lineRule="auto"/>
              <w:jc w:val="center"/>
              <w:rPr>
                <w:sz w:val="20"/>
                <w:szCs w:val="20"/>
              </w:rPr>
            </w:pP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0ED8F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AA78FE5" w14:textId="77777777" w:rsidR="005A1399" w:rsidRPr="009A501D" w:rsidRDefault="005A1399" w:rsidP="007F5C1B">
            <w:pPr>
              <w:spacing w:after="0" w:line="240" w:lineRule="auto"/>
              <w:jc w:val="center"/>
              <w:rPr>
                <w:rFonts w:ascii="Century Gothic" w:hAnsi="Century Gothic" w:cs="Calibri"/>
                <w:sz w:val="16"/>
                <w:szCs w:val="16"/>
              </w:rPr>
            </w:pP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9481530" w14:textId="77777777" w:rsidR="005A1399" w:rsidRPr="009A501D" w:rsidRDefault="005A1399" w:rsidP="007F5C1B">
            <w:pPr>
              <w:spacing w:after="0" w:line="240" w:lineRule="auto"/>
              <w:jc w:val="center"/>
              <w:rPr>
                <w:sz w:val="20"/>
                <w:szCs w:val="20"/>
              </w:rPr>
            </w:pP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61B9D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9233A0F" w14:textId="77777777" w:rsidR="005A1399" w:rsidRPr="009A501D" w:rsidRDefault="005A1399" w:rsidP="007F5C1B">
            <w:pPr>
              <w:spacing w:after="0" w:line="240" w:lineRule="auto"/>
              <w:jc w:val="center"/>
              <w:rPr>
                <w:rFonts w:ascii="Century Gothic" w:hAnsi="Century Gothic" w:cs="Calibri"/>
                <w:sz w:val="16"/>
                <w:szCs w:val="16"/>
              </w:rPr>
            </w:pP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7719D5" w14:textId="77777777" w:rsidR="005A1399" w:rsidRPr="009A501D" w:rsidRDefault="005A1399" w:rsidP="007F5C1B">
            <w:pPr>
              <w:spacing w:after="0" w:line="240" w:lineRule="auto"/>
              <w:jc w:val="center"/>
              <w:rPr>
                <w:sz w:val="20"/>
                <w:szCs w:val="20"/>
              </w:rPr>
            </w:pP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F26C5B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D7ACB7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2836</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ADBE4C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0E5672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13%</w:t>
            </w:r>
          </w:p>
        </w:tc>
        <w:tc>
          <w:tcPr>
            <w:tcW w:w="146" w:type="dxa"/>
            <w:tcBorders>
              <w:left w:val="single" w:sz="4" w:space="0" w:color="BFBFBF" w:themeColor="background1" w:themeShade="BF"/>
            </w:tcBorders>
            <w:vAlign w:val="center"/>
            <w:hideMark/>
          </w:tcPr>
          <w:p w14:paraId="3BB27B50" w14:textId="77777777" w:rsidR="005A1399" w:rsidRPr="009A501D" w:rsidRDefault="005A1399" w:rsidP="007F5C1B">
            <w:pPr>
              <w:spacing w:after="0" w:line="240" w:lineRule="auto"/>
              <w:rPr>
                <w:sz w:val="20"/>
                <w:szCs w:val="20"/>
              </w:rPr>
            </w:pPr>
          </w:p>
        </w:tc>
      </w:tr>
      <w:tr w:rsidR="005A1399" w:rsidRPr="009A501D" w14:paraId="347A1C1A"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ACE2D66"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B0471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Única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FA34D09" w14:textId="277D70B4"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ECOVID-IE</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6CF47C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900B02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A717C8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EC292F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98D04B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1FACB6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D5A0FF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323B05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B305D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97D39C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41E41A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7C9DD5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shd w:val="clear" w:color="auto" w:fill="F2F2F2" w:themeFill="background1" w:themeFillShade="F2"/>
            <w:vAlign w:val="center"/>
            <w:hideMark/>
          </w:tcPr>
          <w:p w14:paraId="463D307E" w14:textId="77777777" w:rsidR="005A1399" w:rsidRPr="009A501D" w:rsidRDefault="005A1399" w:rsidP="007F5C1B">
            <w:pPr>
              <w:spacing w:after="0" w:line="240" w:lineRule="auto"/>
              <w:rPr>
                <w:sz w:val="20"/>
                <w:szCs w:val="20"/>
              </w:rPr>
            </w:pPr>
          </w:p>
        </w:tc>
      </w:tr>
      <w:tr w:rsidR="005A1399" w:rsidRPr="009A501D" w14:paraId="1693FCF1"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94F27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C2714C7"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Única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54E3B1"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ENAF</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DAFEF7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18387B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FA7A9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D3E613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3DA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6F81E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D83D0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DAA573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AE1984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B9AA7F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72A8AF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622169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vAlign w:val="center"/>
            <w:hideMark/>
          </w:tcPr>
          <w:p w14:paraId="34C8CE02" w14:textId="77777777" w:rsidR="005A1399" w:rsidRPr="009A501D" w:rsidRDefault="005A1399" w:rsidP="007F5C1B">
            <w:pPr>
              <w:spacing w:after="0" w:line="240" w:lineRule="auto"/>
              <w:rPr>
                <w:sz w:val="20"/>
                <w:szCs w:val="20"/>
              </w:rPr>
            </w:pPr>
          </w:p>
        </w:tc>
      </w:tr>
      <w:tr w:rsidR="005A1399" w:rsidRPr="009A501D" w14:paraId="20430C37"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65B77B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E0BF92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Única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C63037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ENAFIN</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D880CEC" w14:textId="77777777" w:rsidR="005A1399" w:rsidRPr="009A501D" w:rsidRDefault="005A1399" w:rsidP="007F5C1B">
            <w:pPr>
              <w:spacing w:after="0" w:line="240" w:lineRule="auto"/>
              <w:rPr>
                <w:rFonts w:ascii="Century Gothic" w:hAnsi="Century Gothic" w:cs="Calibri"/>
                <w:sz w:val="16"/>
                <w:szCs w:val="16"/>
              </w:rPr>
            </w:pP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76491C6" w14:textId="77777777" w:rsidR="005A1399" w:rsidRPr="009A501D" w:rsidRDefault="005A1399" w:rsidP="007F5C1B">
            <w:pPr>
              <w:spacing w:after="0" w:line="240" w:lineRule="auto"/>
              <w:jc w:val="center"/>
              <w:rPr>
                <w:sz w:val="20"/>
                <w:szCs w:val="20"/>
              </w:rPr>
            </w:pP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839432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D304E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22</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570709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59CBDD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2C42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1F9DDE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9C26F6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337F09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22</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415E9E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BC533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shd w:val="clear" w:color="auto" w:fill="F2F2F2" w:themeFill="background1" w:themeFillShade="F2"/>
            <w:vAlign w:val="center"/>
            <w:hideMark/>
          </w:tcPr>
          <w:p w14:paraId="4ED0185A" w14:textId="77777777" w:rsidR="005A1399" w:rsidRPr="009A501D" w:rsidRDefault="005A1399" w:rsidP="007F5C1B">
            <w:pPr>
              <w:spacing w:after="0" w:line="240" w:lineRule="auto"/>
              <w:rPr>
                <w:sz w:val="20"/>
                <w:szCs w:val="20"/>
              </w:rPr>
            </w:pPr>
          </w:p>
        </w:tc>
      </w:tr>
      <w:tr w:rsidR="005A1399" w:rsidRPr="009A501D" w14:paraId="1A48FB50"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38537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6E648D4"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Única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B84D5FD"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ENAPROCE</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212371C" w14:textId="77777777" w:rsidR="005A1399" w:rsidRPr="009A501D" w:rsidRDefault="005A1399" w:rsidP="007F5C1B">
            <w:pPr>
              <w:spacing w:after="0" w:line="240" w:lineRule="auto"/>
              <w:rPr>
                <w:rFonts w:ascii="Century Gothic" w:hAnsi="Century Gothic" w:cs="Calibri"/>
                <w:sz w:val="16"/>
                <w:szCs w:val="16"/>
              </w:rPr>
            </w:pP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D8EBBC" w14:textId="77777777" w:rsidR="005A1399" w:rsidRPr="009A501D" w:rsidRDefault="005A1399" w:rsidP="007F5C1B">
            <w:pPr>
              <w:spacing w:after="0" w:line="240" w:lineRule="auto"/>
              <w:jc w:val="center"/>
              <w:rPr>
                <w:sz w:val="20"/>
                <w:szCs w:val="20"/>
              </w:rPr>
            </w:pP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D87ED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86B50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DDBACD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F8302D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01084E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4C7CF4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067176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F9B0F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07F3A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1B901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vAlign w:val="center"/>
            <w:hideMark/>
          </w:tcPr>
          <w:p w14:paraId="2F74435C" w14:textId="77777777" w:rsidR="005A1399" w:rsidRPr="009A501D" w:rsidRDefault="005A1399" w:rsidP="007F5C1B">
            <w:pPr>
              <w:spacing w:after="0" w:line="240" w:lineRule="auto"/>
              <w:rPr>
                <w:sz w:val="20"/>
                <w:szCs w:val="20"/>
              </w:rPr>
            </w:pPr>
          </w:p>
        </w:tc>
      </w:tr>
      <w:tr w:rsidR="005A1399" w:rsidRPr="009A501D" w14:paraId="790326FA"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CDDEC33"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8BB4CF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Única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483D9D2"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ESIDET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1483B70" w14:textId="77777777" w:rsidR="005A1399" w:rsidRPr="009A501D" w:rsidRDefault="005A1399" w:rsidP="007F5C1B">
            <w:pPr>
              <w:spacing w:after="0" w:line="240" w:lineRule="auto"/>
              <w:rPr>
                <w:rFonts w:ascii="Century Gothic" w:hAnsi="Century Gothic" w:cs="Calibri"/>
                <w:sz w:val="16"/>
                <w:szCs w:val="16"/>
              </w:rPr>
            </w:pP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B1CEBC3" w14:textId="77777777" w:rsidR="005A1399" w:rsidRPr="009A501D" w:rsidRDefault="005A1399" w:rsidP="007F5C1B">
            <w:pPr>
              <w:spacing w:after="0" w:line="240" w:lineRule="auto"/>
              <w:jc w:val="center"/>
              <w:rPr>
                <w:sz w:val="20"/>
                <w:szCs w:val="20"/>
              </w:rPr>
            </w:pP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F8D7AE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 </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1B08D7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11</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D2EF14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CEA363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02E892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450D80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7CD1E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B8E1FE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66BB51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D0F261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shd w:val="clear" w:color="auto" w:fill="F2F2F2" w:themeFill="background1" w:themeFillShade="F2"/>
            <w:vAlign w:val="center"/>
            <w:hideMark/>
          </w:tcPr>
          <w:p w14:paraId="49345DE6" w14:textId="77777777" w:rsidR="005A1399" w:rsidRPr="009A501D" w:rsidRDefault="005A1399" w:rsidP="007F5C1B">
            <w:pPr>
              <w:spacing w:after="0" w:line="240" w:lineRule="auto"/>
              <w:rPr>
                <w:sz w:val="20"/>
                <w:szCs w:val="20"/>
              </w:rPr>
            </w:pPr>
          </w:p>
        </w:tc>
      </w:tr>
      <w:tr w:rsidR="005A1399" w:rsidRPr="009A501D" w14:paraId="03BCF5C9"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8FB50A4"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C5154F5"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Mensual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350961"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EMEC</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B5A7E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360</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F8193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EB74C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EEC83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552</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280E44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C2B9C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A5E11C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528</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5DC4A1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F1355E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D3814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528</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13F6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CD83E0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vAlign w:val="center"/>
            <w:hideMark/>
          </w:tcPr>
          <w:p w14:paraId="0ED10517" w14:textId="77777777" w:rsidR="005A1399" w:rsidRPr="009A501D" w:rsidRDefault="005A1399" w:rsidP="007F5C1B">
            <w:pPr>
              <w:spacing w:after="0" w:line="240" w:lineRule="auto"/>
              <w:rPr>
                <w:sz w:val="20"/>
                <w:szCs w:val="20"/>
              </w:rPr>
            </w:pPr>
          </w:p>
        </w:tc>
      </w:tr>
      <w:tr w:rsidR="005A1399" w:rsidRPr="009A501D" w14:paraId="77641D3B"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32DDCDE"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17ED0A5"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Mensual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91712EC"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EMIM</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53DD56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36</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031B3C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DCBAD5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9C4E13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52</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1007BD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A9C8F8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33AD10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48</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272197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E46CF5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8D9E9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48</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D09DA1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96%</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E00E9B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shd w:val="clear" w:color="auto" w:fill="F2F2F2" w:themeFill="background1" w:themeFillShade="F2"/>
            <w:vAlign w:val="center"/>
            <w:hideMark/>
          </w:tcPr>
          <w:p w14:paraId="5412FC41" w14:textId="77777777" w:rsidR="005A1399" w:rsidRPr="009A501D" w:rsidRDefault="005A1399" w:rsidP="007F5C1B">
            <w:pPr>
              <w:spacing w:after="0" w:line="240" w:lineRule="auto"/>
              <w:rPr>
                <w:sz w:val="20"/>
                <w:szCs w:val="20"/>
              </w:rPr>
            </w:pPr>
          </w:p>
        </w:tc>
      </w:tr>
      <w:tr w:rsidR="005A1399" w:rsidRPr="009A501D" w14:paraId="3C87F197"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6C2558C"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858B219"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Mensual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B56BE7"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EMOE</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F982D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18</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1C56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822FCC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1481E8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504</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6C72E4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24642F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83BEE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504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540184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87%</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6EF828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704E9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504</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884AC63" w14:textId="247D7FDE"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w:t>
            </w:r>
            <w:r w:rsidR="0086376E" w:rsidRPr="009A501D">
              <w:rPr>
                <w:rFonts w:ascii="Century Gothic" w:hAnsi="Century Gothic" w:cs="Calibri"/>
                <w:sz w:val="16"/>
                <w:szCs w:val="16"/>
              </w:rPr>
              <w:t>9</w:t>
            </w: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D6132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46" w:type="dxa"/>
            <w:tcBorders>
              <w:left w:val="single" w:sz="4" w:space="0" w:color="BFBFBF" w:themeColor="background1" w:themeShade="BF"/>
            </w:tcBorders>
            <w:vAlign w:val="center"/>
            <w:hideMark/>
          </w:tcPr>
          <w:p w14:paraId="23A99A0F" w14:textId="77777777" w:rsidR="005A1399" w:rsidRPr="009A501D" w:rsidRDefault="005A1399" w:rsidP="007F5C1B">
            <w:pPr>
              <w:spacing w:after="0" w:line="240" w:lineRule="auto"/>
              <w:rPr>
                <w:sz w:val="20"/>
                <w:szCs w:val="20"/>
              </w:rPr>
            </w:pPr>
          </w:p>
        </w:tc>
      </w:tr>
      <w:tr w:rsidR="005A1399" w:rsidRPr="009A501D" w14:paraId="4E9DC6FA"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64BF3E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AD92B7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Mensual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865CE80"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EMS</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4AFBC9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720</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4E3FB7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83%</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933376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CE0900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1 072</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E0340D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89%</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DDAD36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EC7D0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1776</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184EC8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82%</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373BED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4%</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A6DA50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1776</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B611D1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7A4E41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w:t>
            </w:r>
          </w:p>
        </w:tc>
        <w:tc>
          <w:tcPr>
            <w:tcW w:w="146" w:type="dxa"/>
            <w:tcBorders>
              <w:left w:val="single" w:sz="4" w:space="0" w:color="BFBFBF" w:themeColor="background1" w:themeShade="BF"/>
            </w:tcBorders>
            <w:shd w:val="clear" w:color="auto" w:fill="F2F2F2" w:themeFill="background1" w:themeFillShade="F2"/>
            <w:vAlign w:val="center"/>
            <w:hideMark/>
          </w:tcPr>
          <w:p w14:paraId="4BCE9102" w14:textId="77777777" w:rsidR="005A1399" w:rsidRPr="009A501D" w:rsidRDefault="005A1399" w:rsidP="007F5C1B">
            <w:pPr>
              <w:spacing w:after="0" w:line="240" w:lineRule="auto"/>
              <w:rPr>
                <w:sz w:val="20"/>
                <w:szCs w:val="20"/>
              </w:rPr>
            </w:pPr>
          </w:p>
        </w:tc>
      </w:tr>
      <w:tr w:rsidR="005A1399" w:rsidRPr="009A501D" w14:paraId="1651D4D7"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E74914"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DGEE</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4EB3917"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Mensual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EFA035E"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ENEC</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60091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648</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4965F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69%</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5D9677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062CC3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936</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9415C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75%</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B898A9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6974B4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864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2FBD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77%</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372C3E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4D1538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864</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7E0BC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70%</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96B1C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w:t>
            </w:r>
          </w:p>
        </w:tc>
        <w:tc>
          <w:tcPr>
            <w:tcW w:w="146" w:type="dxa"/>
            <w:tcBorders>
              <w:left w:val="single" w:sz="4" w:space="0" w:color="BFBFBF" w:themeColor="background1" w:themeShade="BF"/>
            </w:tcBorders>
            <w:vAlign w:val="center"/>
            <w:hideMark/>
          </w:tcPr>
          <w:p w14:paraId="1B2FDD84" w14:textId="77777777" w:rsidR="005A1399" w:rsidRPr="009A501D" w:rsidRDefault="005A1399" w:rsidP="007F5C1B">
            <w:pPr>
              <w:spacing w:after="0" w:line="240" w:lineRule="auto"/>
              <w:rPr>
                <w:sz w:val="20"/>
                <w:szCs w:val="20"/>
              </w:rPr>
            </w:pPr>
          </w:p>
        </w:tc>
      </w:tr>
      <w:tr w:rsidR="005A1399" w:rsidRPr="009A501D" w14:paraId="6394BCFC"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C5F054F"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DGEGSPJ</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45B934C"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Trienal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82E9E28"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ECRIGE-CDMX</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762C4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38ED35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94EF8E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5AF0A8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33FD1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081349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CB91D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A7EC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015DF9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22EAB8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376F21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532685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shd w:val="clear" w:color="auto" w:fill="F2F2F2" w:themeFill="background1" w:themeFillShade="F2"/>
            <w:vAlign w:val="center"/>
            <w:hideMark/>
          </w:tcPr>
          <w:p w14:paraId="09D8F752" w14:textId="77777777" w:rsidR="005A1399" w:rsidRPr="009A501D" w:rsidRDefault="005A1399" w:rsidP="007F5C1B">
            <w:pPr>
              <w:spacing w:after="0" w:line="240" w:lineRule="auto"/>
              <w:rPr>
                <w:sz w:val="20"/>
                <w:szCs w:val="20"/>
              </w:rPr>
            </w:pPr>
          </w:p>
        </w:tc>
      </w:tr>
      <w:tr w:rsidR="005A1399" w:rsidRPr="009A501D" w14:paraId="0D362660"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C22F23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DGEGSPJ</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3B37D60"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Bienal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7DDB1B4"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ENVE</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F71A7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66</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8BEF31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7F90B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8DEB5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2D2FE5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374500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02F297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57471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B4E734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A845E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1461</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8D843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16ADD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w:t>
            </w:r>
          </w:p>
        </w:tc>
        <w:tc>
          <w:tcPr>
            <w:tcW w:w="146" w:type="dxa"/>
            <w:tcBorders>
              <w:left w:val="single" w:sz="4" w:space="0" w:color="BFBFBF" w:themeColor="background1" w:themeShade="BF"/>
            </w:tcBorders>
            <w:vAlign w:val="center"/>
            <w:hideMark/>
          </w:tcPr>
          <w:p w14:paraId="6A16F15B" w14:textId="77777777" w:rsidR="005A1399" w:rsidRPr="009A501D" w:rsidRDefault="005A1399" w:rsidP="007F5C1B">
            <w:pPr>
              <w:spacing w:after="0" w:line="240" w:lineRule="auto"/>
              <w:rPr>
                <w:sz w:val="20"/>
                <w:szCs w:val="20"/>
              </w:rPr>
            </w:pPr>
          </w:p>
        </w:tc>
      </w:tr>
      <w:tr w:rsidR="005A1399" w:rsidRPr="009A501D" w14:paraId="65024D9E" w14:textId="77777777" w:rsidTr="009D7886">
        <w:trPr>
          <w:trHeight w:val="284"/>
          <w:jc w:val="center"/>
        </w:trPr>
        <w:tc>
          <w:tcPr>
            <w:tcW w:w="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16ADD14"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DGEGSPJ</w:t>
            </w:r>
          </w:p>
        </w:tc>
        <w:tc>
          <w:tcPr>
            <w:tcW w:w="14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BB04EEA"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No determinado</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5D02A38" w14:textId="77777777" w:rsidR="005A1399" w:rsidRPr="009A501D" w:rsidRDefault="005A1399" w:rsidP="00423255">
            <w:pPr>
              <w:spacing w:after="0" w:line="240" w:lineRule="auto"/>
              <w:jc w:val="center"/>
              <w:rPr>
                <w:rFonts w:ascii="Century Gothic" w:hAnsi="Century Gothic" w:cs="Calibri"/>
                <w:sz w:val="16"/>
                <w:szCs w:val="16"/>
              </w:rPr>
            </w:pPr>
            <w:r w:rsidRPr="009A501D">
              <w:rPr>
                <w:rFonts w:ascii="Century Gothic" w:hAnsi="Century Gothic" w:cs="Calibri"/>
                <w:sz w:val="16"/>
                <w:szCs w:val="16"/>
              </w:rPr>
              <w:t>ENCRIGE</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F07D9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E0DC14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0BC6A9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0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527D6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8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2A26C2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C1C0A4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9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AC243A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14</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9A9D74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93%</w:t>
            </w:r>
          </w:p>
        </w:tc>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3B56DF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248005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7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F419CC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328B80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146" w:type="dxa"/>
            <w:tcBorders>
              <w:left w:val="single" w:sz="4" w:space="0" w:color="BFBFBF" w:themeColor="background1" w:themeShade="BF"/>
            </w:tcBorders>
            <w:shd w:val="clear" w:color="auto" w:fill="F2F2F2" w:themeFill="background1" w:themeFillShade="F2"/>
            <w:vAlign w:val="center"/>
            <w:hideMark/>
          </w:tcPr>
          <w:p w14:paraId="4C293C7C" w14:textId="77777777" w:rsidR="005A1399" w:rsidRPr="009A501D" w:rsidRDefault="005A1399" w:rsidP="007F5C1B">
            <w:pPr>
              <w:spacing w:after="0" w:line="240" w:lineRule="auto"/>
              <w:rPr>
                <w:sz w:val="20"/>
                <w:szCs w:val="20"/>
              </w:rPr>
            </w:pPr>
          </w:p>
        </w:tc>
      </w:tr>
    </w:tbl>
    <w:p w14:paraId="24689ECF" w14:textId="4A44C8A4" w:rsidR="005A1399" w:rsidRPr="009A501D" w:rsidRDefault="005A1399" w:rsidP="00B22E05">
      <w:pPr>
        <w:spacing w:after="0"/>
        <w:ind w:left="284" w:right="366"/>
        <w:jc w:val="both"/>
        <w:rPr>
          <w:rFonts w:ascii="Century Gothic" w:eastAsia="Century Gothic" w:hAnsi="Century Gothic" w:cs="Century Gothic"/>
          <w:position w:val="4"/>
          <w:sz w:val="15"/>
          <w:szCs w:val="15"/>
        </w:rPr>
      </w:pPr>
      <w:r w:rsidRPr="009A501D">
        <w:rPr>
          <w:rFonts w:ascii="Century Gothic" w:eastAsia="Century Gothic" w:hAnsi="Century Gothic" w:cs="Century Gothic"/>
          <w:position w:val="4"/>
          <w:sz w:val="15"/>
          <w:szCs w:val="15"/>
          <w:vertAlign w:val="superscript"/>
        </w:rPr>
        <w:t>a/</w:t>
      </w:r>
      <w:r w:rsidRPr="009A501D">
        <w:rPr>
          <w:rFonts w:ascii="Century Gothic" w:eastAsia="Century Gothic" w:hAnsi="Century Gothic" w:cs="Century Gothic"/>
          <w:position w:val="4"/>
          <w:sz w:val="15"/>
          <w:szCs w:val="15"/>
        </w:rPr>
        <w:t xml:space="preserve"> Los umbrales para el coeficiente de variación de las variables principales aprobados por el Comité para encuestas en unidades económicas. Debido a cuestiones de espacio, se omitió el umbral de calidad Moderada [20-30), sin embargo, el porcentaje de casos que caen en dicho umbral por </w:t>
      </w:r>
      <w:r w:rsidR="00EC4113" w:rsidRPr="009A501D">
        <w:rPr>
          <w:rFonts w:ascii="Century Gothic" w:eastAsia="Century Gothic" w:hAnsi="Century Gothic" w:cs="Century Gothic"/>
          <w:position w:val="4"/>
          <w:sz w:val="15"/>
          <w:szCs w:val="15"/>
        </w:rPr>
        <w:t>proceso</w:t>
      </w:r>
      <w:r w:rsidRPr="009A501D">
        <w:rPr>
          <w:rFonts w:ascii="Century Gothic" w:eastAsia="Century Gothic" w:hAnsi="Century Gothic" w:cs="Century Gothic"/>
          <w:position w:val="4"/>
          <w:sz w:val="15"/>
          <w:szCs w:val="15"/>
        </w:rPr>
        <w:t xml:space="preserve"> se puede obtener como el complemento de la suma de los umbrales presentes.</w:t>
      </w:r>
    </w:p>
    <w:p w14:paraId="5CA14111" w14:textId="211EC7BA" w:rsidR="005A1399" w:rsidRPr="009A501D" w:rsidRDefault="005A1399" w:rsidP="00B22E05">
      <w:pPr>
        <w:spacing w:after="0"/>
        <w:ind w:left="284" w:right="366"/>
        <w:jc w:val="both"/>
        <w:rPr>
          <w:rFonts w:ascii="Century Gothic" w:hAnsi="Century Gothic"/>
          <w:b/>
          <w:bCs/>
          <w:sz w:val="15"/>
          <w:szCs w:val="15"/>
        </w:rPr>
      </w:pPr>
      <w:r w:rsidRPr="009A501D">
        <w:rPr>
          <w:rFonts w:ascii="Century Gothic" w:hAnsi="Century Gothic"/>
          <w:sz w:val="15"/>
          <w:szCs w:val="15"/>
        </w:rPr>
        <w:t>*Estos datos corresponden a la información publicada en 2022, y que reportaron indicadores en los metadatos hasta el 31 de enero de 2023.</w:t>
      </w:r>
    </w:p>
    <w:p w14:paraId="314A0929" w14:textId="1F89B150" w:rsidR="005A1399" w:rsidRPr="009A501D" w:rsidRDefault="005A1399" w:rsidP="00B22E05">
      <w:pPr>
        <w:spacing w:after="0"/>
        <w:ind w:left="284" w:right="366"/>
        <w:jc w:val="both"/>
        <w:rPr>
          <w:rFonts w:ascii="Century Gothic" w:hAnsi="Century Gothic"/>
          <w:sz w:val="15"/>
          <w:szCs w:val="15"/>
        </w:rPr>
      </w:pPr>
      <w:r w:rsidRPr="009A501D">
        <w:rPr>
          <w:rFonts w:ascii="Century Gothic" w:hAnsi="Century Gothic"/>
          <w:sz w:val="15"/>
          <w:szCs w:val="15"/>
        </w:rPr>
        <w:t>**El número de casos corresponde a la multiplicación de los indicadores-objetivo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en 2020 se publicaron 12 meses con algunas excepciones por la contingencia sanitaria, en 2021 se publicaron 12 meses y en 2022 se publicaron conforme a lo mencionado en el cuadro A.6.2.</w:t>
      </w:r>
    </w:p>
    <w:p w14:paraId="53B4CA0C" w14:textId="07807536"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lastRenderedPageBreak/>
        <w:t>Del cuadro A.</w:t>
      </w:r>
      <w:r w:rsidR="00AE6C80" w:rsidRPr="009A501D">
        <w:rPr>
          <w:rFonts w:ascii="Century Gothic" w:hAnsi="Century Gothic" w:cstheme="minorHAnsi"/>
          <w:sz w:val="19"/>
          <w:szCs w:val="19"/>
        </w:rPr>
        <w:t>5</w:t>
      </w:r>
      <w:r w:rsidRPr="009A501D">
        <w:rPr>
          <w:rFonts w:ascii="Century Gothic" w:hAnsi="Century Gothic" w:cstheme="minorHAnsi"/>
          <w:sz w:val="19"/>
          <w:szCs w:val="19"/>
        </w:rPr>
        <w:t xml:space="preserve">.5 resalta la Encuesta Nacional de Victimización de Empresas (ENVE) con un incremento en el número de casos, lo cual obedece a un aumento en el número de indicadores-objetivo reportados, pasando de 2 a 94, como resultado de un análisis de identificación y completitud de indicadores-objetivo realizado por parte del área responsable en coordinación con la Dirección de Aseguramiento de la Calidad; en este sentido, se </w:t>
      </w:r>
      <w:r w:rsidR="00CC7B4A" w:rsidRPr="009A501D">
        <w:rPr>
          <w:rFonts w:ascii="Century Gothic" w:hAnsi="Century Gothic" w:cstheme="minorHAnsi"/>
          <w:sz w:val="19"/>
          <w:szCs w:val="19"/>
        </w:rPr>
        <w:t>d</w:t>
      </w:r>
      <w:r w:rsidRPr="009A501D">
        <w:rPr>
          <w:rFonts w:ascii="Century Gothic" w:hAnsi="Century Gothic" w:cstheme="minorHAnsi"/>
          <w:sz w:val="19"/>
          <w:szCs w:val="19"/>
        </w:rPr>
        <w:t>ar</w:t>
      </w:r>
      <w:r w:rsidR="00CC7B4A" w:rsidRPr="009A501D">
        <w:rPr>
          <w:rFonts w:ascii="Century Gothic" w:hAnsi="Century Gothic" w:cstheme="minorHAnsi"/>
          <w:sz w:val="19"/>
          <w:szCs w:val="19"/>
        </w:rPr>
        <w:t>á</w:t>
      </w:r>
      <w:r w:rsidRPr="009A501D">
        <w:rPr>
          <w:rFonts w:ascii="Century Gothic" w:hAnsi="Century Gothic" w:cstheme="minorHAnsi"/>
          <w:sz w:val="19"/>
          <w:szCs w:val="19"/>
        </w:rPr>
        <w:t xml:space="preserve"> continuidad con ejercicios similares para otros </w:t>
      </w:r>
      <w:r w:rsidR="00EC4113" w:rsidRPr="009A501D">
        <w:rPr>
          <w:rFonts w:ascii="Century Gothic" w:hAnsi="Century Gothic" w:cstheme="minorHAnsi"/>
          <w:sz w:val="19"/>
          <w:szCs w:val="19"/>
        </w:rPr>
        <w:t>procesos</w:t>
      </w:r>
      <w:r w:rsidRPr="009A501D">
        <w:rPr>
          <w:rFonts w:ascii="Century Gothic" w:hAnsi="Century Gothic" w:cstheme="minorHAnsi"/>
          <w:sz w:val="19"/>
          <w:szCs w:val="19"/>
        </w:rPr>
        <w:t xml:space="preserve"> con el fin de contar con</w:t>
      </w:r>
      <w:r w:rsidR="00985A3B" w:rsidRPr="009A501D">
        <w:rPr>
          <w:rFonts w:ascii="Century Gothic" w:hAnsi="Century Gothic" w:cstheme="minorHAnsi"/>
          <w:sz w:val="19"/>
          <w:szCs w:val="19"/>
        </w:rPr>
        <w:t xml:space="preserve"> indicadores de precisión</w:t>
      </w:r>
      <w:r w:rsidRPr="009A501D">
        <w:rPr>
          <w:rFonts w:ascii="Century Gothic" w:hAnsi="Century Gothic" w:cstheme="minorHAnsi"/>
          <w:sz w:val="19"/>
          <w:szCs w:val="19"/>
        </w:rPr>
        <w:t xml:space="preserve"> para la totalidad de indicadores-objetivo. Respecto a los coeficientes de variación, en los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s Encuesta Nacional de Empresas Constructoras (ENEC), Encuesta Mensual de Servicios (EMS), Encuesta Mensual de la Industria Manufacturera (EMIM) y Encuesta Anual de Comercio (EAC) se distingue una pérdida de precisión respecto del año anterior en el número de casos con alta calidad estadística. Finalmente, la Encuesta de Comercio Internacional de Servicios (ECIS) se ubica como uno de los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s con menor porcentaje de casos con alta calidad estadística</w:t>
      </w:r>
      <w:r w:rsidR="00953F4B" w:rsidRPr="009A501D">
        <w:rPr>
          <w:rFonts w:ascii="Century Gothic" w:hAnsi="Century Gothic" w:cstheme="minorHAnsi"/>
          <w:sz w:val="19"/>
          <w:szCs w:val="19"/>
        </w:rPr>
        <w:t>, ya que al ser un programa experimental se encuentra en proceso de definición de sus indicadores-objetivo, actualmente reporta indicadores de precisión para las 2,836 variables que se publican</w:t>
      </w:r>
      <w:r w:rsidRPr="009A501D">
        <w:rPr>
          <w:rFonts w:ascii="Century Gothic" w:hAnsi="Century Gothic" w:cstheme="minorHAnsi"/>
          <w:sz w:val="19"/>
          <w:szCs w:val="19"/>
        </w:rPr>
        <w:t>.</w:t>
      </w:r>
    </w:p>
    <w:p w14:paraId="06FC6B9C" w14:textId="47EEB141"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En el cuadro A.</w:t>
      </w:r>
      <w:r w:rsidR="00AE6C80" w:rsidRPr="009A501D">
        <w:rPr>
          <w:rFonts w:ascii="Century Gothic" w:hAnsi="Century Gothic" w:cstheme="minorHAnsi"/>
          <w:sz w:val="19"/>
          <w:szCs w:val="19"/>
        </w:rPr>
        <w:t>5</w:t>
      </w:r>
      <w:r w:rsidRPr="009A501D">
        <w:rPr>
          <w:rFonts w:ascii="Century Gothic" w:hAnsi="Century Gothic" w:cstheme="minorHAnsi"/>
          <w:sz w:val="19"/>
          <w:szCs w:val="19"/>
        </w:rPr>
        <w:t xml:space="preserve">.6 se presentan los coeficientes de variación para encuestas en hogares y otras unidades. Se observa consistencia en los umbrales de los coeficientes de variación de la mayoría de los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s de </w:t>
      </w:r>
      <w:r w:rsidR="006C1589" w:rsidRPr="009A501D">
        <w:rPr>
          <w:rFonts w:ascii="Century Gothic" w:hAnsi="Century Gothic" w:cstheme="minorHAnsi"/>
          <w:sz w:val="19"/>
          <w:szCs w:val="19"/>
        </w:rPr>
        <w:t>producción</w:t>
      </w:r>
      <w:r w:rsidRPr="009A501D">
        <w:rPr>
          <w:rFonts w:ascii="Century Gothic" w:hAnsi="Century Gothic" w:cstheme="minorHAnsi"/>
          <w:sz w:val="19"/>
          <w:szCs w:val="19"/>
        </w:rPr>
        <w:t xml:space="preserve">. </w:t>
      </w:r>
      <w:r w:rsidR="00B11B5B" w:rsidRPr="009A501D">
        <w:rPr>
          <w:rFonts w:ascii="Century Gothic" w:hAnsi="Century Gothic" w:cstheme="minorHAnsi"/>
          <w:sz w:val="19"/>
          <w:szCs w:val="19"/>
        </w:rPr>
        <w:t>L</w:t>
      </w:r>
      <w:r w:rsidRPr="009A501D">
        <w:rPr>
          <w:rFonts w:ascii="Century Gothic" w:hAnsi="Century Gothic" w:cstheme="minorHAnsi"/>
          <w:sz w:val="19"/>
          <w:szCs w:val="19"/>
        </w:rPr>
        <w:t>a Encuesta Nacional de Victimización y Percepción sobre Seguridad Pública (ENVIPE)</w:t>
      </w:r>
      <w:r w:rsidR="00F90E03" w:rsidRPr="009A501D">
        <w:rPr>
          <w:rFonts w:ascii="Century Gothic" w:hAnsi="Century Gothic" w:cstheme="minorHAnsi"/>
          <w:sz w:val="19"/>
          <w:szCs w:val="19"/>
        </w:rPr>
        <w:t xml:space="preserve"> tuvo</w:t>
      </w:r>
      <w:r w:rsidRPr="009A501D">
        <w:rPr>
          <w:rFonts w:ascii="Century Gothic" w:hAnsi="Century Gothic" w:cstheme="minorHAnsi"/>
          <w:sz w:val="19"/>
          <w:szCs w:val="19"/>
        </w:rPr>
        <w:t xml:space="preserve"> un aumento en el número de indicadores-objetivo reportados, pasando de 3 a 73, </w:t>
      </w:r>
      <w:r w:rsidR="00F90E03" w:rsidRPr="009A501D">
        <w:rPr>
          <w:rFonts w:ascii="Century Gothic" w:hAnsi="Century Gothic" w:cstheme="minorHAnsi"/>
          <w:sz w:val="19"/>
          <w:szCs w:val="19"/>
        </w:rPr>
        <w:t xml:space="preserve">por las razones </w:t>
      </w:r>
      <w:r w:rsidR="008B20BD" w:rsidRPr="009A501D">
        <w:rPr>
          <w:rFonts w:ascii="Century Gothic" w:hAnsi="Century Gothic" w:cstheme="minorHAnsi"/>
          <w:sz w:val="19"/>
          <w:szCs w:val="19"/>
        </w:rPr>
        <w:t>mencionadas en el párrafo</w:t>
      </w:r>
      <w:r w:rsidRPr="009A501D">
        <w:rPr>
          <w:rFonts w:ascii="Century Gothic" w:hAnsi="Century Gothic" w:cstheme="minorHAnsi"/>
          <w:sz w:val="19"/>
          <w:szCs w:val="19"/>
        </w:rPr>
        <w:t xml:space="preserve"> anterior. Caso similar al de la Encuesta Nacional de Seguridad Pública Urbana (ENSU),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 xml:space="preserve"> que a pesar de presentar un incremento en el número de indicadores-objetivo reportados, pasando de 4 a 79 (a partir del 3er trimestre de 2022), registró un pequeño incremento en el porcentaje de casos con alta calidad estadística. Adicionalmente</w:t>
      </w:r>
      <w:r w:rsidR="00554392" w:rsidRPr="009A501D">
        <w:rPr>
          <w:rFonts w:ascii="Century Gothic" w:hAnsi="Century Gothic" w:cstheme="minorHAnsi"/>
          <w:sz w:val="19"/>
          <w:szCs w:val="19"/>
        </w:rPr>
        <w:t>,</w:t>
      </w:r>
      <w:r w:rsidRPr="009A501D">
        <w:rPr>
          <w:rFonts w:ascii="Century Gothic" w:hAnsi="Century Gothic" w:cstheme="minorHAnsi"/>
          <w:sz w:val="19"/>
          <w:szCs w:val="19"/>
        </w:rPr>
        <w:t xml:space="preserve"> para el Módulo sobre Eventos Culturales Seleccionados (MODECULT) y la Encuesta Nacional de Ocupación y Empleo Nueva Edición (ENOE-NE) se observa un incremento en el porcentaje de casos con alta calidad estadística.</w:t>
      </w:r>
    </w:p>
    <w:p w14:paraId="01098B50" w14:textId="1A200F22" w:rsidR="005A1399" w:rsidRPr="009A501D" w:rsidRDefault="005A1399"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.6. Frecuencias del coeficiente de variación en encuestas en hogares y otras unidades</w:t>
      </w:r>
      <w:r w:rsidRPr="009A501D">
        <w:rPr>
          <w:rFonts w:ascii="Century Gothic" w:hAnsi="Century Gothic" w:cstheme="majorHAnsi"/>
          <w:b/>
          <w:sz w:val="19"/>
          <w:szCs w:val="19"/>
        </w:rPr>
        <w:br/>
        <w:t xml:space="preserve">de acuerdo con los umbrales aprobados en el Comité por </w:t>
      </w:r>
      <w:r w:rsidR="00EC4113" w:rsidRPr="009A501D">
        <w:rPr>
          <w:rFonts w:ascii="Century Gothic" w:hAnsi="Century Gothic" w:cstheme="majorHAnsi"/>
          <w:b/>
          <w:sz w:val="19"/>
          <w:szCs w:val="19"/>
        </w:rPr>
        <w:t>proceso</w:t>
      </w:r>
      <w:r w:rsidRPr="009A501D">
        <w:rPr>
          <w:rFonts w:ascii="Century Gothic" w:hAnsi="Century Gothic" w:cstheme="majorHAnsi"/>
          <w:b/>
          <w:sz w:val="19"/>
          <w:szCs w:val="19"/>
        </w:rPr>
        <w:t xml:space="preserve"> </w:t>
      </w:r>
    </w:p>
    <w:tbl>
      <w:tblPr>
        <w:tblW w:w="13380" w:type="dxa"/>
        <w:jc w:val="center"/>
        <w:tblCellMar>
          <w:left w:w="70" w:type="dxa"/>
          <w:right w:w="70" w:type="dxa"/>
        </w:tblCellMar>
        <w:tblLook w:val="04A0" w:firstRow="1" w:lastRow="0" w:firstColumn="1" w:lastColumn="0" w:noHBand="0" w:noVBand="1"/>
      </w:tblPr>
      <w:tblGrid>
        <w:gridCol w:w="899"/>
        <w:gridCol w:w="1518"/>
        <w:gridCol w:w="1019"/>
        <w:gridCol w:w="1057"/>
        <w:gridCol w:w="817"/>
        <w:gridCol w:w="638"/>
        <w:gridCol w:w="1037"/>
        <w:gridCol w:w="817"/>
        <w:gridCol w:w="658"/>
        <w:gridCol w:w="977"/>
        <w:gridCol w:w="856"/>
        <w:gridCol w:w="638"/>
        <w:gridCol w:w="958"/>
        <w:gridCol w:w="857"/>
        <w:gridCol w:w="618"/>
        <w:gridCol w:w="146"/>
      </w:tblGrid>
      <w:tr w:rsidR="005A1399" w:rsidRPr="009A501D" w14:paraId="50F7197D" w14:textId="77777777" w:rsidTr="00317772">
        <w:trPr>
          <w:gridAfter w:val="1"/>
          <w:wAfter w:w="36" w:type="dxa"/>
          <w:trHeight w:val="284"/>
          <w:tblHeader/>
          <w:jc w:val="center"/>
        </w:trPr>
        <w:tc>
          <w:tcPr>
            <w:tcW w:w="89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632335C" w14:textId="77777777"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UA</w:t>
            </w:r>
          </w:p>
        </w:tc>
        <w:tc>
          <w:tcPr>
            <w:tcW w:w="15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EE92C36" w14:textId="77777777"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Periodicidad</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251E61D" w14:textId="73EE2FCE" w:rsidR="005A1399" w:rsidRPr="009A501D" w:rsidRDefault="00EC4113"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Proceso</w:t>
            </w:r>
          </w:p>
        </w:tc>
        <w:tc>
          <w:tcPr>
            <w:tcW w:w="2512" w:type="dxa"/>
            <w:gridSpan w:val="3"/>
            <w:tcBorders>
              <w:top w:val="single" w:sz="4" w:space="0" w:color="auto"/>
              <w:left w:val="nil"/>
              <w:bottom w:val="single" w:sz="4" w:space="0" w:color="auto"/>
              <w:right w:val="single" w:sz="4" w:space="0" w:color="auto"/>
            </w:tcBorders>
            <w:shd w:val="clear" w:color="000000" w:fill="002060"/>
            <w:vAlign w:val="center"/>
            <w:hideMark/>
          </w:tcPr>
          <w:p w14:paraId="5AF5BFD9" w14:textId="3A4F37FA"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2018 - Línea base</w:t>
            </w:r>
          </w:p>
        </w:tc>
        <w:tc>
          <w:tcPr>
            <w:tcW w:w="2512" w:type="dxa"/>
            <w:gridSpan w:val="3"/>
            <w:tcBorders>
              <w:top w:val="single" w:sz="4" w:space="0" w:color="auto"/>
              <w:left w:val="nil"/>
              <w:bottom w:val="single" w:sz="4" w:space="0" w:color="auto"/>
              <w:right w:val="single" w:sz="4" w:space="0" w:color="auto"/>
            </w:tcBorders>
            <w:shd w:val="clear" w:color="000000" w:fill="002060"/>
            <w:vAlign w:val="center"/>
            <w:hideMark/>
          </w:tcPr>
          <w:p w14:paraId="20CDD574" w14:textId="41C167F5"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2019</w:t>
            </w:r>
          </w:p>
        </w:tc>
        <w:tc>
          <w:tcPr>
            <w:tcW w:w="2471" w:type="dxa"/>
            <w:gridSpan w:val="3"/>
            <w:tcBorders>
              <w:top w:val="single" w:sz="4" w:space="0" w:color="auto"/>
              <w:left w:val="nil"/>
              <w:bottom w:val="single" w:sz="4" w:space="0" w:color="auto"/>
              <w:right w:val="single" w:sz="4" w:space="0" w:color="auto"/>
            </w:tcBorders>
            <w:shd w:val="clear" w:color="000000" w:fill="002060"/>
            <w:vAlign w:val="center"/>
            <w:hideMark/>
          </w:tcPr>
          <w:p w14:paraId="13829304" w14:textId="17E11CC2"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Indicadores publicados en el Informe de resultados del </w:t>
            </w:r>
            <w:r w:rsidR="005E61B3" w:rsidRPr="009A501D">
              <w:rPr>
                <w:rFonts w:ascii="Century Gothic" w:hAnsi="Century Gothic" w:cs="Calibri"/>
                <w:b/>
                <w:bCs/>
                <w:color w:val="FFFFFF"/>
                <w:sz w:val="16"/>
                <w:szCs w:val="16"/>
              </w:rPr>
              <w:t>Comité</w:t>
            </w:r>
            <w:r w:rsidRPr="009A501D">
              <w:rPr>
                <w:rFonts w:ascii="Century Gothic" w:hAnsi="Century Gothic" w:cs="Calibri"/>
                <w:b/>
                <w:bCs/>
                <w:color w:val="FFFFFF"/>
                <w:sz w:val="16"/>
                <w:szCs w:val="16"/>
              </w:rPr>
              <w:t xml:space="preserve"> 2021</w:t>
            </w:r>
          </w:p>
        </w:tc>
        <w:tc>
          <w:tcPr>
            <w:tcW w:w="2433" w:type="dxa"/>
            <w:gridSpan w:val="3"/>
            <w:tcBorders>
              <w:top w:val="single" w:sz="4" w:space="0" w:color="auto"/>
              <w:left w:val="nil"/>
              <w:bottom w:val="single" w:sz="4" w:space="0" w:color="auto"/>
              <w:right w:val="single" w:sz="4" w:space="0" w:color="auto"/>
            </w:tcBorders>
            <w:shd w:val="clear" w:color="000000" w:fill="002060"/>
            <w:vAlign w:val="center"/>
            <w:hideMark/>
          </w:tcPr>
          <w:p w14:paraId="134ECC0F" w14:textId="77777777"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Indicadores publicados en 2022</w:t>
            </w:r>
          </w:p>
        </w:tc>
      </w:tr>
      <w:tr w:rsidR="005A1399" w:rsidRPr="009A501D" w14:paraId="747F8DD7" w14:textId="77777777" w:rsidTr="00317772">
        <w:trPr>
          <w:gridAfter w:val="1"/>
          <w:wAfter w:w="36" w:type="dxa"/>
          <w:trHeight w:val="450"/>
          <w:tblHeader/>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14:paraId="3299B989"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4E6F908A"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2908DAD2"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1057" w:type="dxa"/>
            <w:vMerge w:val="restart"/>
            <w:tcBorders>
              <w:top w:val="nil"/>
              <w:left w:val="single" w:sz="4" w:space="0" w:color="auto"/>
              <w:bottom w:val="single" w:sz="4" w:space="0" w:color="auto"/>
              <w:right w:val="single" w:sz="4" w:space="0" w:color="auto"/>
            </w:tcBorders>
            <w:shd w:val="clear" w:color="000000" w:fill="002060"/>
            <w:vAlign w:val="center"/>
            <w:hideMark/>
          </w:tcPr>
          <w:p w14:paraId="53BF7837" w14:textId="1B545EB6"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Número</w:t>
            </w:r>
            <w:r w:rsidRPr="009A501D">
              <w:rPr>
                <w:rFonts w:ascii="Century Gothic" w:hAnsi="Century Gothic" w:cs="Calibri"/>
                <w:b/>
                <w:bCs/>
                <w:color w:val="FFFFFF"/>
                <w:sz w:val="16"/>
                <w:szCs w:val="16"/>
              </w:rPr>
              <w:br/>
              <w:t xml:space="preserve">de </w:t>
            </w:r>
            <w:r w:rsidR="004917C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73AC38"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[0-15)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38" w:type="dxa"/>
            <w:vMerge w:val="restart"/>
            <w:tcBorders>
              <w:top w:val="nil"/>
              <w:left w:val="single" w:sz="4" w:space="0" w:color="auto"/>
              <w:bottom w:val="single" w:sz="4" w:space="0" w:color="auto"/>
              <w:right w:val="single" w:sz="4" w:space="0" w:color="auto"/>
            </w:tcBorders>
            <w:shd w:val="clear" w:color="000000" w:fill="FF5400"/>
            <w:vAlign w:val="center"/>
            <w:hideMark/>
          </w:tcPr>
          <w:p w14:paraId="37A2E32B"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≥30</w:t>
            </w:r>
            <w:r w:rsidRPr="009A501D">
              <w:rPr>
                <w:rFonts w:ascii="Century Gothic" w:hAnsi="Century Gothic" w:cs="Calibri"/>
                <w:b/>
                <w:bCs/>
                <w:color w:val="000000"/>
                <w:sz w:val="16"/>
                <w:szCs w:val="16"/>
                <w:vertAlign w:val="superscript"/>
              </w:rPr>
              <w:t xml:space="preserve"> a/</w:t>
            </w:r>
          </w:p>
        </w:tc>
        <w:tc>
          <w:tcPr>
            <w:tcW w:w="1037" w:type="dxa"/>
            <w:vMerge w:val="restart"/>
            <w:tcBorders>
              <w:top w:val="nil"/>
              <w:left w:val="single" w:sz="4" w:space="0" w:color="auto"/>
              <w:bottom w:val="single" w:sz="4" w:space="0" w:color="auto"/>
              <w:right w:val="single" w:sz="4" w:space="0" w:color="auto"/>
            </w:tcBorders>
            <w:shd w:val="clear" w:color="000000" w:fill="002060"/>
            <w:vAlign w:val="center"/>
            <w:hideMark/>
          </w:tcPr>
          <w:p w14:paraId="7EF1C827" w14:textId="364A3D97"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4917C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9870B6"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[0-15)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58" w:type="dxa"/>
            <w:vMerge w:val="restart"/>
            <w:tcBorders>
              <w:top w:val="nil"/>
              <w:left w:val="single" w:sz="4" w:space="0" w:color="auto"/>
              <w:bottom w:val="single" w:sz="4" w:space="0" w:color="auto"/>
              <w:right w:val="single" w:sz="4" w:space="0" w:color="auto"/>
            </w:tcBorders>
            <w:shd w:val="clear" w:color="000000" w:fill="FF5400"/>
            <w:vAlign w:val="center"/>
            <w:hideMark/>
          </w:tcPr>
          <w:p w14:paraId="1F28C95D"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≥30</w:t>
            </w:r>
            <w:r w:rsidRPr="009A501D">
              <w:rPr>
                <w:rFonts w:ascii="Century Gothic" w:hAnsi="Century Gothic" w:cs="Calibri"/>
                <w:b/>
                <w:bCs/>
                <w:color w:val="000000"/>
                <w:sz w:val="16"/>
                <w:szCs w:val="16"/>
                <w:vertAlign w:val="superscript"/>
              </w:rPr>
              <w:t xml:space="preserve"> a/</w:t>
            </w:r>
          </w:p>
        </w:tc>
        <w:tc>
          <w:tcPr>
            <w:tcW w:w="977" w:type="dxa"/>
            <w:vMerge w:val="restart"/>
            <w:tcBorders>
              <w:top w:val="nil"/>
              <w:left w:val="single" w:sz="4" w:space="0" w:color="auto"/>
              <w:bottom w:val="single" w:sz="4" w:space="0" w:color="auto"/>
              <w:right w:val="single" w:sz="4" w:space="0" w:color="auto"/>
            </w:tcBorders>
            <w:shd w:val="clear" w:color="000000" w:fill="002060"/>
            <w:vAlign w:val="center"/>
            <w:hideMark/>
          </w:tcPr>
          <w:p w14:paraId="7AC1C70E" w14:textId="51266BF8"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4917C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FE4EDB"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[0-15)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38" w:type="dxa"/>
            <w:vMerge w:val="restart"/>
            <w:tcBorders>
              <w:top w:val="nil"/>
              <w:left w:val="single" w:sz="4" w:space="0" w:color="auto"/>
              <w:bottom w:val="single" w:sz="4" w:space="0" w:color="auto"/>
              <w:right w:val="single" w:sz="4" w:space="0" w:color="auto"/>
            </w:tcBorders>
            <w:shd w:val="clear" w:color="000000" w:fill="FF5400"/>
            <w:vAlign w:val="center"/>
            <w:hideMark/>
          </w:tcPr>
          <w:p w14:paraId="1524219F"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≥30</w:t>
            </w:r>
            <w:r w:rsidRPr="009A501D">
              <w:rPr>
                <w:rFonts w:ascii="Century Gothic" w:hAnsi="Century Gothic" w:cs="Calibri"/>
                <w:b/>
                <w:bCs/>
                <w:color w:val="000000"/>
                <w:sz w:val="16"/>
                <w:szCs w:val="16"/>
                <w:vertAlign w:val="superscript"/>
              </w:rPr>
              <w:t xml:space="preserve"> a/</w:t>
            </w:r>
          </w:p>
        </w:tc>
        <w:tc>
          <w:tcPr>
            <w:tcW w:w="958" w:type="dxa"/>
            <w:vMerge w:val="restart"/>
            <w:tcBorders>
              <w:top w:val="nil"/>
              <w:left w:val="single" w:sz="4" w:space="0" w:color="auto"/>
              <w:bottom w:val="single" w:sz="4" w:space="0" w:color="auto"/>
              <w:right w:val="single" w:sz="4" w:space="0" w:color="auto"/>
            </w:tcBorders>
            <w:shd w:val="clear" w:color="000000" w:fill="002060"/>
            <w:vAlign w:val="center"/>
            <w:hideMark/>
          </w:tcPr>
          <w:p w14:paraId="262A8031" w14:textId="707D1C96" w:rsidR="005A1399" w:rsidRPr="009A501D" w:rsidRDefault="005A1399" w:rsidP="007F5C1B">
            <w:pPr>
              <w:spacing w:after="0" w:line="240" w:lineRule="auto"/>
              <w:contextualSpacing/>
              <w:jc w:val="center"/>
              <w:rPr>
                <w:rFonts w:ascii="Century Gothic" w:hAnsi="Century Gothic" w:cs="Calibri"/>
                <w:b/>
                <w:bCs/>
                <w:color w:val="FFFFFF"/>
                <w:sz w:val="16"/>
                <w:szCs w:val="16"/>
              </w:rPr>
            </w:pPr>
            <w:r w:rsidRPr="009A501D">
              <w:rPr>
                <w:rFonts w:ascii="Century Gothic" w:hAnsi="Century Gothic" w:cs="Calibri"/>
                <w:b/>
                <w:bCs/>
                <w:color w:val="FFFFFF"/>
                <w:sz w:val="16"/>
                <w:szCs w:val="16"/>
              </w:rPr>
              <w:t xml:space="preserve">Número de </w:t>
            </w:r>
            <w:r w:rsidR="004917C6" w:rsidRPr="009A501D">
              <w:rPr>
                <w:rFonts w:ascii="Century Gothic" w:hAnsi="Century Gothic" w:cs="Calibri"/>
                <w:b/>
                <w:bCs/>
                <w:color w:val="FFFFFF"/>
                <w:sz w:val="16"/>
                <w:szCs w:val="16"/>
              </w:rPr>
              <w:t>c</w:t>
            </w:r>
            <w:r w:rsidRPr="009A501D">
              <w:rPr>
                <w:rFonts w:ascii="Century Gothic" w:hAnsi="Century Gothic" w:cs="Calibri"/>
                <w:b/>
                <w:bCs/>
                <w:color w:val="FFFFFF"/>
                <w:sz w:val="16"/>
                <w:szCs w:val="16"/>
              </w:rPr>
              <w:t>asos</w:t>
            </w:r>
          </w:p>
        </w:tc>
        <w:tc>
          <w:tcPr>
            <w:tcW w:w="8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84B0D1"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Alta</w:t>
            </w:r>
            <w:r w:rsidRPr="009A501D">
              <w:rPr>
                <w:rFonts w:ascii="Century Gothic" w:hAnsi="Century Gothic" w:cs="Calibri"/>
                <w:b/>
                <w:bCs/>
                <w:color w:val="000000"/>
                <w:sz w:val="16"/>
                <w:szCs w:val="16"/>
              </w:rPr>
              <w:br/>
              <w:t xml:space="preserve">[0-15) </w:t>
            </w:r>
            <w:r w:rsidRPr="009A501D">
              <w:rPr>
                <w:rFonts w:ascii="Century Gothic" w:hAnsi="Century Gothic" w:cs="Calibri"/>
                <w:b/>
                <w:bCs/>
                <w:color w:val="000000"/>
                <w:sz w:val="16"/>
                <w:szCs w:val="16"/>
                <w:vertAlign w:val="superscript"/>
              </w:rPr>
              <w:t>a</w:t>
            </w:r>
            <w:r w:rsidRPr="009A501D">
              <w:rPr>
                <w:rFonts w:ascii="Century Gothic" w:hAnsi="Century Gothic" w:cs="Calibri"/>
                <w:b/>
                <w:color w:val="000000"/>
                <w:sz w:val="16"/>
                <w:szCs w:val="16"/>
                <w:vertAlign w:val="superscript"/>
              </w:rPr>
              <w:t>/</w:t>
            </w:r>
          </w:p>
        </w:tc>
        <w:tc>
          <w:tcPr>
            <w:tcW w:w="618" w:type="dxa"/>
            <w:vMerge w:val="restart"/>
            <w:tcBorders>
              <w:top w:val="nil"/>
              <w:left w:val="single" w:sz="4" w:space="0" w:color="auto"/>
              <w:bottom w:val="single" w:sz="4" w:space="0" w:color="auto"/>
              <w:right w:val="single" w:sz="4" w:space="0" w:color="auto"/>
            </w:tcBorders>
            <w:shd w:val="clear" w:color="000000" w:fill="FF5400"/>
            <w:vAlign w:val="center"/>
            <w:hideMark/>
          </w:tcPr>
          <w:p w14:paraId="488013AC"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r w:rsidRPr="009A501D">
              <w:rPr>
                <w:rFonts w:ascii="Century Gothic" w:hAnsi="Century Gothic" w:cs="Calibri"/>
                <w:b/>
                <w:bCs/>
                <w:color w:val="000000"/>
                <w:sz w:val="16"/>
                <w:szCs w:val="16"/>
              </w:rPr>
              <w:t>Baja</w:t>
            </w:r>
            <w:r w:rsidRPr="009A501D">
              <w:rPr>
                <w:rFonts w:ascii="Century Gothic" w:hAnsi="Century Gothic" w:cs="Calibri"/>
                <w:b/>
                <w:bCs/>
                <w:color w:val="000000"/>
                <w:sz w:val="16"/>
                <w:szCs w:val="16"/>
              </w:rPr>
              <w:br/>
              <w:t>≥30</w:t>
            </w:r>
            <w:r w:rsidRPr="009A501D">
              <w:rPr>
                <w:rFonts w:ascii="Century Gothic" w:hAnsi="Century Gothic" w:cs="Calibri"/>
                <w:b/>
                <w:bCs/>
                <w:color w:val="000000"/>
                <w:sz w:val="16"/>
                <w:szCs w:val="16"/>
                <w:vertAlign w:val="superscript"/>
              </w:rPr>
              <w:t xml:space="preserve"> a/</w:t>
            </w:r>
          </w:p>
        </w:tc>
      </w:tr>
      <w:tr w:rsidR="005A1399" w:rsidRPr="009A501D" w14:paraId="3AE31C6E" w14:textId="77777777" w:rsidTr="00317772">
        <w:trPr>
          <w:trHeight w:val="284"/>
          <w:tblHeader/>
          <w:jc w:val="center"/>
        </w:trPr>
        <w:tc>
          <w:tcPr>
            <w:tcW w:w="899" w:type="dxa"/>
            <w:vMerge/>
            <w:tcBorders>
              <w:top w:val="single" w:sz="4" w:space="0" w:color="auto"/>
              <w:left w:val="single" w:sz="4" w:space="0" w:color="auto"/>
              <w:bottom w:val="single" w:sz="4" w:space="0" w:color="auto"/>
              <w:right w:val="single" w:sz="4" w:space="0" w:color="auto"/>
            </w:tcBorders>
            <w:vAlign w:val="center"/>
            <w:hideMark/>
          </w:tcPr>
          <w:p w14:paraId="5C716192"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04B9109C"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4ABED9BB"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1057" w:type="dxa"/>
            <w:vMerge/>
            <w:tcBorders>
              <w:top w:val="nil"/>
              <w:left w:val="single" w:sz="4" w:space="0" w:color="auto"/>
              <w:bottom w:val="single" w:sz="4" w:space="0" w:color="auto"/>
              <w:right w:val="single" w:sz="4" w:space="0" w:color="auto"/>
            </w:tcBorders>
            <w:vAlign w:val="center"/>
            <w:hideMark/>
          </w:tcPr>
          <w:p w14:paraId="16B3C975"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817" w:type="dxa"/>
            <w:vMerge/>
            <w:tcBorders>
              <w:top w:val="nil"/>
              <w:left w:val="single" w:sz="4" w:space="0" w:color="auto"/>
              <w:bottom w:val="single" w:sz="4" w:space="0" w:color="auto"/>
              <w:right w:val="single" w:sz="4" w:space="0" w:color="auto"/>
            </w:tcBorders>
            <w:vAlign w:val="center"/>
            <w:hideMark/>
          </w:tcPr>
          <w:p w14:paraId="0A443DE9"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638" w:type="dxa"/>
            <w:vMerge/>
            <w:tcBorders>
              <w:top w:val="nil"/>
              <w:left w:val="single" w:sz="4" w:space="0" w:color="auto"/>
              <w:bottom w:val="single" w:sz="4" w:space="0" w:color="auto"/>
              <w:right w:val="single" w:sz="4" w:space="0" w:color="auto"/>
            </w:tcBorders>
            <w:vAlign w:val="center"/>
            <w:hideMark/>
          </w:tcPr>
          <w:p w14:paraId="7707D428"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1037" w:type="dxa"/>
            <w:vMerge/>
            <w:tcBorders>
              <w:top w:val="nil"/>
              <w:left w:val="single" w:sz="4" w:space="0" w:color="auto"/>
              <w:bottom w:val="single" w:sz="4" w:space="0" w:color="auto"/>
              <w:right w:val="single" w:sz="4" w:space="0" w:color="auto"/>
            </w:tcBorders>
            <w:vAlign w:val="center"/>
            <w:hideMark/>
          </w:tcPr>
          <w:p w14:paraId="0262EB6F"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817" w:type="dxa"/>
            <w:vMerge/>
            <w:tcBorders>
              <w:top w:val="nil"/>
              <w:left w:val="single" w:sz="4" w:space="0" w:color="auto"/>
              <w:bottom w:val="single" w:sz="4" w:space="0" w:color="auto"/>
              <w:right w:val="single" w:sz="4" w:space="0" w:color="auto"/>
            </w:tcBorders>
            <w:vAlign w:val="center"/>
            <w:hideMark/>
          </w:tcPr>
          <w:p w14:paraId="27EEC031"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658" w:type="dxa"/>
            <w:vMerge/>
            <w:tcBorders>
              <w:top w:val="nil"/>
              <w:left w:val="single" w:sz="4" w:space="0" w:color="auto"/>
              <w:bottom w:val="single" w:sz="4" w:space="0" w:color="auto"/>
              <w:right w:val="single" w:sz="4" w:space="0" w:color="auto"/>
            </w:tcBorders>
            <w:vAlign w:val="center"/>
            <w:hideMark/>
          </w:tcPr>
          <w:p w14:paraId="0D4FDA7E"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977" w:type="dxa"/>
            <w:vMerge/>
            <w:tcBorders>
              <w:top w:val="nil"/>
              <w:left w:val="single" w:sz="4" w:space="0" w:color="auto"/>
              <w:bottom w:val="single" w:sz="4" w:space="0" w:color="auto"/>
              <w:right w:val="single" w:sz="4" w:space="0" w:color="auto"/>
            </w:tcBorders>
            <w:vAlign w:val="center"/>
            <w:hideMark/>
          </w:tcPr>
          <w:p w14:paraId="4B7DD137"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34D002B9"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638" w:type="dxa"/>
            <w:vMerge/>
            <w:tcBorders>
              <w:top w:val="nil"/>
              <w:left w:val="single" w:sz="4" w:space="0" w:color="auto"/>
              <w:bottom w:val="single" w:sz="4" w:space="0" w:color="auto"/>
              <w:right w:val="single" w:sz="4" w:space="0" w:color="auto"/>
            </w:tcBorders>
            <w:vAlign w:val="center"/>
            <w:hideMark/>
          </w:tcPr>
          <w:p w14:paraId="2B054195"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958" w:type="dxa"/>
            <w:vMerge/>
            <w:tcBorders>
              <w:top w:val="nil"/>
              <w:left w:val="single" w:sz="4" w:space="0" w:color="auto"/>
              <w:bottom w:val="single" w:sz="4" w:space="0" w:color="auto"/>
              <w:right w:val="single" w:sz="4" w:space="0" w:color="auto"/>
            </w:tcBorders>
            <w:vAlign w:val="center"/>
            <w:hideMark/>
          </w:tcPr>
          <w:p w14:paraId="03B1CAD2" w14:textId="77777777" w:rsidR="005A1399" w:rsidRPr="009A501D" w:rsidRDefault="005A1399" w:rsidP="007F5C1B">
            <w:pPr>
              <w:spacing w:after="0" w:line="240" w:lineRule="auto"/>
              <w:contextualSpacing/>
              <w:rPr>
                <w:rFonts w:ascii="Century Gothic" w:hAnsi="Century Gothic" w:cs="Calibri"/>
                <w:b/>
                <w:bCs/>
                <w:color w:val="FFFFFF"/>
                <w:sz w:val="16"/>
                <w:szCs w:val="16"/>
              </w:rPr>
            </w:pPr>
          </w:p>
        </w:tc>
        <w:tc>
          <w:tcPr>
            <w:tcW w:w="857" w:type="dxa"/>
            <w:vMerge/>
            <w:tcBorders>
              <w:top w:val="nil"/>
              <w:left w:val="single" w:sz="4" w:space="0" w:color="auto"/>
              <w:bottom w:val="single" w:sz="4" w:space="0" w:color="auto"/>
              <w:right w:val="single" w:sz="4" w:space="0" w:color="auto"/>
            </w:tcBorders>
            <w:vAlign w:val="center"/>
            <w:hideMark/>
          </w:tcPr>
          <w:p w14:paraId="56BE9E06"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618" w:type="dxa"/>
            <w:vMerge/>
            <w:tcBorders>
              <w:top w:val="nil"/>
              <w:left w:val="single" w:sz="4" w:space="0" w:color="auto"/>
              <w:bottom w:val="single" w:sz="4" w:space="0" w:color="auto"/>
              <w:right w:val="single" w:sz="4" w:space="0" w:color="auto"/>
            </w:tcBorders>
            <w:vAlign w:val="center"/>
            <w:hideMark/>
          </w:tcPr>
          <w:p w14:paraId="69C12DCF" w14:textId="77777777" w:rsidR="005A1399" w:rsidRPr="009A501D" w:rsidRDefault="005A1399" w:rsidP="007F5C1B">
            <w:pPr>
              <w:spacing w:after="0" w:line="240" w:lineRule="auto"/>
              <w:contextualSpacing/>
              <w:rPr>
                <w:rFonts w:ascii="Century Gothic" w:hAnsi="Century Gothic" w:cs="Calibri"/>
                <w:b/>
                <w:bCs/>
                <w:color w:val="000000"/>
                <w:sz w:val="16"/>
                <w:szCs w:val="16"/>
              </w:rPr>
            </w:pPr>
          </w:p>
        </w:tc>
        <w:tc>
          <w:tcPr>
            <w:tcW w:w="36" w:type="dxa"/>
            <w:tcBorders>
              <w:top w:val="nil"/>
              <w:left w:val="nil"/>
              <w:bottom w:val="nil"/>
              <w:right w:val="nil"/>
            </w:tcBorders>
            <w:shd w:val="clear" w:color="auto" w:fill="auto"/>
            <w:noWrap/>
            <w:vAlign w:val="bottom"/>
            <w:hideMark/>
          </w:tcPr>
          <w:p w14:paraId="3307520A" w14:textId="77777777" w:rsidR="005A1399" w:rsidRPr="009A501D" w:rsidRDefault="005A1399" w:rsidP="007F5C1B">
            <w:pPr>
              <w:spacing w:after="0" w:line="240" w:lineRule="auto"/>
              <w:contextualSpacing/>
              <w:jc w:val="center"/>
              <w:rPr>
                <w:rFonts w:ascii="Century Gothic" w:hAnsi="Century Gothic" w:cs="Calibri"/>
                <w:b/>
                <w:bCs/>
                <w:color w:val="000000"/>
                <w:sz w:val="16"/>
                <w:szCs w:val="16"/>
              </w:rPr>
            </w:pPr>
          </w:p>
        </w:tc>
      </w:tr>
      <w:tr w:rsidR="005A1399" w:rsidRPr="009A501D" w14:paraId="1EBE1114" w14:textId="77777777" w:rsidTr="004C2495">
        <w:trPr>
          <w:trHeight w:val="284"/>
          <w:jc w:val="center"/>
        </w:trPr>
        <w:tc>
          <w:tcPr>
            <w:tcW w:w="899" w:type="dxa"/>
            <w:tcBorders>
              <w:top w:val="single" w:sz="4" w:space="0" w:color="auto"/>
              <w:left w:val="single" w:sz="4" w:space="0" w:color="auto"/>
              <w:bottom w:val="nil"/>
              <w:right w:val="nil"/>
            </w:tcBorders>
            <w:shd w:val="clear" w:color="auto" w:fill="F2F2F2" w:themeFill="background1" w:themeFillShade="F2"/>
            <w:noWrap/>
            <w:vAlign w:val="center"/>
            <w:hideMark/>
          </w:tcPr>
          <w:p w14:paraId="35C676C9"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1518" w:type="dxa"/>
            <w:tcBorders>
              <w:top w:val="single" w:sz="4" w:space="0" w:color="auto"/>
              <w:left w:val="nil"/>
              <w:bottom w:val="nil"/>
              <w:right w:val="nil"/>
            </w:tcBorders>
            <w:shd w:val="clear" w:color="auto" w:fill="F2F2F2" w:themeFill="background1" w:themeFillShade="F2"/>
            <w:noWrap/>
            <w:vAlign w:val="center"/>
            <w:hideMark/>
          </w:tcPr>
          <w:p w14:paraId="19C7DA2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single" w:sz="4" w:space="0" w:color="auto"/>
              <w:left w:val="nil"/>
              <w:bottom w:val="nil"/>
              <w:right w:val="single" w:sz="4" w:space="0" w:color="auto"/>
            </w:tcBorders>
            <w:shd w:val="clear" w:color="auto" w:fill="F2F2F2" w:themeFill="background1" w:themeFillShade="F2"/>
            <w:noWrap/>
            <w:vAlign w:val="center"/>
            <w:hideMark/>
          </w:tcPr>
          <w:p w14:paraId="230901E8"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ENDUTIH</w:t>
            </w:r>
          </w:p>
        </w:tc>
        <w:tc>
          <w:tcPr>
            <w:tcW w:w="1057" w:type="dxa"/>
            <w:tcBorders>
              <w:top w:val="single" w:sz="4" w:space="0" w:color="auto"/>
              <w:left w:val="nil"/>
              <w:bottom w:val="nil"/>
              <w:right w:val="nil"/>
            </w:tcBorders>
            <w:shd w:val="clear" w:color="auto" w:fill="F2F2F2" w:themeFill="background1" w:themeFillShade="F2"/>
            <w:noWrap/>
            <w:vAlign w:val="center"/>
            <w:hideMark/>
          </w:tcPr>
          <w:p w14:paraId="2B9ADEC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single" w:sz="4" w:space="0" w:color="auto"/>
              <w:left w:val="nil"/>
              <w:bottom w:val="nil"/>
              <w:right w:val="nil"/>
            </w:tcBorders>
            <w:shd w:val="clear" w:color="auto" w:fill="F2F2F2" w:themeFill="background1" w:themeFillShade="F2"/>
            <w:noWrap/>
            <w:vAlign w:val="center"/>
            <w:hideMark/>
          </w:tcPr>
          <w:p w14:paraId="6F6216D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single" w:sz="4" w:space="0" w:color="auto"/>
              <w:left w:val="nil"/>
              <w:bottom w:val="nil"/>
              <w:right w:val="single" w:sz="4" w:space="0" w:color="auto"/>
            </w:tcBorders>
            <w:shd w:val="clear" w:color="auto" w:fill="F2F2F2" w:themeFill="background1" w:themeFillShade="F2"/>
            <w:noWrap/>
            <w:vAlign w:val="center"/>
            <w:hideMark/>
          </w:tcPr>
          <w:p w14:paraId="2112408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single" w:sz="4" w:space="0" w:color="auto"/>
              <w:left w:val="nil"/>
              <w:bottom w:val="nil"/>
              <w:right w:val="nil"/>
            </w:tcBorders>
            <w:shd w:val="clear" w:color="auto" w:fill="F2F2F2" w:themeFill="background1" w:themeFillShade="F2"/>
            <w:vAlign w:val="center"/>
            <w:hideMark/>
          </w:tcPr>
          <w:p w14:paraId="5442EEA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1 043</w:t>
            </w:r>
          </w:p>
        </w:tc>
        <w:tc>
          <w:tcPr>
            <w:tcW w:w="817" w:type="dxa"/>
            <w:tcBorders>
              <w:top w:val="single" w:sz="4" w:space="0" w:color="auto"/>
              <w:left w:val="nil"/>
              <w:bottom w:val="nil"/>
              <w:right w:val="nil"/>
            </w:tcBorders>
            <w:shd w:val="clear" w:color="auto" w:fill="F2F2F2" w:themeFill="background1" w:themeFillShade="F2"/>
            <w:vAlign w:val="center"/>
            <w:hideMark/>
          </w:tcPr>
          <w:p w14:paraId="26C9AA6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98%</w:t>
            </w:r>
          </w:p>
        </w:tc>
        <w:tc>
          <w:tcPr>
            <w:tcW w:w="658" w:type="dxa"/>
            <w:tcBorders>
              <w:top w:val="single" w:sz="4" w:space="0" w:color="auto"/>
              <w:left w:val="nil"/>
              <w:bottom w:val="nil"/>
              <w:right w:val="single" w:sz="4" w:space="0" w:color="auto"/>
            </w:tcBorders>
            <w:shd w:val="clear" w:color="auto" w:fill="F2F2F2" w:themeFill="background1" w:themeFillShade="F2"/>
            <w:vAlign w:val="center"/>
            <w:hideMark/>
          </w:tcPr>
          <w:p w14:paraId="219AD3F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single" w:sz="4" w:space="0" w:color="auto"/>
              <w:left w:val="nil"/>
              <w:bottom w:val="nil"/>
              <w:right w:val="nil"/>
            </w:tcBorders>
            <w:shd w:val="clear" w:color="auto" w:fill="F2F2F2" w:themeFill="background1" w:themeFillShade="F2"/>
            <w:vAlign w:val="center"/>
            <w:hideMark/>
          </w:tcPr>
          <w:p w14:paraId="4BC2541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273</w:t>
            </w:r>
          </w:p>
        </w:tc>
        <w:tc>
          <w:tcPr>
            <w:tcW w:w="856" w:type="dxa"/>
            <w:tcBorders>
              <w:top w:val="single" w:sz="4" w:space="0" w:color="auto"/>
              <w:left w:val="nil"/>
              <w:bottom w:val="nil"/>
              <w:right w:val="nil"/>
            </w:tcBorders>
            <w:shd w:val="clear" w:color="auto" w:fill="F2F2F2" w:themeFill="background1" w:themeFillShade="F2"/>
            <w:vAlign w:val="center"/>
            <w:hideMark/>
          </w:tcPr>
          <w:p w14:paraId="7920DA6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single" w:sz="4" w:space="0" w:color="auto"/>
              <w:left w:val="nil"/>
              <w:bottom w:val="nil"/>
              <w:right w:val="single" w:sz="4" w:space="0" w:color="auto"/>
            </w:tcBorders>
            <w:shd w:val="clear" w:color="auto" w:fill="F2F2F2" w:themeFill="background1" w:themeFillShade="F2"/>
            <w:vAlign w:val="center"/>
            <w:hideMark/>
          </w:tcPr>
          <w:p w14:paraId="7C66CE3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single" w:sz="4" w:space="0" w:color="auto"/>
              <w:left w:val="nil"/>
              <w:bottom w:val="nil"/>
              <w:right w:val="nil"/>
            </w:tcBorders>
            <w:shd w:val="clear" w:color="auto" w:fill="F2F2F2" w:themeFill="background1" w:themeFillShade="F2"/>
            <w:noWrap/>
            <w:vAlign w:val="center"/>
            <w:hideMark/>
          </w:tcPr>
          <w:p w14:paraId="0F032F6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273</w:t>
            </w:r>
          </w:p>
        </w:tc>
        <w:tc>
          <w:tcPr>
            <w:tcW w:w="857" w:type="dxa"/>
            <w:tcBorders>
              <w:top w:val="single" w:sz="4" w:space="0" w:color="auto"/>
              <w:left w:val="nil"/>
              <w:bottom w:val="nil"/>
              <w:right w:val="nil"/>
            </w:tcBorders>
            <w:shd w:val="clear" w:color="auto" w:fill="F2F2F2" w:themeFill="background1" w:themeFillShade="F2"/>
            <w:noWrap/>
            <w:vAlign w:val="center"/>
            <w:hideMark/>
          </w:tcPr>
          <w:p w14:paraId="083EB7F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single" w:sz="4" w:space="0" w:color="auto"/>
              <w:left w:val="nil"/>
              <w:bottom w:val="nil"/>
              <w:right w:val="single" w:sz="4" w:space="0" w:color="auto"/>
            </w:tcBorders>
            <w:shd w:val="clear" w:color="auto" w:fill="F2F2F2" w:themeFill="background1" w:themeFillShade="F2"/>
            <w:noWrap/>
            <w:vAlign w:val="center"/>
            <w:hideMark/>
          </w:tcPr>
          <w:p w14:paraId="6924835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38D000DE" w14:textId="77777777" w:rsidR="005A1399" w:rsidRPr="009A501D" w:rsidRDefault="005A1399" w:rsidP="007F5C1B">
            <w:pPr>
              <w:spacing w:after="0" w:line="240" w:lineRule="auto"/>
              <w:contextualSpacing/>
              <w:rPr>
                <w:sz w:val="20"/>
                <w:szCs w:val="20"/>
              </w:rPr>
            </w:pPr>
          </w:p>
        </w:tc>
      </w:tr>
      <w:tr w:rsidR="005A1399" w:rsidRPr="009A501D" w14:paraId="05C68E56"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7CA1EA3A"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6AA3BB96"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Decenal</w:t>
            </w:r>
          </w:p>
        </w:tc>
        <w:tc>
          <w:tcPr>
            <w:tcW w:w="999" w:type="dxa"/>
            <w:tcBorders>
              <w:top w:val="nil"/>
              <w:left w:val="nil"/>
              <w:bottom w:val="nil"/>
              <w:right w:val="single" w:sz="4" w:space="0" w:color="auto"/>
            </w:tcBorders>
            <w:shd w:val="clear" w:color="auto" w:fill="auto"/>
            <w:noWrap/>
            <w:vAlign w:val="center"/>
            <w:hideMark/>
          </w:tcPr>
          <w:p w14:paraId="266067E6"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CPV_CA</w:t>
            </w:r>
          </w:p>
        </w:tc>
        <w:tc>
          <w:tcPr>
            <w:tcW w:w="1057" w:type="dxa"/>
            <w:tcBorders>
              <w:top w:val="nil"/>
              <w:left w:val="nil"/>
              <w:bottom w:val="nil"/>
              <w:right w:val="nil"/>
            </w:tcBorders>
            <w:shd w:val="clear" w:color="auto" w:fill="auto"/>
            <w:noWrap/>
            <w:vAlign w:val="center"/>
            <w:hideMark/>
          </w:tcPr>
          <w:p w14:paraId="5B7EA67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24C4064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0F30D73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5FBD062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71A2410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noWrap/>
            <w:vAlign w:val="center"/>
            <w:hideMark/>
          </w:tcPr>
          <w:p w14:paraId="78A5F6E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11FE90E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21830</w:t>
            </w:r>
          </w:p>
        </w:tc>
        <w:tc>
          <w:tcPr>
            <w:tcW w:w="856" w:type="dxa"/>
            <w:tcBorders>
              <w:top w:val="nil"/>
              <w:left w:val="nil"/>
              <w:bottom w:val="nil"/>
              <w:right w:val="nil"/>
            </w:tcBorders>
            <w:shd w:val="clear" w:color="auto" w:fill="auto"/>
            <w:vAlign w:val="center"/>
            <w:hideMark/>
          </w:tcPr>
          <w:p w14:paraId="6E0AC22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92%</w:t>
            </w:r>
          </w:p>
        </w:tc>
        <w:tc>
          <w:tcPr>
            <w:tcW w:w="638" w:type="dxa"/>
            <w:tcBorders>
              <w:top w:val="nil"/>
              <w:left w:val="nil"/>
              <w:bottom w:val="nil"/>
              <w:right w:val="single" w:sz="4" w:space="0" w:color="auto"/>
            </w:tcBorders>
            <w:shd w:val="clear" w:color="auto" w:fill="auto"/>
            <w:vAlign w:val="center"/>
            <w:hideMark/>
          </w:tcPr>
          <w:p w14:paraId="2DC7BEF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w:t>
            </w:r>
          </w:p>
        </w:tc>
        <w:tc>
          <w:tcPr>
            <w:tcW w:w="958" w:type="dxa"/>
            <w:tcBorders>
              <w:top w:val="nil"/>
              <w:left w:val="nil"/>
              <w:bottom w:val="nil"/>
              <w:right w:val="nil"/>
            </w:tcBorders>
            <w:shd w:val="clear" w:color="auto" w:fill="auto"/>
            <w:noWrap/>
            <w:vAlign w:val="center"/>
            <w:hideMark/>
          </w:tcPr>
          <w:p w14:paraId="62F4FCCA"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6B92B808"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76AB054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19F5CD02" w14:textId="77777777" w:rsidR="005A1399" w:rsidRPr="009A501D" w:rsidRDefault="005A1399" w:rsidP="007F5C1B">
            <w:pPr>
              <w:spacing w:after="0" w:line="240" w:lineRule="auto"/>
              <w:contextualSpacing/>
              <w:rPr>
                <w:sz w:val="20"/>
                <w:szCs w:val="20"/>
              </w:rPr>
            </w:pPr>
          </w:p>
        </w:tc>
      </w:tr>
      <w:tr w:rsidR="005A1399" w:rsidRPr="009A501D" w14:paraId="10442AA0" w14:textId="77777777" w:rsidTr="004C2495">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2D4F2D1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5181BFDE"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Sexenal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79AA92CB"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ENSANUT</w:t>
            </w:r>
          </w:p>
        </w:tc>
        <w:tc>
          <w:tcPr>
            <w:tcW w:w="1057" w:type="dxa"/>
            <w:tcBorders>
              <w:top w:val="nil"/>
              <w:left w:val="nil"/>
              <w:bottom w:val="nil"/>
              <w:right w:val="nil"/>
            </w:tcBorders>
            <w:shd w:val="clear" w:color="auto" w:fill="F2F2F2" w:themeFill="background1" w:themeFillShade="F2"/>
            <w:noWrap/>
            <w:vAlign w:val="center"/>
            <w:hideMark/>
          </w:tcPr>
          <w:p w14:paraId="1FCE6C3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4D1A0DD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7B91A9B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vAlign w:val="center"/>
            <w:hideMark/>
          </w:tcPr>
          <w:p w14:paraId="1E2A10E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vAlign w:val="center"/>
            <w:hideMark/>
          </w:tcPr>
          <w:p w14:paraId="4ED6516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vAlign w:val="center"/>
            <w:hideMark/>
          </w:tcPr>
          <w:p w14:paraId="0EFD586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283415B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713117B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0366CCD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19CC874F"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566F8E35"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10AF5D0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32916E60" w14:textId="77777777" w:rsidR="005A1399" w:rsidRPr="009A501D" w:rsidRDefault="005A1399" w:rsidP="007F5C1B">
            <w:pPr>
              <w:spacing w:after="0" w:line="240" w:lineRule="auto"/>
              <w:contextualSpacing/>
              <w:rPr>
                <w:sz w:val="20"/>
                <w:szCs w:val="20"/>
              </w:rPr>
            </w:pPr>
          </w:p>
        </w:tc>
      </w:tr>
      <w:tr w:rsidR="005A1399" w:rsidRPr="009A501D" w14:paraId="380F98D0"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2223F61F"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58A5CD5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Quinquenal</w:t>
            </w:r>
          </w:p>
        </w:tc>
        <w:tc>
          <w:tcPr>
            <w:tcW w:w="999" w:type="dxa"/>
            <w:tcBorders>
              <w:top w:val="nil"/>
              <w:left w:val="nil"/>
              <w:bottom w:val="nil"/>
              <w:right w:val="single" w:sz="4" w:space="0" w:color="auto"/>
            </w:tcBorders>
            <w:shd w:val="clear" w:color="auto" w:fill="auto"/>
            <w:noWrap/>
            <w:vAlign w:val="center"/>
            <w:hideMark/>
          </w:tcPr>
          <w:p w14:paraId="6BC45B46"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ENUT</w:t>
            </w:r>
          </w:p>
        </w:tc>
        <w:tc>
          <w:tcPr>
            <w:tcW w:w="1057" w:type="dxa"/>
            <w:tcBorders>
              <w:top w:val="nil"/>
              <w:left w:val="nil"/>
              <w:bottom w:val="nil"/>
              <w:right w:val="nil"/>
            </w:tcBorders>
            <w:shd w:val="clear" w:color="auto" w:fill="auto"/>
            <w:noWrap/>
            <w:vAlign w:val="center"/>
            <w:hideMark/>
          </w:tcPr>
          <w:p w14:paraId="66EE7B3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65FB129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6C057B4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vAlign w:val="center"/>
            <w:hideMark/>
          </w:tcPr>
          <w:p w14:paraId="2958459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vAlign w:val="center"/>
            <w:hideMark/>
          </w:tcPr>
          <w:p w14:paraId="3A736FA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vAlign w:val="center"/>
            <w:hideMark/>
          </w:tcPr>
          <w:p w14:paraId="798E33E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5F6AED0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auto"/>
            <w:vAlign w:val="center"/>
            <w:hideMark/>
          </w:tcPr>
          <w:p w14:paraId="24140EF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vAlign w:val="center"/>
            <w:hideMark/>
          </w:tcPr>
          <w:p w14:paraId="308F096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auto"/>
            <w:noWrap/>
            <w:vAlign w:val="center"/>
            <w:hideMark/>
          </w:tcPr>
          <w:p w14:paraId="7A677413"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6DDCF2B0"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5057387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3D1DB759" w14:textId="77777777" w:rsidR="005A1399" w:rsidRPr="009A501D" w:rsidRDefault="005A1399" w:rsidP="007F5C1B">
            <w:pPr>
              <w:spacing w:after="0" w:line="240" w:lineRule="auto"/>
              <w:contextualSpacing/>
              <w:rPr>
                <w:sz w:val="20"/>
                <w:szCs w:val="20"/>
              </w:rPr>
            </w:pPr>
          </w:p>
        </w:tc>
      </w:tr>
      <w:tr w:rsidR="005A1399" w:rsidRPr="009A501D" w14:paraId="13F87070" w14:textId="77777777" w:rsidTr="004C2495">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49664857"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73F2173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297131C9"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ENASEM</w:t>
            </w:r>
          </w:p>
        </w:tc>
        <w:tc>
          <w:tcPr>
            <w:tcW w:w="1057" w:type="dxa"/>
            <w:tcBorders>
              <w:top w:val="nil"/>
              <w:left w:val="nil"/>
              <w:bottom w:val="nil"/>
              <w:right w:val="nil"/>
            </w:tcBorders>
            <w:shd w:val="clear" w:color="auto" w:fill="F2F2F2" w:themeFill="background1" w:themeFillShade="F2"/>
            <w:noWrap/>
            <w:vAlign w:val="center"/>
            <w:hideMark/>
          </w:tcPr>
          <w:p w14:paraId="768FA44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7F9E948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01B503B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vAlign w:val="center"/>
            <w:hideMark/>
          </w:tcPr>
          <w:p w14:paraId="185D5DE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vAlign w:val="center"/>
            <w:hideMark/>
          </w:tcPr>
          <w:p w14:paraId="50E729A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vAlign w:val="center"/>
            <w:hideMark/>
          </w:tcPr>
          <w:p w14:paraId="4F35BCE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5B9C4CC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163A088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4B659FD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14B11C66"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699B381D"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02C4A02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4C41D0EA" w14:textId="77777777" w:rsidR="005A1399" w:rsidRPr="009A501D" w:rsidRDefault="005A1399" w:rsidP="007F5C1B">
            <w:pPr>
              <w:spacing w:after="0" w:line="240" w:lineRule="auto"/>
              <w:contextualSpacing/>
              <w:rPr>
                <w:sz w:val="20"/>
                <w:szCs w:val="20"/>
              </w:rPr>
            </w:pPr>
          </w:p>
        </w:tc>
      </w:tr>
      <w:tr w:rsidR="005A1399" w:rsidRPr="009A501D" w14:paraId="6EAD4962"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3CFE317C"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7EBD2FBE"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999" w:type="dxa"/>
            <w:tcBorders>
              <w:top w:val="nil"/>
              <w:left w:val="nil"/>
              <w:bottom w:val="nil"/>
              <w:right w:val="single" w:sz="4" w:space="0" w:color="auto"/>
            </w:tcBorders>
            <w:shd w:val="clear" w:color="auto" w:fill="auto"/>
            <w:noWrap/>
            <w:vAlign w:val="center"/>
            <w:hideMark/>
          </w:tcPr>
          <w:p w14:paraId="3ADD9A17"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ENIF</w:t>
            </w:r>
          </w:p>
        </w:tc>
        <w:tc>
          <w:tcPr>
            <w:tcW w:w="1057" w:type="dxa"/>
            <w:tcBorders>
              <w:top w:val="nil"/>
              <w:left w:val="nil"/>
              <w:bottom w:val="nil"/>
              <w:right w:val="nil"/>
            </w:tcBorders>
            <w:shd w:val="clear" w:color="auto" w:fill="auto"/>
            <w:noWrap/>
            <w:vAlign w:val="center"/>
            <w:hideMark/>
          </w:tcPr>
          <w:p w14:paraId="626D26D1"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auto"/>
            <w:noWrap/>
            <w:vAlign w:val="center"/>
            <w:hideMark/>
          </w:tcPr>
          <w:p w14:paraId="1076FE30"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auto"/>
            <w:noWrap/>
            <w:vAlign w:val="center"/>
            <w:hideMark/>
          </w:tcPr>
          <w:p w14:paraId="40023E3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auto"/>
            <w:vAlign w:val="center"/>
            <w:hideMark/>
          </w:tcPr>
          <w:p w14:paraId="311AC35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17" w:type="dxa"/>
            <w:tcBorders>
              <w:top w:val="nil"/>
              <w:left w:val="nil"/>
              <w:bottom w:val="nil"/>
              <w:right w:val="nil"/>
            </w:tcBorders>
            <w:shd w:val="clear" w:color="auto" w:fill="auto"/>
            <w:vAlign w:val="center"/>
            <w:hideMark/>
          </w:tcPr>
          <w:p w14:paraId="6AC3B86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auto"/>
            <w:vAlign w:val="center"/>
            <w:hideMark/>
          </w:tcPr>
          <w:p w14:paraId="7185B67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31B68AF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auto"/>
            <w:vAlign w:val="center"/>
            <w:hideMark/>
          </w:tcPr>
          <w:p w14:paraId="42FCF59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vAlign w:val="center"/>
            <w:hideMark/>
          </w:tcPr>
          <w:p w14:paraId="7D65E0D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auto"/>
            <w:noWrap/>
            <w:vAlign w:val="center"/>
            <w:hideMark/>
          </w:tcPr>
          <w:p w14:paraId="486E98A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57" w:type="dxa"/>
            <w:tcBorders>
              <w:top w:val="nil"/>
              <w:left w:val="nil"/>
              <w:bottom w:val="nil"/>
              <w:right w:val="nil"/>
            </w:tcBorders>
            <w:shd w:val="clear" w:color="auto" w:fill="auto"/>
            <w:noWrap/>
            <w:vAlign w:val="center"/>
            <w:hideMark/>
          </w:tcPr>
          <w:p w14:paraId="55E319B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045E02D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259F6332" w14:textId="77777777" w:rsidR="005A1399" w:rsidRPr="009A501D" w:rsidRDefault="005A1399" w:rsidP="007F5C1B">
            <w:pPr>
              <w:spacing w:after="0" w:line="240" w:lineRule="auto"/>
              <w:contextualSpacing/>
              <w:rPr>
                <w:sz w:val="20"/>
                <w:szCs w:val="20"/>
              </w:rPr>
            </w:pPr>
          </w:p>
        </w:tc>
      </w:tr>
      <w:tr w:rsidR="005A1399" w:rsidRPr="009A501D" w14:paraId="4BD5B3CF" w14:textId="77777777" w:rsidTr="004C2495">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08E514B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57594BEF"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Bianual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17C2EF49"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ENBIARE</w:t>
            </w:r>
          </w:p>
        </w:tc>
        <w:tc>
          <w:tcPr>
            <w:tcW w:w="1057" w:type="dxa"/>
            <w:tcBorders>
              <w:top w:val="nil"/>
              <w:left w:val="nil"/>
              <w:bottom w:val="nil"/>
              <w:right w:val="nil"/>
            </w:tcBorders>
            <w:shd w:val="clear" w:color="auto" w:fill="F2F2F2" w:themeFill="background1" w:themeFillShade="F2"/>
            <w:noWrap/>
            <w:vAlign w:val="center"/>
            <w:hideMark/>
          </w:tcPr>
          <w:p w14:paraId="2C6286B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5AD78B2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1A021B2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5DD7912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31E8B95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481C456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7FA0779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33</w:t>
            </w:r>
          </w:p>
        </w:tc>
        <w:tc>
          <w:tcPr>
            <w:tcW w:w="856" w:type="dxa"/>
            <w:tcBorders>
              <w:top w:val="nil"/>
              <w:left w:val="nil"/>
              <w:bottom w:val="nil"/>
              <w:right w:val="nil"/>
            </w:tcBorders>
            <w:shd w:val="clear" w:color="auto" w:fill="F2F2F2" w:themeFill="background1" w:themeFillShade="F2"/>
            <w:vAlign w:val="center"/>
            <w:hideMark/>
          </w:tcPr>
          <w:p w14:paraId="4A187B2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F2F2F2" w:themeFill="background1" w:themeFillShade="F2"/>
            <w:vAlign w:val="center"/>
            <w:hideMark/>
          </w:tcPr>
          <w:p w14:paraId="283A447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5E6252C3"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7D0DFD7E"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1CC2D83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79EE7399" w14:textId="77777777" w:rsidR="005A1399" w:rsidRPr="009A501D" w:rsidRDefault="005A1399" w:rsidP="007F5C1B">
            <w:pPr>
              <w:spacing w:after="0" w:line="240" w:lineRule="auto"/>
              <w:contextualSpacing/>
              <w:rPr>
                <w:sz w:val="20"/>
                <w:szCs w:val="20"/>
              </w:rPr>
            </w:pPr>
          </w:p>
        </w:tc>
      </w:tr>
      <w:tr w:rsidR="005A1399" w:rsidRPr="009A501D" w14:paraId="65F14199"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605FF68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5C8142DA"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Bianual</w:t>
            </w:r>
          </w:p>
        </w:tc>
        <w:tc>
          <w:tcPr>
            <w:tcW w:w="999" w:type="dxa"/>
            <w:tcBorders>
              <w:top w:val="nil"/>
              <w:left w:val="nil"/>
              <w:bottom w:val="nil"/>
              <w:right w:val="single" w:sz="4" w:space="0" w:color="auto"/>
            </w:tcBorders>
            <w:shd w:val="clear" w:color="auto" w:fill="auto"/>
            <w:noWrap/>
            <w:vAlign w:val="center"/>
            <w:hideMark/>
          </w:tcPr>
          <w:p w14:paraId="65EE8CAB"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ENIGH_T</w:t>
            </w:r>
          </w:p>
        </w:tc>
        <w:tc>
          <w:tcPr>
            <w:tcW w:w="1057" w:type="dxa"/>
            <w:tcBorders>
              <w:top w:val="nil"/>
              <w:left w:val="nil"/>
              <w:bottom w:val="nil"/>
              <w:right w:val="nil"/>
            </w:tcBorders>
            <w:shd w:val="clear" w:color="auto" w:fill="auto"/>
            <w:noWrap/>
            <w:vAlign w:val="center"/>
            <w:hideMark/>
          </w:tcPr>
          <w:p w14:paraId="0B97766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4CA6380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1FC0C3A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411FC13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198</w:t>
            </w:r>
          </w:p>
        </w:tc>
        <w:tc>
          <w:tcPr>
            <w:tcW w:w="817" w:type="dxa"/>
            <w:tcBorders>
              <w:top w:val="nil"/>
              <w:left w:val="nil"/>
              <w:bottom w:val="nil"/>
              <w:right w:val="nil"/>
            </w:tcBorders>
            <w:shd w:val="clear" w:color="auto" w:fill="auto"/>
            <w:noWrap/>
            <w:vAlign w:val="center"/>
            <w:hideMark/>
          </w:tcPr>
          <w:p w14:paraId="7A43BD4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658" w:type="dxa"/>
            <w:tcBorders>
              <w:top w:val="nil"/>
              <w:left w:val="nil"/>
              <w:bottom w:val="nil"/>
              <w:right w:val="single" w:sz="4" w:space="0" w:color="auto"/>
            </w:tcBorders>
            <w:shd w:val="clear" w:color="auto" w:fill="auto"/>
            <w:noWrap/>
            <w:vAlign w:val="center"/>
            <w:hideMark/>
          </w:tcPr>
          <w:p w14:paraId="13C25C3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2259503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198</w:t>
            </w:r>
          </w:p>
        </w:tc>
        <w:tc>
          <w:tcPr>
            <w:tcW w:w="856" w:type="dxa"/>
            <w:tcBorders>
              <w:top w:val="nil"/>
              <w:left w:val="nil"/>
              <w:bottom w:val="nil"/>
              <w:right w:val="nil"/>
            </w:tcBorders>
            <w:shd w:val="clear" w:color="auto" w:fill="auto"/>
            <w:vAlign w:val="center"/>
            <w:hideMark/>
          </w:tcPr>
          <w:p w14:paraId="5767802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638" w:type="dxa"/>
            <w:tcBorders>
              <w:top w:val="nil"/>
              <w:left w:val="nil"/>
              <w:bottom w:val="nil"/>
              <w:right w:val="single" w:sz="4" w:space="0" w:color="auto"/>
            </w:tcBorders>
            <w:shd w:val="clear" w:color="auto" w:fill="auto"/>
            <w:vAlign w:val="center"/>
            <w:hideMark/>
          </w:tcPr>
          <w:p w14:paraId="38AC7C7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4C3087D9"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7CD871C3"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16912F3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5ACC2D43" w14:textId="77777777" w:rsidR="005A1399" w:rsidRPr="009A501D" w:rsidRDefault="005A1399" w:rsidP="007F5C1B">
            <w:pPr>
              <w:spacing w:after="0" w:line="240" w:lineRule="auto"/>
              <w:contextualSpacing/>
              <w:rPr>
                <w:sz w:val="20"/>
                <w:szCs w:val="20"/>
              </w:rPr>
            </w:pPr>
          </w:p>
        </w:tc>
      </w:tr>
      <w:tr w:rsidR="005A1399" w:rsidRPr="009A501D" w14:paraId="72BB1495" w14:textId="77777777" w:rsidTr="004C2495">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736E77C0"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6FF4F38A"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232FD977"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ENH</w:t>
            </w:r>
          </w:p>
        </w:tc>
        <w:tc>
          <w:tcPr>
            <w:tcW w:w="1057" w:type="dxa"/>
            <w:tcBorders>
              <w:top w:val="nil"/>
              <w:left w:val="nil"/>
              <w:bottom w:val="nil"/>
              <w:right w:val="nil"/>
            </w:tcBorders>
            <w:shd w:val="clear" w:color="auto" w:fill="F2F2F2" w:themeFill="background1" w:themeFillShade="F2"/>
            <w:noWrap/>
            <w:vAlign w:val="center"/>
            <w:hideMark/>
          </w:tcPr>
          <w:p w14:paraId="7DB66618"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F2F2F2" w:themeFill="background1" w:themeFillShade="F2"/>
            <w:noWrap/>
            <w:vAlign w:val="center"/>
            <w:hideMark/>
          </w:tcPr>
          <w:p w14:paraId="5977ABF1"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F0C14E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F2F2F2" w:themeFill="background1" w:themeFillShade="F2"/>
            <w:vAlign w:val="center"/>
            <w:hideMark/>
          </w:tcPr>
          <w:p w14:paraId="6D8A4E9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17" w:type="dxa"/>
            <w:tcBorders>
              <w:top w:val="nil"/>
              <w:left w:val="nil"/>
              <w:bottom w:val="nil"/>
              <w:right w:val="nil"/>
            </w:tcBorders>
            <w:shd w:val="clear" w:color="auto" w:fill="F2F2F2" w:themeFill="background1" w:themeFillShade="F2"/>
            <w:vAlign w:val="center"/>
            <w:hideMark/>
          </w:tcPr>
          <w:p w14:paraId="6DF5AF9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F2F2F2" w:themeFill="background1" w:themeFillShade="F2"/>
            <w:vAlign w:val="center"/>
            <w:hideMark/>
          </w:tcPr>
          <w:p w14:paraId="055D879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F2F2F2" w:themeFill="background1" w:themeFillShade="F2"/>
            <w:vAlign w:val="center"/>
            <w:hideMark/>
          </w:tcPr>
          <w:p w14:paraId="7026DEE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1E422F3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6C1A2F0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438A84B8"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34125FC9"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3FF16CC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2BE7B297" w14:textId="77777777" w:rsidR="005A1399" w:rsidRPr="009A501D" w:rsidRDefault="005A1399" w:rsidP="007F5C1B">
            <w:pPr>
              <w:spacing w:after="0" w:line="240" w:lineRule="auto"/>
              <w:contextualSpacing/>
              <w:rPr>
                <w:sz w:val="20"/>
                <w:szCs w:val="20"/>
              </w:rPr>
            </w:pPr>
          </w:p>
        </w:tc>
      </w:tr>
      <w:tr w:rsidR="005A1399" w:rsidRPr="009A501D" w14:paraId="7F25B72E"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0E118E2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5286D837"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auto"/>
            <w:noWrap/>
            <w:vAlign w:val="center"/>
            <w:hideMark/>
          </w:tcPr>
          <w:p w14:paraId="1A21875B"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MODECULT</w:t>
            </w:r>
          </w:p>
        </w:tc>
        <w:tc>
          <w:tcPr>
            <w:tcW w:w="1057" w:type="dxa"/>
            <w:tcBorders>
              <w:top w:val="nil"/>
              <w:left w:val="nil"/>
              <w:bottom w:val="nil"/>
              <w:right w:val="nil"/>
            </w:tcBorders>
            <w:shd w:val="clear" w:color="auto" w:fill="auto"/>
            <w:noWrap/>
            <w:vAlign w:val="center"/>
            <w:hideMark/>
          </w:tcPr>
          <w:p w14:paraId="13526B9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5BF5C51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7E97B3C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vAlign w:val="center"/>
            <w:hideMark/>
          </w:tcPr>
          <w:p w14:paraId="1CD9267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13</w:t>
            </w:r>
          </w:p>
        </w:tc>
        <w:tc>
          <w:tcPr>
            <w:tcW w:w="817" w:type="dxa"/>
            <w:tcBorders>
              <w:top w:val="nil"/>
              <w:left w:val="nil"/>
              <w:bottom w:val="nil"/>
              <w:right w:val="nil"/>
            </w:tcBorders>
            <w:shd w:val="clear" w:color="auto" w:fill="auto"/>
            <w:vAlign w:val="center"/>
            <w:hideMark/>
          </w:tcPr>
          <w:p w14:paraId="51A4CA2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auto"/>
            <w:vAlign w:val="center"/>
            <w:hideMark/>
          </w:tcPr>
          <w:p w14:paraId="39EBA20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1FB4471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5</w:t>
            </w:r>
          </w:p>
        </w:tc>
        <w:tc>
          <w:tcPr>
            <w:tcW w:w="856" w:type="dxa"/>
            <w:tcBorders>
              <w:top w:val="nil"/>
              <w:left w:val="nil"/>
              <w:bottom w:val="nil"/>
              <w:right w:val="nil"/>
            </w:tcBorders>
            <w:shd w:val="clear" w:color="auto" w:fill="auto"/>
            <w:vAlign w:val="center"/>
            <w:hideMark/>
          </w:tcPr>
          <w:p w14:paraId="621898B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60%</w:t>
            </w:r>
          </w:p>
        </w:tc>
        <w:tc>
          <w:tcPr>
            <w:tcW w:w="638" w:type="dxa"/>
            <w:tcBorders>
              <w:top w:val="nil"/>
              <w:left w:val="nil"/>
              <w:bottom w:val="nil"/>
              <w:right w:val="single" w:sz="4" w:space="0" w:color="auto"/>
            </w:tcBorders>
            <w:shd w:val="clear" w:color="auto" w:fill="auto"/>
            <w:vAlign w:val="center"/>
            <w:hideMark/>
          </w:tcPr>
          <w:p w14:paraId="64A8AB3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35BDDA1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5</w:t>
            </w:r>
          </w:p>
        </w:tc>
        <w:tc>
          <w:tcPr>
            <w:tcW w:w="857" w:type="dxa"/>
            <w:tcBorders>
              <w:top w:val="nil"/>
              <w:left w:val="nil"/>
              <w:bottom w:val="nil"/>
              <w:right w:val="nil"/>
            </w:tcBorders>
            <w:shd w:val="clear" w:color="auto" w:fill="auto"/>
            <w:noWrap/>
            <w:vAlign w:val="center"/>
            <w:hideMark/>
          </w:tcPr>
          <w:p w14:paraId="4F646E2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5AE2F18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4F580787" w14:textId="77777777" w:rsidR="005A1399" w:rsidRPr="009A501D" w:rsidRDefault="005A1399" w:rsidP="007F5C1B">
            <w:pPr>
              <w:spacing w:after="0" w:line="240" w:lineRule="auto"/>
              <w:contextualSpacing/>
              <w:rPr>
                <w:sz w:val="20"/>
                <w:szCs w:val="20"/>
              </w:rPr>
            </w:pPr>
          </w:p>
        </w:tc>
      </w:tr>
      <w:tr w:rsidR="005A1399" w:rsidRPr="009A501D" w14:paraId="3A1B7A84" w14:textId="77777777" w:rsidTr="004C2495">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64F16A8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1C91936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17D039F3"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MOLEC</w:t>
            </w:r>
          </w:p>
        </w:tc>
        <w:tc>
          <w:tcPr>
            <w:tcW w:w="1057" w:type="dxa"/>
            <w:tcBorders>
              <w:top w:val="nil"/>
              <w:left w:val="nil"/>
              <w:bottom w:val="nil"/>
              <w:right w:val="nil"/>
            </w:tcBorders>
            <w:shd w:val="clear" w:color="auto" w:fill="F2F2F2" w:themeFill="background1" w:themeFillShade="F2"/>
            <w:noWrap/>
            <w:vAlign w:val="center"/>
            <w:hideMark/>
          </w:tcPr>
          <w:p w14:paraId="2A4BD1D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39BE895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DA78CB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vAlign w:val="center"/>
            <w:hideMark/>
          </w:tcPr>
          <w:p w14:paraId="7FCE5EE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w:t>
            </w:r>
          </w:p>
        </w:tc>
        <w:tc>
          <w:tcPr>
            <w:tcW w:w="817" w:type="dxa"/>
            <w:tcBorders>
              <w:top w:val="nil"/>
              <w:left w:val="nil"/>
              <w:bottom w:val="nil"/>
              <w:right w:val="nil"/>
            </w:tcBorders>
            <w:shd w:val="clear" w:color="auto" w:fill="F2F2F2" w:themeFill="background1" w:themeFillShade="F2"/>
            <w:vAlign w:val="center"/>
            <w:hideMark/>
          </w:tcPr>
          <w:p w14:paraId="2B1CECD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F2F2F2" w:themeFill="background1" w:themeFillShade="F2"/>
            <w:vAlign w:val="center"/>
            <w:hideMark/>
          </w:tcPr>
          <w:p w14:paraId="0FB6AAE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F2F2F2" w:themeFill="background1" w:themeFillShade="F2"/>
            <w:vAlign w:val="center"/>
            <w:hideMark/>
          </w:tcPr>
          <w:p w14:paraId="6DC64B1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856" w:type="dxa"/>
            <w:tcBorders>
              <w:top w:val="nil"/>
              <w:left w:val="nil"/>
              <w:bottom w:val="nil"/>
              <w:right w:val="nil"/>
            </w:tcBorders>
            <w:shd w:val="clear" w:color="auto" w:fill="F2F2F2" w:themeFill="background1" w:themeFillShade="F2"/>
            <w:vAlign w:val="center"/>
            <w:hideMark/>
          </w:tcPr>
          <w:p w14:paraId="6B3C550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F2F2F2" w:themeFill="background1" w:themeFillShade="F2"/>
            <w:vAlign w:val="center"/>
            <w:hideMark/>
          </w:tcPr>
          <w:p w14:paraId="0497B28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4AA7F68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857" w:type="dxa"/>
            <w:tcBorders>
              <w:top w:val="nil"/>
              <w:left w:val="nil"/>
              <w:bottom w:val="nil"/>
              <w:right w:val="nil"/>
            </w:tcBorders>
            <w:shd w:val="clear" w:color="auto" w:fill="F2F2F2" w:themeFill="background1" w:themeFillShade="F2"/>
            <w:noWrap/>
            <w:vAlign w:val="center"/>
            <w:hideMark/>
          </w:tcPr>
          <w:p w14:paraId="28A94F9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025F36B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19C1C7D2" w14:textId="77777777" w:rsidR="005A1399" w:rsidRPr="009A501D" w:rsidRDefault="005A1399" w:rsidP="007F5C1B">
            <w:pPr>
              <w:spacing w:after="0" w:line="240" w:lineRule="auto"/>
              <w:contextualSpacing/>
              <w:rPr>
                <w:sz w:val="20"/>
                <w:szCs w:val="20"/>
              </w:rPr>
            </w:pPr>
          </w:p>
        </w:tc>
      </w:tr>
      <w:tr w:rsidR="005A1399" w:rsidRPr="009A501D" w14:paraId="241FF857"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4B37DF69"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3982A79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auto"/>
            <w:noWrap/>
            <w:vAlign w:val="center"/>
            <w:hideMark/>
          </w:tcPr>
          <w:p w14:paraId="64645400"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MOPRADEF</w:t>
            </w:r>
          </w:p>
        </w:tc>
        <w:tc>
          <w:tcPr>
            <w:tcW w:w="1057" w:type="dxa"/>
            <w:tcBorders>
              <w:top w:val="nil"/>
              <w:left w:val="nil"/>
              <w:bottom w:val="nil"/>
              <w:right w:val="nil"/>
            </w:tcBorders>
            <w:shd w:val="clear" w:color="auto" w:fill="auto"/>
            <w:noWrap/>
            <w:vAlign w:val="center"/>
            <w:hideMark/>
          </w:tcPr>
          <w:p w14:paraId="77F75F6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6814300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6984A57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20CC7CE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17" w:type="dxa"/>
            <w:tcBorders>
              <w:top w:val="nil"/>
              <w:left w:val="nil"/>
              <w:bottom w:val="nil"/>
              <w:right w:val="nil"/>
            </w:tcBorders>
            <w:shd w:val="clear" w:color="auto" w:fill="auto"/>
            <w:noWrap/>
            <w:vAlign w:val="center"/>
            <w:hideMark/>
          </w:tcPr>
          <w:p w14:paraId="5FE180D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auto"/>
            <w:noWrap/>
            <w:vAlign w:val="center"/>
            <w:hideMark/>
          </w:tcPr>
          <w:p w14:paraId="6919864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13417CD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56" w:type="dxa"/>
            <w:tcBorders>
              <w:top w:val="nil"/>
              <w:left w:val="nil"/>
              <w:bottom w:val="nil"/>
              <w:right w:val="nil"/>
            </w:tcBorders>
            <w:shd w:val="clear" w:color="auto" w:fill="auto"/>
            <w:vAlign w:val="center"/>
            <w:hideMark/>
          </w:tcPr>
          <w:p w14:paraId="525FAB5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vAlign w:val="center"/>
            <w:hideMark/>
          </w:tcPr>
          <w:p w14:paraId="3B3CCA8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2633419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57" w:type="dxa"/>
            <w:tcBorders>
              <w:top w:val="nil"/>
              <w:left w:val="nil"/>
              <w:bottom w:val="nil"/>
              <w:right w:val="nil"/>
            </w:tcBorders>
            <w:shd w:val="clear" w:color="auto" w:fill="auto"/>
            <w:noWrap/>
            <w:vAlign w:val="center"/>
            <w:hideMark/>
          </w:tcPr>
          <w:p w14:paraId="17670FF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67DBA09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6FAB927F" w14:textId="77777777" w:rsidR="005A1399" w:rsidRPr="009A501D" w:rsidRDefault="005A1399" w:rsidP="007F5C1B">
            <w:pPr>
              <w:spacing w:after="0" w:line="240" w:lineRule="auto"/>
              <w:contextualSpacing/>
              <w:rPr>
                <w:sz w:val="20"/>
                <w:szCs w:val="20"/>
              </w:rPr>
            </w:pPr>
          </w:p>
        </w:tc>
      </w:tr>
      <w:tr w:rsidR="005A1399" w:rsidRPr="009A501D" w14:paraId="2E43B93A"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7986F226"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lastRenderedPageBreak/>
              <w:t>DGES</w:t>
            </w:r>
          </w:p>
        </w:tc>
        <w:tc>
          <w:tcPr>
            <w:tcW w:w="1518" w:type="dxa"/>
            <w:tcBorders>
              <w:top w:val="nil"/>
              <w:left w:val="nil"/>
              <w:bottom w:val="nil"/>
              <w:right w:val="nil"/>
            </w:tcBorders>
            <w:shd w:val="clear" w:color="auto" w:fill="F2F2F2" w:themeFill="background1" w:themeFillShade="F2"/>
            <w:noWrap/>
            <w:vAlign w:val="center"/>
            <w:hideMark/>
          </w:tcPr>
          <w:p w14:paraId="4904A61F"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5265D917"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BIARE</w:t>
            </w:r>
          </w:p>
        </w:tc>
        <w:tc>
          <w:tcPr>
            <w:tcW w:w="1057" w:type="dxa"/>
            <w:tcBorders>
              <w:top w:val="nil"/>
              <w:left w:val="nil"/>
              <w:bottom w:val="nil"/>
              <w:right w:val="nil"/>
            </w:tcBorders>
            <w:shd w:val="clear" w:color="auto" w:fill="F2F2F2" w:themeFill="background1" w:themeFillShade="F2"/>
            <w:noWrap/>
            <w:vAlign w:val="center"/>
            <w:hideMark/>
          </w:tcPr>
          <w:p w14:paraId="28461B6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2496F6C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4E86AD8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1FBCD1F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817" w:type="dxa"/>
            <w:tcBorders>
              <w:top w:val="nil"/>
              <w:left w:val="nil"/>
              <w:bottom w:val="nil"/>
              <w:right w:val="nil"/>
            </w:tcBorders>
            <w:shd w:val="clear" w:color="auto" w:fill="F2F2F2" w:themeFill="background1" w:themeFillShade="F2"/>
            <w:noWrap/>
            <w:vAlign w:val="center"/>
            <w:hideMark/>
          </w:tcPr>
          <w:p w14:paraId="29CFBF1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21E3488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F2F2F2" w:themeFill="background1" w:themeFillShade="F2"/>
            <w:vAlign w:val="center"/>
            <w:hideMark/>
          </w:tcPr>
          <w:p w14:paraId="27611A3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3</w:t>
            </w:r>
          </w:p>
        </w:tc>
        <w:tc>
          <w:tcPr>
            <w:tcW w:w="856" w:type="dxa"/>
            <w:tcBorders>
              <w:top w:val="nil"/>
              <w:left w:val="nil"/>
              <w:bottom w:val="nil"/>
              <w:right w:val="nil"/>
            </w:tcBorders>
            <w:shd w:val="clear" w:color="auto" w:fill="F2F2F2" w:themeFill="background1" w:themeFillShade="F2"/>
            <w:vAlign w:val="center"/>
            <w:hideMark/>
          </w:tcPr>
          <w:p w14:paraId="5338516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F2F2F2" w:themeFill="background1" w:themeFillShade="F2"/>
            <w:vAlign w:val="center"/>
            <w:hideMark/>
          </w:tcPr>
          <w:p w14:paraId="3298B67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279BB97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4</w:t>
            </w:r>
          </w:p>
        </w:tc>
        <w:tc>
          <w:tcPr>
            <w:tcW w:w="857" w:type="dxa"/>
            <w:tcBorders>
              <w:top w:val="nil"/>
              <w:left w:val="nil"/>
              <w:bottom w:val="nil"/>
              <w:right w:val="nil"/>
            </w:tcBorders>
            <w:shd w:val="clear" w:color="auto" w:fill="F2F2F2" w:themeFill="background1" w:themeFillShade="F2"/>
            <w:noWrap/>
            <w:vAlign w:val="center"/>
            <w:hideMark/>
          </w:tcPr>
          <w:p w14:paraId="1C2798E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3620802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17E1032E" w14:textId="77777777" w:rsidR="005A1399" w:rsidRPr="009A501D" w:rsidRDefault="005A1399" w:rsidP="007F5C1B">
            <w:pPr>
              <w:spacing w:after="0" w:line="240" w:lineRule="auto"/>
              <w:contextualSpacing/>
              <w:rPr>
                <w:sz w:val="20"/>
                <w:szCs w:val="20"/>
              </w:rPr>
            </w:pPr>
          </w:p>
        </w:tc>
      </w:tr>
      <w:tr w:rsidR="005A1399" w:rsidRPr="009A501D" w14:paraId="219E769C"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7725C4C7"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7EFAF6E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999" w:type="dxa"/>
            <w:tcBorders>
              <w:top w:val="nil"/>
              <w:left w:val="nil"/>
              <w:bottom w:val="nil"/>
              <w:right w:val="single" w:sz="4" w:space="0" w:color="auto"/>
            </w:tcBorders>
            <w:shd w:val="clear" w:color="auto" w:fill="auto"/>
            <w:noWrap/>
            <w:vAlign w:val="center"/>
            <w:hideMark/>
          </w:tcPr>
          <w:p w14:paraId="7CDF22C8"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ENIGH_E</w:t>
            </w:r>
          </w:p>
        </w:tc>
        <w:tc>
          <w:tcPr>
            <w:tcW w:w="1057" w:type="dxa"/>
            <w:tcBorders>
              <w:top w:val="nil"/>
              <w:left w:val="nil"/>
              <w:bottom w:val="nil"/>
              <w:right w:val="nil"/>
            </w:tcBorders>
            <w:shd w:val="clear" w:color="auto" w:fill="auto"/>
            <w:noWrap/>
            <w:vAlign w:val="center"/>
            <w:hideMark/>
          </w:tcPr>
          <w:p w14:paraId="17464047"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auto"/>
            <w:noWrap/>
            <w:vAlign w:val="center"/>
            <w:hideMark/>
          </w:tcPr>
          <w:p w14:paraId="7D1CB3BD"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auto"/>
            <w:noWrap/>
            <w:vAlign w:val="center"/>
            <w:hideMark/>
          </w:tcPr>
          <w:p w14:paraId="5128529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auto"/>
            <w:noWrap/>
            <w:vAlign w:val="center"/>
            <w:hideMark/>
          </w:tcPr>
          <w:p w14:paraId="12F571A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6D15E4B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noWrap/>
            <w:vAlign w:val="center"/>
            <w:hideMark/>
          </w:tcPr>
          <w:p w14:paraId="7BF5150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04349CD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6</w:t>
            </w:r>
          </w:p>
        </w:tc>
        <w:tc>
          <w:tcPr>
            <w:tcW w:w="856" w:type="dxa"/>
            <w:tcBorders>
              <w:top w:val="nil"/>
              <w:left w:val="nil"/>
              <w:bottom w:val="nil"/>
              <w:right w:val="nil"/>
            </w:tcBorders>
            <w:shd w:val="clear" w:color="auto" w:fill="auto"/>
            <w:vAlign w:val="center"/>
            <w:hideMark/>
          </w:tcPr>
          <w:p w14:paraId="7170A75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vAlign w:val="center"/>
            <w:hideMark/>
          </w:tcPr>
          <w:p w14:paraId="09D15F6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40467465"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69EC2F70"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24E4D95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7A72CFE5" w14:textId="77777777" w:rsidR="005A1399" w:rsidRPr="009A501D" w:rsidRDefault="005A1399" w:rsidP="007F5C1B">
            <w:pPr>
              <w:spacing w:after="0" w:line="240" w:lineRule="auto"/>
              <w:contextualSpacing/>
              <w:rPr>
                <w:sz w:val="20"/>
                <w:szCs w:val="20"/>
              </w:rPr>
            </w:pPr>
          </w:p>
        </w:tc>
      </w:tr>
      <w:tr w:rsidR="005A1399" w:rsidRPr="009A501D" w14:paraId="0140C1BA"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5739003C"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40CAD52A"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40607E28"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ENOE-NE</w:t>
            </w:r>
          </w:p>
        </w:tc>
        <w:tc>
          <w:tcPr>
            <w:tcW w:w="1057" w:type="dxa"/>
            <w:tcBorders>
              <w:top w:val="nil"/>
              <w:left w:val="nil"/>
              <w:bottom w:val="nil"/>
              <w:right w:val="nil"/>
            </w:tcBorders>
            <w:shd w:val="clear" w:color="auto" w:fill="F2F2F2" w:themeFill="background1" w:themeFillShade="F2"/>
            <w:noWrap/>
            <w:vAlign w:val="center"/>
            <w:hideMark/>
          </w:tcPr>
          <w:p w14:paraId="50D48C7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878</w:t>
            </w:r>
          </w:p>
        </w:tc>
        <w:tc>
          <w:tcPr>
            <w:tcW w:w="817" w:type="dxa"/>
            <w:tcBorders>
              <w:top w:val="nil"/>
              <w:left w:val="nil"/>
              <w:bottom w:val="nil"/>
              <w:right w:val="nil"/>
            </w:tcBorders>
            <w:shd w:val="clear" w:color="auto" w:fill="F2F2F2" w:themeFill="background1" w:themeFillShade="F2"/>
            <w:noWrap/>
            <w:vAlign w:val="center"/>
            <w:hideMark/>
          </w:tcPr>
          <w:p w14:paraId="051D731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98%</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5D52C9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1037" w:type="dxa"/>
            <w:tcBorders>
              <w:top w:val="nil"/>
              <w:left w:val="nil"/>
              <w:bottom w:val="nil"/>
              <w:right w:val="nil"/>
            </w:tcBorders>
            <w:shd w:val="clear" w:color="auto" w:fill="F2F2F2" w:themeFill="background1" w:themeFillShade="F2"/>
            <w:vAlign w:val="center"/>
            <w:hideMark/>
          </w:tcPr>
          <w:p w14:paraId="6E1CAAF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900</w:t>
            </w:r>
          </w:p>
        </w:tc>
        <w:tc>
          <w:tcPr>
            <w:tcW w:w="817" w:type="dxa"/>
            <w:tcBorders>
              <w:top w:val="nil"/>
              <w:left w:val="nil"/>
              <w:bottom w:val="nil"/>
              <w:right w:val="nil"/>
            </w:tcBorders>
            <w:shd w:val="clear" w:color="auto" w:fill="F2F2F2" w:themeFill="background1" w:themeFillShade="F2"/>
            <w:vAlign w:val="center"/>
            <w:hideMark/>
          </w:tcPr>
          <w:p w14:paraId="5CD8C21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658" w:type="dxa"/>
            <w:tcBorders>
              <w:top w:val="nil"/>
              <w:left w:val="nil"/>
              <w:bottom w:val="nil"/>
              <w:right w:val="single" w:sz="4" w:space="0" w:color="auto"/>
            </w:tcBorders>
            <w:shd w:val="clear" w:color="auto" w:fill="F2F2F2" w:themeFill="background1" w:themeFillShade="F2"/>
            <w:vAlign w:val="center"/>
            <w:hideMark/>
          </w:tcPr>
          <w:p w14:paraId="0299E05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F2F2F2" w:themeFill="background1" w:themeFillShade="F2"/>
            <w:vAlign w:val="center"/>
            <w:hideMark/>
          </w:tcPr>
          <w:p w14:paraId="643F4A9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936</w:t>
            </w:r>
          </w:p>
        </w:tc>
        <w:tc>
          <w:tcPr>
            <w:tcW w:w="856" w:type="dxa"/>
            <w:tcBorders>
              <w:top w:val="nil"/>
              <w:left w:val="nil"/>
              <w:bottom w:val="nil"/>
              <w:right w:val="nil"/>
            </w:tcBorders>
            <w:shd w:val="clear" w:color="auto" w:fill="F2F2F2" w:themeFill="background1" w:themeFillShade="F2"/>
            <w:vAlign w:val="center"/>
            <w:hideMark/>
          </w:tcPr>
          <w:p w14:paraId="6B1E0B9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95%</w:t>
            </w:r>
          </w:p>
        </w:tc>
        <w:tc>
          <w:tcPr>
            <w:tcW w:w="638" w:type="dxa"/>
            <w:tcBorders>
              <w:top w:val="nil"/>
              <w:left w:val="nil"/>
              <w:bottom w:val="nil"/>
              <w:right w:val="single" w:sz="4" w:space="0" w:color="auto"/>
            </w:tcBorders>
            <w:shd w:val="clear" w:color="auto" w:fill="F2F2F2" w:themeFill="background1" w:themeFillShade="F2"/>
            <w:vAlign w:val="center"/>
            <w:hideMark/>
          </w:tcPr>
          <w:p w14:paraId="7AAF137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298BA3D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1248</w:t>
            </w:r>
          </w:p>
        </w:tc>
        <w:tc>
          <w:tcPr>
            <w:tcW w:w="857" w:type="dxa"/>
            <w:tcBorders>
              <w:top w:val="nil"/>
              <w:left w:val="nil"/>
              <w:bottom w:val="nil"/>
              <w:right w:val="nil"/>
            </w:tcBorders>
            <w:shd w:val="clear" w:color="auto" w:fill="F2F2F2" w:themeFill="background1" w:themeFillShade="F2"/>
            <w:noWrap/>
            <w:vAlign w:val="center"/>
            <w:hideMark/>
          </w:tcPr>
          <w:p w14:paraId="6D1830B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98%</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5411A14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43647DF4" w14:textId="77777777" w:rsidR="005A1399" w:rsidRPr="009A501D" w:rsidRDefault="005A1399" w:rsidP="007F5C1B">
            <w:pPr>
              <w:spacing w:after="0" w:line="240" w:lineRule="auto"/>
              <w:contextualSpacing/>
              <w:rPr>
                <w:sz w:val="20"/>
                <w:szCs w:val="20"/>
              </w:rPr>
            </w:pPr>
          </w:p>
        </w:tc>
      </w:tr>
      <w:tr w:rsidR="005A1399" w:rsidRPr="009A501D" w14:paraId="3EEDA2DC"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2C54A602"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46715F5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999" w:type="dxa"/>
            <w:tcBorders>
              <w:top w:val="nil"/>
              <w:left w:val="nil"/>
              <w:bottom w:val="nil"/>
              <w:right w:val="single" w:sz="4" w:space="0" w:color="auto"/>
            </w:tcBorders>
            <w:shd w:val="clear" w:color="auto" w:fill="auto"/>
            <w:noWrap/>
            <w:vAlign w:val="center"/>
            <w:hideMark/>
          </w:tcPr>
          <w:p w14:paraId="06644074"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ENCO</w:t>
            </w:r>
          </w:p>
        </w:tc>
        <w:tc>
          <w:tcPr>
            <w:tcW w:w="1057" w:type="dxa"/>
            <w:tcBorders>
              <w:top w:val="nil"/>
              <w:left w:val="nil"/>
              <w:bottom w:val="nil"/>
              <w:right w:val="nil"/>
            </w:tcBorders>
            <w:shd w:val="clear" w:color="auto" w:fill="auto"/>
            <w:noWrap/>
            <w:vAlign w:val="center"/>
            <w:hideMark/>
          </w:tcPr>
          <w:p w14:paraId="4F094CD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59</w:t>
            </w:r>
          </w:p>
        </w:tc>
        <w:tc>
          <w:tcPr>
            <w:tcW w:w="817" w:type="dxa"/>
            <w:tcBorders>
              <w:top w:val="nil"/>
              <w:left w:val="nil"/>
              <w:bottom w:val="nil"/>
              <w:right w:val="nil"/>
            </w:tcBorders>
            <w:shd w:val="clear" w:color="auto" w:fill="auto"/>
            <w:noWrap/>
            <w:vAlign w:val="center"/>
            <w:hideMark/>
          </w:tcPr>
          <w:p w14:paraId="32D60F3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noWrap/>
            <w:vAlign w:val="center"/>
            <w:hideMark/>
          </w:tcPr>
          <w:p w14:paraId="591206B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1037" w:type="dxa"/>
            <w:tcBorders>
              <w:top w:val="nil"/>
              <w:left w:val="nil"/>
              <w:bottom w:val="nil"/>
              <w:right w:val="nil"/>
            </w:tcBorders>
            <w:shd w:val="clear" w:color="auto" w:fill="auto"/>
            <w:vAlign w:val="center"/>
            <w:hideMark/>
          </w:tcPr>
          <w:p w14:paraId="2398AFF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72</w:t>
            </w:r>
          </w:p>
        </w:tc>
        <w:tc>
          <w:tcPr>
            <w:tcW w:w="817" w:type="dxa"/>
            <w:tcBorders>
              <w:top w:val="nil"/>
              <w:left w:val="nil"/>
              <w:bottom w:val="nil"/>
              <w:right w:val="nil"/>
            </w:tcBorders>
            <w:shd w:val="clear" w:color="auto" w:fill="auto"/>
            <w:vAlign w:val="center"/>
            <w:hideMark/>
          </w:tcPr>
          <w:p w14:paraId="33A3588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auto"/>
            <w:vAlign w:val="center"/>
            <w:hideMark/>
          </w:tcPr>
          <w:p w14:paraId="1C87AC3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1BE6F29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72</w:t>
            </w:r>
          </w:p>
        </w:tc>
        <w:tc>
          <w:tcPr>
            <w:tcW w:w="856" w:type="dxa"/>
            <w:tcBorders>
              <w:top w:val="nil"/>
              <w:left w:val="nil"/>
              <w:bottom w:val="nil"/>
              <w:right w:val="nil"/>
            </w:tcBorders>
            <w:shd w:val="clear" w:color="auto" w:fill="auto"/>
            <w:vAlign w:val="center"/>
            <w:hideMark/>
          </w:tcPr>
          <w:p w14:paraId="05F5ED5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vAlign w:val="center"/>
            <w:hideMark/>
          </w:tcPr>
          <w:p w14:paraId="469FE67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7F587F3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72</w:t>
            </w:r>
          </w:p>
        </w:tc>
        <w:tc>
          <w:tcPr>
            <w:tcW w:w="857" w:type="dxa"/>
            <w:tcBorders>
              <w:top w:val="nil"/>
              <w:left w:val="nil"/>
              <w:bottom w:val="nil"/>
              <w:right w:val="nil"/>
            </w:tcBorders>
            <w:shd w:val="clear" w:color="auto" w:fill="auto"/>
            <w:noWrap/>
            <w:vAlign w:val="center"/>
            <w:hideMark/>
          </w:tcPr>
          <w:p w14:paraId="0114B4E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126DA31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13159B25" w14:textId="77777777" w:rsidR="005A1399" w:rsidRPr="009A501D" w:rsidRDefault="005A1399" w:rsidP="007F5C1B">
            <w:pPr>
              <w:spacing w:after="0" w:line="240" w:lineRule="auto"/>
              <w:contextualSpacing/>
              <w:rPr>
                <w:sz w:val="20"/>
                <w:szCs w:val="20"/>
              </w:rPr>
            </w:pPr>
          </w:p>
        </w:tc>
      </w:tr>
      <w:tr w:rsidR="005A1399" w:rsidRPr="009A501D" w14:paraId="1AECA6D8"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3D8DADE6"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7F5515C9"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7E31B9ED"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ENOE</w:t>
            </w:r>
          </w:p>
        </w:tc>
        <w:tc>
          <w:tcPr>
            <w:tcW w:w="1057" w:type="dxa"/>
            <w:tcBorders>
              <w:top w:val="nil"/>
              <w:left w:val="nil"/>
              <w:bottom w:val="nil"/>
              <w:right w:val="nil"/>
            </w:tcBorders>
            <w:shd w:val="clear" w:color="auto" w:fill="F2F2F2" w:themeFill="background1" w:themeFillShade="F2"/>
            <w:noWrap/>
            <w:vAlign w:val="center"/>
            <w:hideMark/>
          </w:tcPr>
          <w:p w14:paraId="54B6A75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7E3DAFC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1F8C7D7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6BB53B7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22B7B8F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7D3EFF0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74CB2EB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31CD490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2B76695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78B39DA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48</w:t>
            </w:r>
          </w:p>
        </w:tc>
        <w:tc>
          <w:tcPr>
            <w:tcW w:w="857" w:type="dxa"/>
            <w:tcBorders>
              <w:top w:val="nil"/>
              <w:left w:val="nil"/>
              <w:bottom w:val="nil"/>
              <w:right w:val="nil"/>
            </w:tcBorders>
            <w:shd w:val="clear" w:color="auto" w:fill="F2F2F2" w:themeFill="background1" w:themeFillShade="F2"/>
            <w:noWrap/>
            <w:vAlign w:val="center"/>
            <w:hideMark/>
          </w:tcPr>
          <w:p w14:paraId="1DB4A76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3685EA4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4A78E4C1" w14:textId="77777777" w:rsidR="005A1399" w:rsidRPr="009A501D" w:rsidRDefault="005A1399" w:rsidP="007F5C1B">
            <w:pPr>
              <w:spacing w:after="0" w:line="240" w:lineRule="auto"/>
              <w:contextualSpacing/>
              <w:rPr>
                <w:sz w:val="20"/>
                <w:szCs w:val="20"/>
              </w:rPr>
            </w:pPr>
          </w:p>
        </w:tc>
      </w:tr>
      <w:tr w:rsidR="005A1399" w:rsidRPr="009A501D" w14:paraId="4AEE9A4E"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03C96113"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5F9DB6A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auto"/>
            <w:noWrap/>
            <w:vAlign w:val="center"/>
            <w:hideMark/>
          </w:tcPr>
          <w:p w14:paraId="4074C03E"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EDER</w:t>
            </w:r>
          </w:p>
        </w:tc>
        <w:tc>
          <w:tcPr>
            <w:tcW w:w="1057" w:type="dxa"/>
            <w:tcBorders>
              <w:top w:val="nil"/>
              <w:left w:val="nil"/>
              <w:bottom w:val="nil"/>
              <w:right w:val="nil"/>
            </w:tcBorders>
            <w:shd w:val="clear" w:color="auto" w:fill="auto"/>
            <w:noWrap/>
            <w:vAlign w:val="center"/>
            <w:hideMark/>
          </w:tcPr>
          <w:p w14:paraId="59FFDE5E"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auto"/>
            <w:noWrap/>
            <w:vAlign w:val="center"/>
            <w:hideMark/>
          </w:tcPr>
          <w:p w14:paraId="48029FCE"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auto"/>
            <w:noWrap/>
            <w:vAlign w:val="center"/>
            <w:hideMark/>
          </w:tcPr>
          <w:p w14:paraId="27B96BA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auto"/>
            <w:vAlign w:val="center"/>
            <w:hideMark/>
          </w:tcPr>
          <w:p w14:paraId="0F63493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1 319</w:t>
            </w:r>
          </w:p>
        </w:tc>
        <w:tc>
          <w:tcPr>
            <w:tcW w:w="817" w:type="dxa"/>
            <w:tcBorders>
              <w:top w:val="nil"/>
              <w:left w:val="nil"/>
              <w:bottom w:val="nil"/>
              <w:right w:val="nil"/>
            </w:tcBorders>
            <w:shd w:val="clear" w:color="auto" w:fill="auto"/>
            <w:vAlign w:val="center"/>
            <w:hideMark/>
          </w:tcPr>
          <w:p w14:paraId="6EFBDC1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75%</w:t>
            </w:r>
          </w:p>
        </w:tc>
        <w:tc>
          <w:tcPr>
            <w:tcW w:w="658" w:type="dxa"/>
            <w:tcBorders>
              <w:top w:val="nil"/>
              <w:left w:val="nil"/>
              <w:bottom w:val="nil"/>
              <w:right w:val="single" w:sz="4" w:space="0" w:color="auto"/>
            </w:tcBorders>
            <w:shd w:val="clear" w:color="auto" w:fill="auto"/>
            <w:vAlign w:val="center"/>
            <w:hideMark/>
          </w:tcPr>
          <w:p w14:paraId="4F37C29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5%</w:t>
            </w:r>
          </w:p>
        </w:tc>
        <w:tc>
          <w:tcPr>
            <w:tcW w:w="977" w:type="dxa"/>
            <w:tcBorders>
              <w:top w:val="nil"/>
              <w:left w:val="nil"/>
              <w:bottom w:val="nil"/>
              <w:right w:val="nil"/>
            </w:tcBorders>
            <w:shd w:val="clear" w:color="auto" w:fill="auto"/>
            <w:vAlign w:val="center"/>
            <w:hideMark/>
          </w:tcPr>
          <w:p w14:paraId="2930D91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auto"/>
            <w:vAlign w:val="center"/>
            <w:hideMark/>
          </w:tcPr>
          <w:p w14:paraId="520651E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vAlign w:val="center"/>
            <w:hideMark/>
          </w:tcPr>
          <w:p w14:paraId="5781DED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auto"/>
            <w:noWrap/>
            <w:vAlign w:val="center"/>
            <w:hideMark/>
          </w:tcPr>
          <w:p w14:paraId="2C4FC876"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0BCA1A3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635D083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031154CB" w14:textId="77777777" w:rsidR="005A1399" w:rsidRPr="009A501D" w:rsidRDefault="005A1399" w:rsidP="007F5C1B">
            <w:pPr>
              <w:spacing w:after="0" w:line="240" w:lineRule="auto"/>
              <w:contextualSpacing/>
              <w:rPr>
                <w:sz w:val="20"/>
                <w:szCs w:val="20"/>
              </w:rPr>
            </w:pPr>
          </w:p>
        </w:tc>
      </w:tr>
      <w:tr w:rsidR="005A1399" w:rsidRPr="009A501D" w14:paraId="6BA4F193"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3EA282C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7B7FA7A3"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6B4F23E1"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ENAPE</w:t>
            </w:r>
          </w:p>
        </w:tc>
        <w:tc>
          <w:tcPr>
            <w:tcW w:w="1057" w:type="dxa"/>
            <w:tcBorders>
              <w:top w:val="nil"/>
              <w:left w:val="nil"/>
              <w:bottom w:val="nil"/>
              <w:right w:val="nil"/>
            </w:tcBorders>
            <w:shd w:val="clear" w:color="auto" w:fill="F2F2F2" w:themeFill="background1" w:themeFillShade="F2"/>
            <w:noWrap/>
            <w:vAlign w:val="center"/>
            <w:hideMark/>
          </w:tcPr>
          <w:p w14:paraId="56205EC1"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32E0013C"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69C1C95"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3E016C67"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57A870F3"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740209B1"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77" w:type="dxa"/>
            <w:tcBorders>
              <w:top w:val="nil"/>
              <w:left w:val="nil"/>
              <w:bottom w:val="nil"/>
              <w:right w:val="nil"/>
            </w:tcBorders>
            <w:shd w:val="clear" w:color="auto" w:fill="F2F2F2" w:themeFill="background1" w:themeFillShade="F2"/>
            <w:noWrap/>
            <w:vAlign w:val="center"/>
            <w:hideMark/>
          </w:tcPr>
          <w:p w14:paraId="0D3ACF54"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856" w:type="dxa"/>
            <w:tcBorders>
              <w:top w:val="nil"/>
              <w:left w:val="nil"/>
              <w:bottom w:val="nil"/>
              <w:right w:val="nil"/>
            </w:tcBorders>
            <w:shd w:val="clear" w:color="auto" w:fill="F2F2F2" w:themeFill="background1" w:themeFillShade="F2"/>
            <w:noWrap/>
            <w:vAlign w:val="center"/>
            <w:hideMark/>
          </w:tcPr>
          <w:p w14:paraId="24307F17"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73886A52"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5363CB3E"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857" w:type="dxa"/>
            <w:tcBorders>
              <w:top w:val="nil"/>
              <w:left w:val="nil"/>
              <w:bottom w:val="nil"/>
              <w:right w:val="nil"/>
            </w:tcBorders>
            <w:shd w:val="clear" w:color="auto" w:fill="F2F2F2" w:themeFill="background1" w:themeFillShade="F2"/>
            <w:noWrap/>
            <w:vAlign w:val="center"/>
            <w:hideMark/>
          </w:tcPr>
          <w:p w14:paraId="3678E25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568EFA4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4623EF6D" w14:textId="77777777" w:rsidR="005A1399" w:rsidRPr="009A501D" w:rsidRDefault="005A1399" w:rsidP="007F5C1B">
            <w:pPr>
              <w:spacing w:after="0" w:line="240" w:lineRule="auto"/>
              <w:contextualSpacing/>
              <w:rPr>
                <w:sz w:val="20"/>
                <w:szCs w:val="20"/>
              </w:rPr>
            </w:pPr>
          </w:p>
        </w:tc>
      </w:tr>
      <w:tr w:rsidR="005A1399" w:rsidRPr="009A501D" w14:paraId="426D8261"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31D4917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42DD157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auto"/>
            <w:noWrap/>
            <w:vAlign w:val="center"/>
            <w:hideMark/>
          </w:tcPr>
          <w:p w14:paraId="368E2A09"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ENDISEG</w:t>
            </w:r>
          </w:p>
        </w:tc>
        <w:tc>
          <w:tcPr>
            <w:tcW w:w="1057" w:type="dxa"/>
            <w:tcBorders>
              <w:top w:val="nil"/>
              <w:left w:val="nil"/>
              <w:bottom w:val="nil"/>
              <w:right w:val="nil"/>
            </w:tcBorders>
            <w:shd w:val="clear" w:color="auto" w:fill="auto"/>
            <w:noWrap/>
            <w:vAlign w:val="center"/>
            <w:hideMark/>
          </w:tcPr>
          <w:p w14:paraId="06EF7C01"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auto"/>
            <w:noWrap/>
            <w:vAlign w:val="center"/>
            <w:hideMark/>
          </w:tcPr>
          <w:p w14:paraId="2C74F8F2"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auto"/>
            <w:noWrap/>
            <w:vAlign w:val="center"/>
            <w:hideMark/>
          </w:tcPr>
          <w:p w14:paraId="1E7F39C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auto"/>
            <w:vAlign w:val="center"/>
            <w:hideMark/>
          </w:tcPr>
          <w:p w14:paraId="11D937CE"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17" w:type="dxa"/>
            <w:tcBorders>
              <w:top w:val="nil"/>
              <w:left w:val="nil"/>
              <w:bottom w:val="nil"/>
              <w:right w:val="nil"/>
            </w:tcBorders>
            <w:shd w:val="clear" w:color="auto" w:fill="auto"/>
            <w:vAlign w:val="center"/>
            <w:hideMark/>
          </w:tcPr>
          <w:p w14:paraId="553E9481" w14:textId="77777777" w:rsidR="005A1399" w:rsidRPr="009A501D" w:rsidRDefault="005A1399" w:rsidP="007F5C1B">
            <w:pPr>
              <w:spacing w:after="0" w:line="240" w:lineRule="auto"/>
              <w:contextualSpacing/>
              <w:jc w:val="center"/>
              <w:rPr>
                <w:sz w:val="20"/>
                <w:szCs w:val="20"/>
              </w:rPr>
            </w:pPr>
          </w:p>
        </w:tc>
        <w:tc>
          <w:tcPr>
            <w:tcW w:w="658" w:type="dxa"/>
            <w:tcBorders>
              <w:top w:val="nil"/>
              <w:left w:val="nil"/>
              <w:bottom w:val="nil"/>
              <w:right w:val="single" w:sz="4" w:space="0" w:color="auto"/>
            </w:tcBorders>
            <w:shd w:val="clear" w:color="auto" w:fill="auto"/>
            <w:vAlign w:val="center"/>
            <w:hideMark/>
          </w:tcPr>
          <w:p w14:paraId="5CD3FB5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977" w:type="dxa"/>
            <w:tcBorders>
              <w:top w:val="nil"/>
              <w:left w:val="nil"/>
              <w:bottom w:val="nil"/>
              <w:right w:val="nil"/>
            </w:tcBorders>
            <w:shd w:val="clear" w:color="auto" w:fill="auto"/>
            <w:vAlign w:val="center"/>
            <w:hideMark/>
          </w:tcPr>
          <w:p w14:paraId="4B5D4631"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6" w:type="dxa"/>
            <w:tcBorders>
              <w:top w:val="nil"/>
              <w:left w:val="nil"/>
              <w:bottom w:val="nil"/>
              <w:right w:val="nil"/>
            </w:tcBorders>
            <w:shd w:val="clear" w:color="auto" w:fill="auto"/>
            <w:vAlign w:val="center"/>
            <w:hideMark/>
          </w:tcPr>
          <w:p w14:paraId="545A91A1"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auto"/>
            <w:vAlign w:val="center"/>
            <w:hideMark/>
          </w:tcPr>
          <w:p w14:paraId="3191A06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958" w:type="dxa"/>
            <w:tcBorders>
              <w:top w:val="nil"/>
              <w:left w:val="nil"/>
              <w:bottom w:val="nil"/>
              <w:right w:val="nil"/>
            </w:tcBorders>
            <w:shd w:val="clear" w:color="auto" w:fill="auto"/>
            <w:noWrap/>
            <w:vAlign w:val="center"/>
            <w:hideMark/>
          </w:tcPr>
          <w:p w14:paraId="3AC49F1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857" w:type="dxa"/>
            <w:tcBorders>
              <w:top w:val="nil"/>
              <w:left w:val="nil"/>
              <w:bottom w:val="nil"/>
              <w:right w:val="nil"/>
            </w:tcBorders>
            <w:shd w:val="clear" w:color="auto" w:fill="auto"/>
            <w:noWrap/>
            <w:vAlign w:val="center"/>
            <w:hideMark/>
          </w:tcPr>
          <w:p w14:paraId="2417E3E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auto"/>
            <w:noWrap/>
            <w:vAlign w:val="center"/>
            <w:hideMark/>
          </w:tcPr>
          <w:p w14:paraId="438E4D9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45435054" w14:textId="77777777" w:rsidR="005A1399" w:rsidRPr="009A501D" w:rsidRDefault="005A1399" w:rsidP="007F5C1B">
            <w:pPr>
              <w:spacing w:after="0" w:line="240" w:lineRule="auto"/>
              <w:contextualSpacing/>
              <w:rPr>
                <w:sz w:val="20"/>
                <w:szCs w:val="20"/>
              </w:rPr>
            </w:pPr>
          </w:p>
        </w:tc>
      </w:tr>
      <w:tr w:rsidR="005A1399" w:rsidRPr="009A501D" w14:paraId="63CA08E8"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7E2F913C"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F2F2F2" w:themeFill="background1" w:themeFillShade="F2"/>
            <w:noWrap/>
            <w:vAlign w:val="center"/>
            <w:hideMark/>
          </w:tcPr>
          <w:p w14:paraId="01E3AE60"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16A54ADB"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ENFIH</w:t>
            </w:r>
          </w:p>
        </w:tc>
        <w:tc>
          <w:tcPr>
            <w:tcW w:w="1057" w:type="dxa"/>
            <w:tcBorders>
              <w:top w:val="nil"/>
              <w:left w:val="nil"/>
              <w:bottom w:val="nil"/>
              <w:right w:val="nil"/>
            </w:tcBorders>
            <w:shd w:val="clear" w:color="auto" w:fill="F2F2F2" w:themeFill="background1" w:themeFillShade="F2"/>
            <w:noWrap/>
            <w:vAlign w:val="center"/>
            <w:hideMark/>
          </w:tcPr>
          <w:p w14:paraId="5E356CF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42A1C2B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2B83D9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0120033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4428B07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6805E03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4477FC1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w:t>
            </w:r>
          </w:p>
        </w:tc>
        <w:tc>
          <w:tcPr>
            <w:tcW w:w="856" w:type="dxa"/>
            <w:tcBorders>
              <w:top w:val="nil"/>
              <w:left w:val="nil"/>
              <w:bottom w:val="nil"/>
              <w:right w:val="nil"/>
            </w:tcBorders>
            <w:shd w:val="clear" w:color="auto" w:fill="F2F2F2" w:themeFill="background1" w:themeFillShade="F2"/>
            <w:vAlign w:val="center"/>
            <w:hideMark/>
          </w:tcPr>
          <w:p w14:paraId="4A0E00B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F2F2F2" w:themeFill="background1" w:themeFillShade="F2"/>
            <w:vAlign w:val="center"/>
            <w:hideMark/>
          </w:tcPr>
          <w:p w14:paraId="163DBBC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59599895"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5D3F7D6B"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67BB644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1B032C5F" w14:textId="77777777" w:rsidR="005A1399" w:rsidRPr="009A501D" w:rsidRDefault="005A1399" w:rsidP="007F5C1B">
            <w:pPr>
              <w:spacing w:after="0" w:line="240" w:lineRule="auto"/>
              <w:contextualSpacing/>
              <w:rPr>
                <w:sz w:val="20"/>
                <w:szCs w:val="20"/>
              </w:rPr>
            </w:pPr>
          </w:p>
        </w:tc>
      </w:tr>
      <w:tr w:rsidR="005A1399" w:rsidRPr="009A501D" w14:paraId="54ABAC4D"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58C4A8A9"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1518" w:type="dxa"/>
            <w:tcBorders>
              <w:top w:val="nil"/>
              <w:left w:val="nil"/>
              <w:bottom w:val="nil"/>
              <w:right w:val="nil"/>
            </w:tcBorders>
            <w:shd w:val="clear" w:color="auto" w:fill="auto"/>
            <w:noWrap/>
            <w:vAlign w:val="center"/>
            <w:hideMark/>
          </w:tcPr>
          <w:p w14:paraId="0B874951"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auto"/>
            <w:noWrap/>
            <w:vAlign w:val="center"/>
            <w:hideMark/>
          </w:tcPr>
          <w:p w14:paraId="60146DCF"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ENVI</w:t>
            </w:r>
          </w:p>
        </w:tc>
        <w:tc>
          <w:tcPr>
            <w:tcW w:w="1057" w:type="dxa"/>
            <w:tcBorders>
              <w:top w:val="nil"/>
              <w:left w:val="nil"/>
              <w:bottom w:val="nil"/>
              <w:right w:val="nil"/>
            </w:tcBorders>
            <w:shd w:val="clear" w:color="auto" w:fill="auto"/>
            <w:noWrap/>
            <w:vAlign w:val="center"/>
            <w:hideMark/>
          </w:tcPr>
          <w:p w14:paraId="0AC57FA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55C01C1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46035F9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0A76587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792D247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noWrap/>
            <w:vAlign w:val="center"/>
            <w:hideMark/>
          </w:tcPr>
          <w:p w14:paraId="53DE16B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0A1A70F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33</w:t>
            </w:r>
          </w:p>
        </w:tc>
        <w:tc>
          <w:tcPr>
            <w:tcW w:w="856" w:type="dxa"/>
            <w:tcBorders>
              <w:top w:val="nil"/>
              <w:left w:val="nil"/>
              <w:bottom w:val="nil"/>
              <w:right w:val="nil"/>
            </w:tcBorders>
            <w:shd w:val="clear" w:color="auto" w:fill="auto"/>
            <w:vAlign w:val="center"/>
            <w:hideMark/>
          </w:tcPr>
          <w:p w14:paraId="336D026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vAlign w:val="center"/>
            <w:hideMark/>
          </w:tcPr>
          <w:p w14:paraId="7801421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63515A0C"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42F87B91"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51A9312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62CFB04F" w14:textId="77777777" w:rsidR="005A1399" w:rsidRPr="009A501D" w:rsidRDefault="005A1399" w:rsidP="007F5C1B">
            <w:pPr>
              <w:spacing w:after="0" w:line="240" w:lineRule="auto"/>
              <w:contextualSpacing/>
              <w:rPr>
                <w:sz w:val="20"/>
                <w:szCs w:val="20"/>
              </w:rPr>
            </w:pPr>
          </w:p>
        </w:tc>
      </w:tr>
      <w:tr w:rsidR="005A1399" w:rsidRPr="009A501D" w14:paraId="538305BE"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58FDEB80"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F2F2F2" w:themeFill="background1" w:themeFillShade="F2"/>
            <w:noWrap/>
            <w:vAlign w:val="center"/>
            <w:hideMark/>
          </w:tcPr>
          <w:p w14:paraId="20406C10"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Quinquenal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627E5E21"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ENDIREH</w:t>
            </w:r>
          </w:p>
        </w:tc>
        <w:tc>
          <w:tcPr>
            <w:tcW w:w="1057" w:type="dxa"/>
            <w:tcBorders>
              <w:top w:val="nil"/>
              <w:left w:val="nil"/>
              <w:bottom w:val="nil"/>
              <w:right w:val="nil"/>
            </w:tcBorders>
            <w:shd w:val="clear" w:color="auto" w:fill="F2F2F2" w:themeFill="background1" w:themeFillShade="F2"/>
            <w:noWrap/>
            <w:vAlign w:val="center"/>
            <w:hideMark/>
          </w:tcPr>
          <w:p w14:paraId="24EDFA4C"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F2F2F2" w:themeFill="background1" w:themeFillShade="F2"/>
            <w:noWrap/>
            <w:vAlign w:val="center"/>
            <w:hideMark/>
          </w:tcPr>
          <w:p w14:paraId="58A7F513"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F2F2F2" w:themeFill="background1" w:themeFillShade="F2"/>
            <w:noWrap/>
            <w:vAlign w:val="center"/>
            <w:hideMark/>
          </w:tcPr>
          <w:p w14:paraId="3E71ADF9"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037" w:type="dxa"/>
            <w:tcBorders>
              <w:top w:val="nil"/>
              <w:left w:val="nil"/>
              <w:bottom w:val="nil"/>
              <w:right w:val="nil"/>
            </w:tcBorders>
            <w:shd w:val="clear" w:color="auto" w:fill="F2F2F2" w:themeFill="background1" w:themeFillShade="F2"/>
            <w:noWrap/>
            <w:vAlign w:val="center"/>
            <w:hideMark/>
          </w:tcPr>
          <w:p w14:paraId="2A2BFBA8"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p>
        </w:tc>
        <w:tc>
          <w:tcPr>
            <w:tcW w:w="817" w:type="dxa"/>
            <w:tcBorders>
              <w:top w:val="nil"/>
              <w:left w:val="nil"/>
              <w:bottom w:val="nil"/>
              <w:right w:val="nil"/>
            </w:tcBorders>
            <w:shd w:val="clear" w:color="auto" w:fill="F2F2F2" w:themeFill="background1" w:themeFillShade="F2"/>
            <w:noWrap/>
            <w:vAlign w:val="center"/>
            <w:hideMark/>
          </w:tcPr>
          <w:p w14:paraId="74621978" w14:textId="77777777" w:rsidR="005A1399" w:rsidRPr="009A501D" w:rsidRDefault="005A1399" w:rsidP="007F5C1B">
            <w:pPr>
              <w:spacing w:after="0" w:line="240" w:lineRule="auto"/>
              <w:contextualSpacing/>
              <w:jc w:val="center"/>
              <w:rPr>
                <w:sz w:val="20"/>
                <w:szCs w:val="20"/>
              </w:rPr>
            </w:pPr>
          </w:p>
        </w:tc>
        <w:tc>
          <w:tcPr>
            <w:tcW w:w="658" w:type="dxa"/>
            <w:tcBorders>
              <w:top w:val="nil"/>
              <w:left w:val="nil"/>
              <w:bottom w:val="nil"/>
              <w:right w:val="single" w:sz="4" w:space="0" w:color="auto"/>
            </w:tcBorders>
            <w:shd w:val="clear" w:color="auto" w:fill="F2F2F2" w:themeFill="background1" w:themeFillShade="F2"/>
            <w:noWrap/>
            <w:vAlign w:val="center"/>
            <w:hideMark/>
          </w:tcPr>
          <w:p w14:paraId="72780EB2"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977" w:type="dxa"/>
            <w:tcBorders>
              <w:top w:val="nil"/>
              <w:left w:val="nil"/>
              <w:bottom w:val="nil"/>
              <w:right w:val="nil"/>
            </w:tcBorders>
            <w:shd w:val="clear" w:color="auto" w:fill="F2F2F2" w:themeFill="background1" w:themeFillShade="F2"/>
            <w:noWrap/>
            <w:vAlign w:val="center"/>
            <w:hideMark/>
          </w:tcPr>
          <w:p w14:paraId="02D8B77B"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p>
        </w:tc>
        <w:tc>
          <w:tcPr>
            <w:tcW w:w="856" w:type="dxa"/>
            <w:tcBorders>
              <w:top w:val="nil"/>
              <w:left w:val="nil"/>
              <w:bottom w:val="nil"/>
              <w:right w:val="nil"/>
            </w:tcBorders>
            <w:shd w:val="clear" w:color="auto" w:fill="F2F2F2" w:themeFill="background1" w:themeFillShade="F2"/>
            <w:noWrap/>
            <w:vAlign w:val="center"/>
            <w:hideMark/>
          </w:tcPr>
          <w:p w14:paraId="4F03A40D"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F2F2F2" w:themeFill="background1" w:themeFillShade="F2"/>
            <w:noWrap/>
            <w:vAlign w:val="center"/>
            <w:hideMark/>
          </w:tcPr>
          <w:p w14:paraId="59B973AB"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958" w:type="dxa"/>
            <w:tcBorders>
              <w:top w:val="nil"/>
              <w:left w:val="nil"/>
              <w:bottom w:val="nil"/>
              <w:right w:val="nil"/>
            </w:tcBorders>
            <w:shd w:val="clear" w:color="auto" w:fill="F2F2F2" w:themeFill="background1" w:themeFillShade="F2"/>
            <w:noWrap/>
            <w:vAlign w:val="center"/>
            <w:hideMark/>
          </w:tcPr>
          <w:p w14:paraId="3A975C03"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82</w:t>
            </w:r>
          </w:p>
        </w:tc>
        <w:tc>
          <w:tcPr>
            <w:tcW w:w="857" w:type="dxa"/>
            <w:tcBorders>
              <w:top w:val="nil"/>
              <w:left w:val="nil"/>
              <w:bottom w:val="nil"/>
              <w:right w:val="nil"/>
            </w:tcBorders>
            <w:shd w:val="clear" w:color="auto" w:fill="F2F2F2" w:themeFill="background1" w:themeFillShade="F2"/>
            <w:noWrap/>
            <w:vAlign w:val="center"/>
            <w:hideMark/>
          </w:tcPr>
          <w:p w14:paraId="5BB1A05A"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48617E8D"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36" w:type="dxa"/>
            <w:shd w:val="clear" w:color="auto" w:fill="F2F2F2" w:themeFill="background1" w:themeFillShade="F2"/>
            <w:vAlign w:val="center"/>
            <w:hideMark/>
          </w:tcPr>
          <w:p w14:paraId="5F40C99A" w14:textId="77777777" w:rsidR="005A1399" w:rsidRPr="009A501D" w:rsidRDefault="005A1399" w:rsidP="007F5C1B">
            <w:pPr>
              <w:spacing w:after="0" w:line="240" w:lineRule="auto"/>
              <w:contextualSpacing/>
              <w:rPr>
                <w:sz w:val="20"/>
                <w:szCs w:val="20"/>
              </w:rPr>
            </w:pPr>
          </w:p>
        </w:tc>
      </w:tr>
      <w:tr w:rsidR="005A1399" w:rsidRPr="009A501D" w14:paraId="2050F759"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648019F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auto"/>
            <w:noWrap/>
            <w:vAlign w:val="center"/>
            <w:hideMark/>
          </w:tcPr>
          <w:p w14:paraId="2171380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999" w:type="dxa"/>
            <w:tcBorders>
              <w:top w:val="nil"/>
              <w:left w:val="nil"/>
              <w:bottom w:val="nil"/>
              <w:right w:val="single" w:sz="4" w:space="0" w:color="auto"/>
            </w:tcBorders>
            <w:shd w:val="clear" w:color="auto" w:fill="auto"/>
            <w:noWrap/>
            <w:vAlign w:val="center"/>
            <w:hideMark/>
          </w:tcPr>
          <w:p w14:paraId="0F7F44D4"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ENAID</w:t>
            </w:r>
          </w:p>
        </w:tc>
        <w:tc>
          <w:tcPr>
            <w:tcW w:w="1057" w:type="dxa"/>
            <w:tcBorders>
              <w:top w:val="nil"/>
              <w:left w:val="nil"/>
              <w:bottom w:val="nil"/>
              <w:right w:val="nil"/>
            </w:tcBorders>
            <w:shd w:val="clear" w:color="auto" w:fill="auto"/>
            <w:noWrap/>
            <w:vAlign w:val="center"/>
            <w:hideMark/>
          </w:tcPr>
          <w:p w14:paraId="20803C2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7290746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2ACEF4F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6098049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42F4E76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noWrap/>
            <w:vAlign w:val="center"/>
            <w:hideMark/>
          </w:tcPr>
          <w:p w14:paraId="485F20E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047D413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auto"/>
            <w:vAlign w:val="center"/>
            <w:hideMark/>
          </w:tcPr>
          <w:p w14:paraId="543C916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vAlign w:val="center"/>
            <w:hideMark/>
          </w:tcPr>
          <w:p w14:paraId="32A3313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auto"/>
            <w:noWrap/>
            <w:vAlign w:val="center"/>
            <w:hideMark/>
          </w:tcPr>
          <w:p w14:paraId="39A44DDF"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6F4C28A5"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57C02A7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022A000F" w14:textId="77777777" w:rsidR="005A1399" w:rsidRPr="009A501D" w:rsidRDefault="005A1399" w:rsidP="007F5C1B">
            <w:pPr>
              <w:spacing w:after="0" w:line="240" w:lineRule="auto"/>
              <w:contextualSpacing/>
              <w:rPr>
                <w:sz w:val="20"/>
                <w:szCs w:val="20"/>
              </w:rPr>
            </w:pPr>
          </w:p>
        </w:tc>
      </w:tr>
      <w:tr w:rsidR="005A1399" w:rsidRPr="009A501D" w14:paraId="2D82B285"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5D2DD824"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F2F2F2" w:themeFill="background1" w:themeFillShade="F2"/>
            <w:noWrap/>
            <w:vAlign w:val="center"/>
            <w:hideMark/>
          </w:tcPr>
          <w:p w14:paraId="42C9C082"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50EB167D"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ENCIG</w:t>
            </w:r>
          </w:p>
        </w:tc>
        <w:tc>
          <w:tcPr>
            <w:tcW w:w="1057" w:type="dxa"/>
            <w:tcBorders>
              <w:top w:val="nil"/>
              <w:left w:val="nil"/>
              <w:bottom w:val="nil"/>
              <w:right w:val="nil"/>
            </w:tcBorders>
            <w:shd w:val="clear" w:color="auto" w:fill="F2F2F2" w:themeFill="background1" w:themeFillShade="F2"/>
            <w:noWrap/>
            <w:vAlign w:val="center"/>
            <w:hideMark/>
          </w:tcPr>
          <w:p w14:paraId="65CA9C63"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28DE802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7AE6E0C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064A549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6C9BE91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344AE99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38EFD04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6315CA6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5603658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5B5AD32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264</w:t>
            </w:r>
          </w:p>
        </w:tc>
        <w:tc>
          <w:tcPr>
            <w:tcW w:w="857" w:type="dxa"/>
            <w:tcBorders>
              <w:top w:val="nil"/>
              <w:left w:val="nil"/>
              <w:bottom w:val="nil"/>
              <w:right w:val="nil"/>
            </w:tcBorders>
            <w:shd w:val="clear" w:color="auto" w:fill="F2F2F2" w:themeFill="background1" w:themeFillShade="F2"/>
            <w:noWrap/>
            <w:vAlign w:val="center"/>
            <w:hideMark/>
          </w:tcPr>
          <w:p w14:paraId="466309E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607EFBF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02951CE8" w14:textId="77777777" w:rsidR="005A1399" w:rsidRPr="009A501D" w:rsidRDefault="005A1399" w:rsidP="007F5C1B">
            <w:pPr>
              <w:spacing w:after="0" w:line="240" w:lineRule="auto"/>
              <w:contextualSpacing/>
              <w:rPr>
                <w:sz w:val="20"/>
                <w:szCs w:val="20"/>
              </w:rPr>
            </w:pPr>
          </w:p>
        </w:tc>
      </w:tr>
      <w:tr w:rsidR="005A1399" w:rsidRPr="009A501D" w14:paraId="6056E2BD"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0A0761AD"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auto"/>
            <w:noWrap/>
            <w:vAlign w:val="center"/>
            <w:hideMark/>
          </w:tcPr>
          <w:p w14:paraId="583AEDA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auto"/>
            <w:noWrap/>
            <w:vAlign w:val="center"/>
            <w:hideMark/>
          </w:tcPr>
          <w:p w14:paraId="67BC2EA1"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ENVIPE</w:t>
            </w:r>
          </w:p>
        </w:tc>
        <w:tc>
          <w:tcPr>
            <w:tcW w:w="1057" w:type="dxa"/>
            <w:tcBorders>
              <w:top w:val="nil"/>
              <w:left w:val="nil"/>
              <w:bottom w:val="nil"/>
              <w:right w:val="nil"/>
            </w:tcBorders>
            <w:shd w:val="clear" w:color="auto" w:fill="auto"/>
            <w:noWrap/>
            <w:vAlign w:val="center"/>
            <w:hideMark/>
          </w:tcPr>
          <w:p w14:paraId="3955C63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817" w:type="dxa"/>
            <w:tcBorders>
              <w:top w:val="nil"/>
              <w:left w:val="nil"/>
              <w:bottom w:val="nil"/>
              <w:right w:val="nil"/>
            </w:tcBorders>
            <w:shd w:val="clear" w:color="auto" w:fill="auto"/>
            <w:noWrap/>
            <w:vAlign w:val="center"/>
            <w:hideMark/>
          </w:tcPr>
          <w:p w14:paraId="2AA1B26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noWrap/>
            <w:vAlign w:val="center"/>
            <w:hideMark/>
          </w:tcPr>
          <w:p w14:paraId="1846CAE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1037" w:type="dxa"/>
            <w:tcBorders>
              <w:top w:val="nil"/>
              <w:left w:val="nil"/>
              <w:bottom w:val="nil"/>
              <w:right w:val="nil"/>
            </w:tcBorders>
            <w:shd w:val="clear" w:color="auto" w:fill="auto"/>
            <w:vAlign w:val="center"/>
            <w:hideMark/>
          </w:tcPr>
          <w:p w14:paraId="6EE2C87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817" w:type="dxa"/>
            <w:tcBorders>
              <w:top w:val="nil"/>
              <w:left w:val="nil"/>
              <w:bottom w:val="nil"/>
              <w:right w:val="nil"/>
            </w:tcBorders>
            <w:shd w:val="clear" w:color="auto" w:fill="auto"/>
            <w:vAlign w:val="center"/>
            <w:hideMark/>
          </w:tcPr>
          <w:p w14:paraId="0D30B70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58" w:type="dxa"/>
            <w:tcBorders>
              <w:top w:val="nil"/>
              <w:left w:val="nil"/>
              <w:bottom w:val="nil"/>
              <w:right w:val="single" w:sz="4" w:space="0" w:color="auto"/>
            </w:tcBorders>
            <w:shd w:val="clear" w:color="auto" w:fill="auto"/>
            <w:vAlign w:val="center"/>
            <w:hideMark/>
          </w:tcPr>
          <w:p w14:paraId="20EA3387"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77" w:type="dxa"/>
            <w:tcBorders>
              <w:top w:val="nil"/>
              <w:left w:val="nil"/>
              <w:bottom w:val="nil"/>
              <w:right w:val="nil"/>
            </w:tcBorders>
            <w:shd w:val="clear" w:color="auto" w:fill="auto"/>
            <w:vAlign w:val="center"/>
            <w:hideMark/>
          </w:tcPr>
          <w:p w14:paraId="53C78D6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856" w:type="dxa"/>
            <w:tcBorders>
              <w:top w:val="nil"/>
              <w:left w:val="nil"/>
              <w:bottom w:val="nil"/>
              <w:right w:val="nil"/>
            </w:tcBorders>
            <w:shd w:val="clear" w:color="auto" w:fill="auto"/>
            <w:vAlign w:val="center"/>
            <w:hideMark/>
          </w:tcPr>
          <w:p w14:paraId="298937B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auto"/>
            <w:vAlign w:val="center"/>
            <w:hideMark/>
          </w:tcPr>
          <w:p w14:paraId="102BF66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auto"/>
            <w:noWrap/>
            <w:vAlign w:val="center"/>
            <w:hideMark/>
          </w:tcPr>
          <w:p w14:paraId="01995FE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2085</w:t>
            </w:r>
          </w:p>
        </w:tc>
        <w:tc>
          <w:tcPr>
            <w:tcW w:w="857" w:type="dxa"/>
            <w:tcBorders>
              <w:top w:val="nil"/>
              <w:left w:val="nil"/>
              <w:bottom w:val="nil"/>
              <w:right w:val="nil"/>
            </w:tcBorders>
            <w:shd w:val="clear" w:color="auto" w:fill="auto"/>
            <w:noWrap/>
            <w:vAlign w:val="center"/>
            <w:hideMark/>
          </w:tcPr>
          <w:p w14:paraId="740021F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98%</w:t>
            </w:r>
          </w:p>
        </w:tc>
        <w:tc>
          <w:tcPr>
            <w:tcW w:w="618" w:type="dxa"/>
            <w:tcBorders>
              <w:top w:val="nil"/>
              <w:left w:val="nil"/>
              <w:bottom w:val="nil"/>
              <w:right w:val="single" w:sz="4" w:space="0" w:color="auto"/>
            </w:tcBorders>
            <w:shd w:val="clear" w:color="auto" w:fill="auto"/>
            <w:noWrap/>
            <w:vAlign w:val="center"/>
            <w:hideMark/>
          </w:tcPr>
          <w:p w14:paraId="4424CC4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36" w:type="dxa"/>
            <w:vAlign w:val="center"/>
            <w:hideMark/>
          </w:tcPr>
          <w:p w14:paraId="52BE0F1E" w14:textId="77777777" w:rsidR="005A1399" w:rsidRPr="009A501D" w:rsidRDefault="005A1399" w:rsidP="007F5C1B">
            <w:pPr>
              <w:spacing w:after="0" w:line="240" w:lineRule="auto"/>
              <w:contextualSpacing/>
              <w:rPr>
                <w:sz w:val="20"/>
                <w:szCs w:val="20"/>
              </w:rPr>
            </w:pPr>
          </w:p>
        </w:tc>
      </w:tr>
      <w:tr w:rsidR="005A1399" w:rsidRPr="009A501D" w14:paraId="567DB763"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00455BA2"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F2F2F2" w:themeFill="background1" w:themeFillShade="F2"/>
            <w:noWrap/>
            <w:vAlign w:val="center"/>
            <w:hideMark/>
          </w:tcPr>
          <w:p w14:paraId="7FD909B3"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44560C8B"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MOCIBA</w:t>
            </w:r>
          </w:p>
        </w:tc>
        <w:tc>
          <w:tcPr>
            <w:tcW w:w="1057" w:type="dxa"/>
            <w:tcBorders>
              <w:top w:val="nil"/>
              <w:left w:val="nil"/>
              <w:bottom w:val="nil"/>
              <w:right w:val="nil"/>
            </w:tcBorders>
            <w:shd w:val="clear" w:color="auto" w:fill="F2F2F2" w:themeFill="background1" w:themeFillShade="F2"/>
            <w:noWrap/>
            <w:vAlign w:val="center"/>
            <w:hideMark/>
          </w:tcPr>
          <w:p w14:paraId="342C03B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1798624C"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noWrap/>
            <w:vAlign w:val="center"/>
            <w:hideMark/>
          </w:tcPr>
          <w:p w14:paraId="4BFFC20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F2F2F2" w:themeFill="background1" w:themeFillShade="F2"/>
            <w:noWrap/>
            <w:vAlign w:val="center"/>
            <w:hideMark/>
          </w:tcPr>
          <w:p w14:paraId="2DC30D7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F2F2F2" w:themeFill="background1" w:themeFillShade="F2"/>
            <w:noWrap/>
            <w:vAlign w:val="center"/>
            <w:hideMark/>
          </w:tcPr>
          <w:p w14:paraId="2EE75070"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F2F2F2" w:themeFill="background1" w:themeFillShade="F2"/>
            <w:noWrap/>
            <w:vAlign w:val="center"/>
            <w:hideMark/>
          </w:tcPr>
          <w:p w14:paraId="7B05AED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F2F2F2" w:themeFill="background1" w:themeFillShade="F2"/>
            <w:vAlign w:val="center"/>
            <w:hideMark/>
          </w:tcPr>
          <w:p w14:paraId="2411DD0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w:t>
            </w:r>
          </w:p>
        </w:tc>
        <w:tc>
          <w:tcPr>
            <w:tcW w:w="856" w:type="dxa"/>
            <w:tcBorders>
              <w:top w:val="nil"/>
              <w:left w:val="nil"/>
              <w:bottom w:val="nil"/>
              <w:right w:val="nil"/>
            </w:tcBorders>
            <w:shd w:val="clear" w:color="auto" w:fill="F2F2F2" w:themeFill="background1" w:themeFillShade="F2"/>
            <w:vAlign w:val="center"/>
            <w:hideMark/>
          </w:tcPr>
          <w:p w14:paraId="5C5A1F4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38" w:type="dxa"/>
            <w:tcBorders>
              <w:top w:val="nil"/>
              <w:left w:val="nil"/>
              <w:bottom w:val="nil"/>
              <w:right w:val="single" w:sz="4" w:space="0" w:color="auto"/>
            </w:tcBorders>
            <w:shd w:val="clear" w:color="auto" w:fill="F2F2F2" w:themeFill="background1" w:themeFillShade="F2"/>
            <w:vAlign w:val="center"/>
            <w:hideMark/>
          </w:tcPr>
          <w:p w14:paraId="086FB62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958" w:type="dxa"/>
            <w:tcBorders>
              <w:top w:val="nil"/>
              <w:left w:val="nil"/>
              <w:bottom w:val="nil"/>
              <w:right w:val="nil"/>
            </w:tcBorders>
            <w:shd w:val="clear" w:color="auto" w:fill="F2F2F2" w:themeFill="background1" w:themeFillShade="F2"/>
            <w:noWrap/>
            <w:vAlign w:val="center"/>
            <w:hideMark/>
          </w:tcPr>
          <w:p w14:paraId="40AC90B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w:t>
            </w:r>
          </w:p>
        </w:tc>
        <w:tc>
          <w:tcPr>
            <w:tcW w:w="857" w:type="dxa"/>
            <w:tcBorders>
              <w:top w:val="nil"/>
              <w:left w:val="nil"/>
              <w:bottom w:val="nil"/>
              <w:right w:val="nil"/>
            </w:tcBorders>
            <w:shd w:val="clear" w:color="auto" w:fill="F2F2F2" w:themeFill="background1" w:themeFillShade="F2"/>
            <w:noWrap/>
            <w:vAlign w:val="center"/>
            <w:hideMark/>
          </w:tcPr>
          <w:p w14:paraId="3738E1C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100%</w:t>
            </w:r>
          </w:p>
        </w:tc>
        <w:tc>
          <w:tcPr>
            <w:tcW w:w="618" w:type="dxa"/>
            <w:tcBorders>
              <w:top w:val="nil"/>
              <w:left w:val="nil"/>
              <w:bottom w:val="nil"/>
              <w:right w:val="single" w:sz="4" w:space="0" w:color="auto"/>
            </w:tcBorders>
            <w:shd w:val="clear" w:color="auto" w:fill="F2F2F2" w:themeFill="background1" w:themeFillShade="F2"/>
            <w:noWrap/>
            <w:vAlign w:val="center"/>
            <w:hideMark/>
          </w:tcPr>
          <w:p w14:paraId="1C3A373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shd w:val="clear" w:color="auto" w:fill="F2F2F2" w:themeFill="background1" w:themeFillShade="F2"/>
            <w:vAlign w:val="center"/>
            <w:hideMark/>
          </w:tcPr>
          <w:p w14:paraId="0065A529" w14:textId="77777777" w:rsidR="005A1399" w:rsidRPr="009A501D" w:rsidRDefault="005A1399" w:rsidP="007F5C1B">
            <w:pPr>
              <w:spacing w:after="0" w:line="240" w:lineRule="auto"/>
              <w:contextualSpacing/>
              <w:rPr>
                <w:sz w:val="20"/>
                <w:szCs w:val="20"/>
              </w:rPr>
            </w:pPr>
          </w:p>
        </w:tc>
      </w:tr>
      <w:tr w:rsidR="005A1399" w:rsidRPr="009A501D" w14:paraId="103A7967"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2FF13239"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auto"/>
            <w:noWrap/>
            <w:vAlign w:val="center"/>
            <w:hideMark/>
          </w:tcPr>
          <w:p w14:paraId="53209417"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999" w:type="dxa"/>
            <w:tcBorders>
              <w:top w:val="nil"/>
              <w:left w:val="nil"/>
              <w:bottom w:val="nil"/>
              <w:right w:val="single" w:sz="4" w:space="0" w:color="auto"/>
            </w:tcBorders>
            <w:shd w:val="clear" w:color="auto" w:fill="auto"/>
            <w:noWrap/>
            <w:vAlign w:val="center"/>
            <w:hideMark/>
          </w:tcPr>
          <w:p w14:paraId="23DE18F7"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ENSU</w:t>
            </w:r>
          </w:p>
        </w:tc>
        <w:tc>
          <w:tcPr>
            <w:tcW w:w="1057" w:type="dxa"/>
            <w:tcBorders>
              <w:top w:val="nil"/>
              <w:left w:val="nil"/>
              <w:bottom w:val="nil"/>
              <w:right w:val="nil"/>
            </w:tcBorders>
            <w:shd w:val="clear" w:color="auto" w:fill="auto"/>
            <w:noWrap/>
            <w:vAlign w:val="center"/>
            <w:hideMark/>
          </w:tcPr>
          <w:p w14:paraId="1A7070B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1 376</w:t>
            </w:r>
          </w:p>
        </w:tc>
        <w:tc>
          <w:tcPr>
            <w:tcW w:w="817" w:type="dxa"/>
            <w:tcBorders>
              <w:top w:val="nil"/>
              <w:left w:val="nil"/>
              <w:bottom w:val="nil"/>
              <w:right w:val="nil"/>
            </w:tcBorders>
            <w:shd w:val="clear" w:color="auto" w:fill="auto"/>
            <w:noWrap/>
            <w:vAlign w:val="center"/>
            <w:hideMark/>
          </w:tcPr>
          <w:p w14:paraId="66A0935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92%</w:t>
            </w:r>
          </w:p>
        </w:tc>
        <w:tc>
          <w:tcPr>
            <w:tcW w:w="638" w:type="dxa"/>
            <w:tcBorders>
              <w:top w:val="nil"/>
              <w:left w:val="nil"/>
              <w:bottom w:val="nil"/>
              <w:right w:val="single" w:sz="4" w:space="0" w:color="auto"/>
            </w:tcBorders>
            <w:shd w:val="clear" w:color="auto" w:fill="auto"/>
            <w:noWrap/>
            <w:vAlign w:val="center"/>
            <w:hideMark/>
          </w:tcPr>
          <w:p w14:paraId="3941444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1037" w:type="dxa"/>
            <w:tcBorders>
              <w:top w:val="nil"/>
              <w:left w:val="nil"/>
              <w:bottom w:val="nil"/>
              <w:right w:val="nil"/>
            </w:tcBorders>
            <w:shd w:val="clear" w:color="auto" w:fill="auto"/>
            <w:vAlign w:val="center"/>
            <w:hideMark/>
          </w:tcPr>
          <w:p w14:paraId="17E613B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936</w:t>
            </w:r>
          </w:p>
        </w:tc>
        <w:tc>
          <w:tcPr>
            <w:tcW w:w="817" w:type="dxa"/>
            <w:tcBorders>
              <w:top w:val="nil"/>
              <w:left w:val="nil"/>
              <w:bottom w:val="nil"/>
              <w:right w:val="nil"/>
            </w:tcBorders>
            <w:shd w:val="clear" w:color="auto" w:fill="auto"/>
            <w:vAlign w:val="center"/>
            <w:hideMark/>
          </w:tcPr>
          <w:p w14:paraId="708E3F5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92%</w:t>
            </w:r>
          </w:p>
        </w:tc>
        <w:tc>
          <w:tcPr>
            <w:tcW w:w="658" w:type="dxa"/>
            <w:tcBorders>
              <w:top w:val="nil"/>
              <w:left w:val="nil"/>
              <w:bottom w:val="nil"/>
              <w:right w:val="single" w:sz="4" w:space="0" w:color="auto"/>
            </w:tcBorders>
            <w:shd w:val="clear" w:color="auto" w:fill="auto"/>
            <w:vAlign w:val="center"/>
            <w:hideMark/>
          </w:tcPr>
          <w:p w14:paraId="1C210F34"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977" w:type="dxa"/>
            <w:tcBorders>
              <w:top w:val="nil"/>
              <w:left w:val="nil"/>
              <w:bottom w:val="nil"/>
              <w:right w:val="nil"/>
            </w:tcBorders>
            <w:shd w:val="clear" w:color="auto" w:fill="auto"/>
            <w:vAlign w:val="center"/>
            <w:hideMark/>
          </w:tcPr>
          <w:p w14:paraId="3B50F7A9"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1412</w:t>
            </w:r>
          </w:p>
        </w:tc>
        <w:tc>
          <w:tcPr>
            <w:tcW w:w="856" w:type="dxa"/>
            <w:tcBorders>
              <w:top w:val="nil"/>
              <w:left w:val="nil"/>
              <w:bottom w:val="nil"/>
              <w:right w:val="nil"/>
            </w:tcBorders>
            <w:shd w:val="clear" w:color="auto" w:fill="auto"/>
            <w:vAlign w:val="center"/>
            <w:hideMark/>
          </w:tcPr>
          <w:p w14:paraId="2C39E9F5"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94%</w:t>
            </w:r>
          </w:p>
        </w:tc>
        <w:tc>
          <w:tcPr>
            <w:tcW w:w="638" w:type="dxa"/>
            <w:tcBorders>
              <w:top w:val="nil"/>
              <w:left w:val="nil"/>
              <w:bottom w:val="nil"/>
              <w:right w:val="single" w:sz="4" w:space="0" w:color="auto"/>
            </w:tcBorders>
            <w:shd w:val="clear" w:color="auto" w:fill="auto"/>
            <w:vAlign w:val="center"/>
            <w:hideMark/>
          </w:tcPr>
          <w:p w14:paraId="44D1347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958" w:type="dxa"/>
            <w:tcBorders>
              <w:top w:val="nil"/>
              <w:left w:val="nil"/>
              <w:bottom w:val="nil"/>
              <w:right w:val="nil"/>
            </w:tcBorders>
            <w:shd w:val="clear" w:color="auto" w:fill="auto"/>
            <w:noWrap/>
            <w:vAlign w:val="center"/>
            <w:hideMark/>
          </w:tcPr>
          <w:p w14:paraId="28D7B37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3988</w:t>
            </w:r>
          </w:p>
        </w:tc>
        <w:tc>
          <w:tcPr>
            <w:tcW w:w="857" w:type="dxa"/>
            <w:tcBorders>
              <w:top w:val="nil"/>
              <w:left w:val="nil"/>
              <w:bottom w:val="nil"/>
              <w:right w:val="nil"/>
            </w:tcBorders>
            <w:shd w:val="clear" w:color="auto" w:fill="auto"/>
            <w:noWrap/>
            <w:vAlign w:val="center"/>
            <w:hideMark/>
          </w:tcPr>
          <w:p w14:paraId="760CD96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95%</w:t>
            </w:r>
          </w:p>
        </w:tc>
        <w:tc>
          <w:tcPr>
            <w:tcW w:w="618" w:type="dxa"/>
            <w:tcBorders>
              <w:top w:val="nil"/>
              <w:left w:val="nil"/>
              <w:bottom w:val="nil"/>
              <w:right w:val="single" w:sz="4" w:space="0" w:color="auto"/>
            </w:tcBorders>
            <w:shd w:val="clear" w:color="auto" w:fill="auto"/>
            <w:noWrap/>
            <w:vAlign w:val="center"/>
            <w:hideMark/>
          </w:tcPr>
          <w:p w14:paraId="65FE652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0%</w:t>
            </w:r>
          </w:p>
        </w:tc>
        <w:tc>
          <w:tcPr>
            <w:tcW w:w="36" w:type="dxa"/>
            <w:vAlign w:val="center"/>
            <w:hideMark/>
          </w:tcPr>
          <w:p w14:paraId="6B7C078C" w14:textId="77777777" w:rsidR="005A1399" w:rsidRPr="009A501D" w:rsidRDefault="005A1399" w:rsidP="007F5C1B">
            <w:pPr>
              <w:spacing w:after="0" w:line="240" w:lineRule="auto"/>
              <w:contextualSpacing/>
              <w:rPr>
                <w:sz w:val="20"/>
                <w:szCs w:val="20"/>
              </w:rPr>
            </w:pPr>
          </w:p>
        </w:tc>
      </w:tr>
      <w:tr w:rsidR="005A1399" w:rsidRPr="009A501D" w14:paraId="6C09D509" w14:textId="77777777" w:rsidTr="009D02D7">
        <w:trPr>
          <w:trHeight w:val="284"/>
          <w:jc w:val="center"/>
        </w:trPr>
        <w:tc>
          <w:tcPr>
            <w:tcW w:w="899" w:type="dxa"/>
            <w:tcBorders>
              <w:top w:val="nil"/>
              <w:left w:val="single" w:sz="4" w:space="0" w:color="auto"/>
              <w:bottom w:val="nil"/>
              <w:right w:val="nil"/>
            </w:tcBorders>
            <w:shd w:val="clear" w:color="auto" w:fill="F2F2F2" w:themeFill="background1" w:themeFillShade="F2"/>
            <w:noWrap/>
            <w:vAlign w:val="center"/>
            <w:hideMark/>
          </w:tcPr>
          <w:p w14:paraId="2E501B7E"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F2F2F2" w:themeFill="background1" w:themeFillShade="F2"/>
            <w:noWrap/>
            <w:vAlign w:val="center"/>
            <w:hideMark/>
          </w:tcPr>
          <w:p w14:paraId="523B77A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F2F2F2" w:themeFill="background1" w:themeFillShade="F2"/>
            <w:noWrap/>
            <w:vAlign w:val="center"/>
            <w:hideMark/>
          </w:tcPr>
          <w:p w14:paraId="4E6A3B6D"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ENASJUP</w:t>
            </w:r>
          </w:p>
        </w:tc>
        <w:tc>
          <w:tcPr>
            <w:tcW w:w="1057" w:type="dxa"/>
            <w:tcBorders>
              <w:top w:val="nil"/>
              <w:left w:val="nil"/>
              <w:bottom w:val="nil"/>
              <w:right w:val="nil"/>
            </w:tcBorders>
            <w:shd w:val="clear" w:color="auto" w:fill="F2F2F2" w:themeFill="background1" w:themeFillShade="F2"/>
            <w:noWrap/>
            <w:vAlign w:val="center"/>
            <w:hideMark/>
          </w:tcPr>
          <w:p w14:paraId="5C76A4CE" w14:textId="77777777" w:rsidR="005A1399" w:rsidRPr="009A501D" w:rsidRDefault="005A1399" w:rsidP="007F5C1B">
            <w:pPr>
              <w:spacing w:after="0" w:line="240" w:lineRule="auto"/>
              <w:contextualSpacing/>
              <w:rPr>
                <w:rFonts w:ascii="Century Gothic" w:hAnsi="Century Gothic" w:cs="Calibri"/>
                <w:sz w:val="16"/>
                <w:szCs w:val="16"/>
              </w:rPr>
            </w:pPr>
          </w:p>
        </w:tc>
        <w:tc>
          <w:tcPr>
            <w:tcW w:w="817" w:type="dxa"/>
            <w:tcBorders>
              <w:top w:val="nil"/>
              <w:left w:val="nil"/>
              <w:bottom w:val="nil"/>
              <w:right w:val="nil"/>
            </w:tcBorders>
            <w:shd w:val="clear" w:color="auto" w:fill="F2F2F2" w:themeFill="background1" w:themeFillShade="F2"/>
            <w:noWrap/>
            <w:vAlign w:val="center"/>
            <w:hideMark/>
          </w:tcPr>
          <w:p w14:paraId="4E9D555E" w14:textId="77777777" w:rsidR="005A1399" w:rsidRPr="009A501D" w:rsidRDefault="005A1399" w:rsidP="007F5C1B">
            <w:pPr>
              <w:spacing w:after="0" w:line="240" w:lineRule="auto"/>
              <w:contextualSpacing/>
              <w:jc w:val="center"/>
              <w:rPr>
                <w:sz w:val="20"/>
                <w:szCs w:val="20"/>
              </w:rPr>
            </w:pPr>
          </w:p>
        </w:tc>
        <w:tc>
          <w:tcPr>
            <w:tcW w:w="638" w:type="dxa"/>
            <w:tcBorders>
              <w:top w:val="nil"/>
              <w:left w:val="nil"/>
              <w:bottom w:val="nil"/>
              <w:right w:val="single" w:sz="4" w:space="0" w:color="auto"/>
            </w:tcBorders>
            <w:shd w:val="clear" w:color="auto" w:fill="F2F2F2" w:themeFill="background1" w:themeFillShade="F2"/>
            <w:noWrap/>
            <w:vAlign w:val="center"/>
            <w:hideMark/>
          </w:tcPr>
          <w:p w14:paraId="04E0CB8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1037" w:type="dxa"/>
            <w:tcBorders>
              <w:top w:val="nil"/>
              <w:left w:val="nil"/>
              <w:bottom w:val="nil"/>
              <w:right w:val="nil"/>
            </w:tcBorders>
            <w:shd w:val="clear" w:color="auto" w:fill="F2F2F2" w:themeFill="background1" w:themeFillShade="F2"/>
            <w:vAlign w:val="center"/>
            <w:hideMark/>
          </w:tcPr>
          <w:p w14:paraId="3EEC750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99</w:t>
            </w:r>
          </w:p>
        </w:tc>
        <w:tc>
          <w:tcPr>
            <w:tcW w:w="817" w:type="dxa"/>
            <w:tcBorders>
              <w:top w:val="nil"/>
              <w:left w:val="nil"/>
              <w:bottom w:val="nil"/>
              <w:right w:val="nil"/>
            </w:tcBorders>
            <w:shd w:val="clear" w:color="auto" w:fill="F2F2F2" w:themeFill="background1" w:themeFillShade="F2"/>
            <w:vAlign w:val="center"/>
            <w:hideMark/>
          </w:tcPr>
          <w:p w14:paraId="10523A8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75%</w:t>
            </w:r>
          </w:p>
        </w:tc>
        <w:tc>
          <w:tcPr>
            <w:tcW w:w="658" w:type="dxa"/>
            <w:tcBorders>
              <w:top w:val="nil"/>
              <w:left w:val="nil"/>
              <w:bottom w:val="nil"/>
              <w:right w:val="single" w:sz="4" w:space="0" w:color="auto"/>
            </w:tcBorders>
            <w:shd w:val="clear" w:color="auto" w:fill="F2F2F2" w:themeFill="background1" w:themeFillShade="F2"/>
            <w:vAlign w:val="center"/>
            <w:hideMark/>
          </w:tcPr>
          <w:p w14:paraId="3D9B19B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4%</w:t>
            </w:r>
          </w:p>
        </w:tc>
        <w:tc>
          <w:tcPr>
            <w:tcW w:w="977" w:type="dxa"/>
            <w:tcBorders>
              <w:top w:val="nil"/>
              <w:left w:val="nil"/>
              <w:bottom w:val="nil"/>
              <w:right w:val="nil"/>
            </w:tcBorders>
            <w:shd w:val="clear" w:color="auto" w:fill="F2F2F2" w:themeFill="background1" w:themeFillShade="F2"/>
            <w:vAlign w:val="center"/>
            <w:hideMark/>
          </w:tcPr>
          <w:p w14:paraId="02374E5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56" w:type="dxa"/>
            <w:tcBorders>
              <w:top w:val="nil"/>
              <w:left w:val="nil"/>
              <w:bottom w:val="nil"/>
              <w:right w:val="nil"/>
            </w:tcBorders>
            <w:shd w:val="clear" w:color="auto" w:fill="F2F2F2" w:themeFill="background1" w:themeFillShade="F2"/>
            <w:vAlign w:val="center"/>
            <w:hideMark/>
          </w:tcPr>
          <w:p w14:paraId="1EC4270F"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F2F2F2" w:themeFill="background1" w:themeFillShade="F2"/>
            <w:vAlign w:val="center"/>
            <w:hideMark/>
          </w:tcPr>
          <w:p w14:paraId="661B35A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58" w:type="dxa"/>
            <w:tcBorders>
              <w:top w:val="nil"/>
              <w:left w:val="nil"/>
              <w:bottom w:val="nil"/>
              <w:right w:val="nil"/>
            </w:tcBorders>
            <w:shd w:val="clear" w:color="auto" w:fill="F2F2F2" w:themeFill="background1" w:themeFillShade="F2"/>
            <w:noWrap/>
            <w:vAlign w:val="center"/>
            <w:hideMark/>
          </w:tcPr>
          <w:p w14:paraId="3CE72CC7"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F2F2F2" w:themeFill="background1" w:themeFillShade="F2"/>
            <w:noWrap/>
            <w:vAlign w:val="center"/>
            <w:hideMark/>
          </w:tcPr>
          <w:p w14:paraId="0BAD9C99"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F2F2F2" w:themeFill="background1" w:themeFillShade="F2"/>
            <w:noWrap/>
            <w:vAlign w:val="center"/>
            <w:hideMark/>
          </w:tcPr>
          <w:p w14:paraId="1E5D45F1"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shd w:val="clear" w:color="auto" w:fill="F2F2F2" w:themeFill="background1" w:themeFillShade="F2"/>
            <w:vAlign w:val="center"/>
            <w:hideMark/>
          </w:tcPr>
          <w:p w14:paraId="7B50F667" w14:textId="77777777" w:rsidR="005A1399" w:rsidRPr="009A501D" w:rsidRDefault="005A1399" w:rsidP="007F5C1B">
            <w:pPr>
              <w:spacing w:after="0" w:line="240" w:lineRule="auto"/>
              <w:contextualSpacing/>
              <w:rPr>
                <w:sz w:val="20"/>
                <w:szCs w:val="20"/>
              </w:rPr>
            </w:pPr>
          </w:p>
        </w:tc>
      </w:tr>
      <w:tr w:rsidR="005A1399" w:rsidRPr="009A501D" w14:paraId="73CA5B11" w14:textId="77777777" w:rsidTr="00317772">
        <w:trPr>
          <w:trHeight w:val="284"/>
          <w:jc w:val="center"/>
        </w:trPr>
        <w:tc>
          <w:tcPr>
            <w:tcW w:w="899" w:type="dxa"/>
            <w:tcBorders>
              <w:top w:val="nil"/>
              <w:left w:val="single" w:sz="4" w:space="0" w:color="auto"/>
              <w:bottom w:val="nil"/>
              <w:right w:val="nil"/>
            </w:tcBorders>
            <w:shd w:val="clear" w:color="auto" w:fill="auto"/>
            <w:noWrap/>
            <w:vAlign w:val="center"/>
            <w:hideMark/>
          </w:tcPr>
          <w:p w14:paraId="503EB1C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nil"/>
              <w:right w:val="nil"/>
            </w:tcBorders>
            <w:shd w:val="clear" w:color="auto" w:fill="auto"/>
            <w:noWrap/>
            <w:vAlign w:val="center"/>
            <w:hideMark/>
          </w:tcPr>
          <w:p w14:paraId="103714B5"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nil"/>
              <w:right w:val="single" w:sz="4" w:space="0" w:color="auto"/>
            </w:tcBorders>
            <w:shd w:val="clear" w:color="auto" w:fill="auto"/>
            <w:noWrap/>
            <w:vAlign w:val="center"/>
            <w:hideMark/>
          </w:tcPr>
          <w:p w14:paraId="2C222F6F" w14:textId="77777777" w:rsidR="005A1399" w:rsidRPr="009A501D" w:rsidRDefault="005A1399" w:rsidP="004917C6">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ENCUCI</w:t>
            </w:r>
          </w:p>
        </w:tc>
        <w:tc>
          <w:tcPr>
            <w:tcW w:w="1057" w:type="dxa"/>
            <w:tcBorders>
              <w:top w:val="nil"/>
              <w:left w:val="nil"/>
              <w:bottom w:val="nil"/>
              <w:right w:val="nil"/>
            </w:tcBorders>
            <w:shd w:val="clear" w:color="auto" w:fill="auto"/>
            <w:noWrap/>
            <w:vAlign w:val="center"/>
            <w:hideMark/>
          </w:tcPr>
          <w:p w14:paraId="36827A5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469BF3E2"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38" w:type="dxa"/>
            <w:tcBorders>
              <w:top w:val="nil"/>
              <w:left w:val="nil"/>
              <w:bottom w:val="nil"/>
              <w:right w:val="single" w:sz="4" w:space="0" w:color="auto"/>
            </w:tcBorders>
            <w:shd w:val="clear" w:color="auto" w:fill="auto"/>
            <w:noWrap/>
            <w:vAlign w:val="center"/>
            <w:hideMark/>
          </w:tcPr>
          <w:p w14:paraId="67E7F93E"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1037" w:type="dxa"/>
            <w:tcBorders>
              <w:top w:val="nil"/>
              <w:left w:val="nil"/>
              <w:bottom w:val="nil"/>
              <w:right w:val="nil"/>
            </w:tcBorders>
            <w:shd w:val="clear" w:color="auto" w:fill="auto"/>
            <w:noWrap/>
            <w:vAlign w:val="center"/>
            <w:hideMark/>
          </w:tcPr>
          <w:p w14:paraId="4951BF0D"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817" w:type="dxa"/>
            <w:tcBorders>
              <w:top w:val="nil"/>
              <w:left w:val="nil"/>
              <w:bottom w:val="nil"/>
              <w:right w:val="nil"/>
            </w:tcBorders>
            <w:shd w:val="clear" w:color="auto" w:fill="auto"/>
            <w:noWrap/>
            <w:vAlign w:val="center"/>
            <w:hideMark/>
          </w:tcPr>
          <w:p w14:paraId="601B356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658" w:type="dxa"/>
            <w:tcBorders>
              <w:top w:val="nil"/>
              <w:left w:val="nil"/>
              <w:bottom w:val="nil"/>
              <w:right w:val="single" w:sz="4" w:space="0" w:color="auto"/>
            </w:tcBorders>
            <w:shd w:val="clear" w:color="auto" w:fill="auto"/>
            <w:noWrap/>
            <w:vAlign w:val="center"/>
            <w:hideMark/>
          </w:tcPr>
          <w:p w14:paraId="0EDCAEE6"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w:t>
            </w:r>
          </w:p>
        </w:tc>
        <w:tc>
          <w:tcPr>
            <w:tcW w:w="977" w:type="dxa"/>
            <w:tcBorders>
              <w:top w:val="nil"/>
              <w:left w:val="nil"/>
              <w:bottom w:val="nil"/>
              <w:right w:val="nil"/>
            </w:tcBorders>
            <w:shd w:val="clear" w:color="auto" w:fill="auto"/>
            <w:vAlign w:val="center"/>
            <w:hideMark/>
          </w:tcPr>
          <w:p w14:paraId="432E786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84</w:t>
            </w:r>
          </w:p>
        </w:tc>
        <w:tc>
          <w:tcPr>
            <w:tcW w:w="856" w:type="dxa"/>
            <w:tcBorders>
              <w:top w:val="nil"/>
              <w:left w:val="nil"/>
              <w:bottom w:val="nil"/>
              <w:right w:val="nil"/>
            </w:tcBorders>
            <w:shd w:val="clear" w:color="auto" w:fill="auto"/>
            <w:vAlign w:val="center"/>
            <w:hideMark/>
          </w:tcPr>
          <w:p w14:paraId="68CE193A"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90%</w:t>
            </w:r>
          </w:p>
        </w:tc>
        <w:tc>
          <w:tcPr>
            <w:tcW w:w="638" w:type="dxa"/>
            <w:tcBorders>
              <w:top w:val="nil"/>
              <w:left w:val="nil"/>
              <w:bottom w:val="nil"/>
              <w:right w:val="single" w:sz="4" w:space="0" w:color="auto"/>
            </w:tcBorders>
            <w:shd w:val="clear" w:color="auto" w:fill="auto"/>
            <w:vAlign w:val="center"/>
            <w:hideMark/>
          </w:tcPr>
          <w:p w14:paraId="45AAB20B"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1%</w:t>
            </w:r>
          </w:p>
        </w:tc>
        <w:tc>
          <w:tcPr>
            <w:tcW w:w="958" w:type="dxa"/>
            <w:tcBorders>
              <w:top w:val="nil"/>
              <w:left w:val="nil"/>
              <w:bottom w:val="nil"/>
              <w:right w:val="nil"/>
            </w:tcBorders>
            <w:shd w:val="clear" w:color="auto" w:fill="auto"/>
            <w:noWrap/>
            <w:vAlign w:val="center"/>
            <w:hideMark/>
          </w:tcPr>
          <w:p w14:paraId="407D2005" w14:textId="77777777" w:rsidR="005A1399" w:rsidRPr="009A501D" w:rsidRDefault="005A1399" w:rsidP="007F5C1B">
            <w:pPr>
              <w:spacing w:after="0" w:line="240" w:lineRule="auto"/>
              <w:contextualSpacing/>
              <w:jc w:val="center"/>
              <w:rPr>
                <w:rFonts w:ascii="Century Gothic" w:hAnsi="Century Gothic" w:cs="Calibri"/>
                <w:sz w:val="16"/>
                <w:szCs w:val="16"/>
              </w:rPr>
            </w:pPr>
          </w:p>
        </w:tc>
        <w:tc>
          <w:tcPr>
            <w:tcW w:w="857" w:type="dxa"/>
            <w:tcBorders>
              <w:top w:val="nil"/>
              <w:left w:val="nil"/>
              <w:bottom w:val="nil"/>
              <w:right w:val="nil"/>
            </w:tcBorders>
            <w:shd w:val="clear" w:color="auto" w:fill="auto"/>
            <w:noWrap/>
            <w:vAlign w:val="center"/>
            <w:hideMark/>
          </w:tcPr>
          <w:p w14:paraId="1B42395C" w14:textId="77777777" w:rsidR="005A1399" w:rsidRPr="009A501D" w:rsidRDefault="005A1399" w:rsidP="007F5C1B">
            <w:pPr>
              <w:spacing w:after="0" w:line="240" w:lineRule="auto"/>
              <w:contextualSpacing/>
              <w:jc w:val="center"/>
              <w:rPr>
                <w:sz w:val="20"/>
                <w:szCs w:val="20"/>
              </w:rPr>
            </w:pPr>
          </w:p>
        </w:tc>
        <w:tc>
          <w:tcPr>
            <w:tcW w:w="618" w:type="dxa"/>
            <w:tcBorders>
              <w:top w:val="nil"/>
              <w:left w:val="nil"/>
              <w:bottom w:val="nil"/>
              <w:right w:val="single" w:sz="4" w:space="0" w:color="auto"/>
            </w:tcBorders>
            <w:shd w:val="clear" w:color="auto" w:fill="auto"/>
            <w:noWrap/>
            <w:vAlign w:val="center"/>
            <w:hideMark/>
          </w:tcPr>
          <w:p w14:paraId="569F3438" w14:textId="77777777" w:rsidR="005A1399" w:rsidRPr="009A501D" w:rsidRDefault="005A1399" w:rsidP="007F5C1B">
            <w:pPr>
              <w:spacing w:after="0" w:line="240" w:lineRule="auto"/>
              <w:contextualSpacing/>
              <w:jc w:val="center"/>
              <w:rPr>
                <w:rFonts w:ascii="Century Gothic" w:hAnsi="Century Gothic" w:cs="Calibri"/>
                <w:sz w:val="16"/>
                <w:szCs w:val="16"/>
              </w:rPr>
            </w:pPr>
            <w:r w:rsidRPr="009A501D">
              <w:rPr>
                <w:rFonts w:ascii="Century Gothic" w:hAnsi="Century Gothic" w:cs="Calibri"/>
                <w:sz w:val="16"/>
                <w:szCs w:val="16"/>
              </w:rPr>
              <w:t> </w:t>
            </w:r>
          </w:p>
        </w:tc>
        <w:tc>
          <w:tcPr>
            <w:tcW w:w="36" w:type="dxa"/>
            <w:vAlign w:val="center"/>
            <w:hideMark/>
          </w:tcPr>
          <w:p w14:paraId="34A33238" w14:textId="77777777" w:rsidR="005A1399" w:rsidRPr="009A501D" w:rsidRDefault="005A1399" w:rsidP="007F5C1B">
            <w:pPr>
              <w:spacing w:after="0" w:line="240" w:lineRule="auto"/>
              <w:contextualSpacing/>
              <w:rPr>
                <w:sz w:val="20"/>
                <w:szCs w:val="20"/>
              </w:rPr>
            </w:pPr>
          </w:p>
        </w:tc>
      </w:tr>
      <w:tr w:rsidR="005A1399" w:rsidRPr="009A501D" w14:paraId="53CFA463" w14:textId="77777777" w:rsidTr="009D02D7">
        <w:trPr>
          <w:trHeight w:val="284"/>
          <w:jc w:val="center"/>
        </w:trPr>
        <w:tc>
          <w:tcPr>
            <w:tcW w:w="899" w:type="dxa"/>
            <w:tcBorders>
              <w:top w:val="nil"/>
              <w:left w:val="single" w:sz="4" w:space="0" w:color="auto"/>
              <w:bottom w:val="single" w:sz="4" w:space="0" w:color="auto"/>
              <w:right w:val="nil"/>
            </w:tcBorders>
            <w:shd w:val="clear" w:color="auto" w:fill="F2F2F2" w:themeFill="background1" w:themeFillShade="F2"/>
            <w:noWrap/>
            <w:vAlign w:val="center"/>
            <w:hideMark/>
          </w:tcPr>
          <w:p w14:paraId="35149B61"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518" w:type="dxa"/>
            <w:tcBorders>
              <w:top w:val="nil"/>
              <w:left w:val="nil"/>
              <w:bottom w:val="single" w:sz="4" w:space="0" w:color="auto"/>
              <w:right w:val="nil"/>
            </w:tcBorders>
            <w:shd w:val="clear" w:color="auto" w:fill="F2F2F2" w:themeFill="background1" w:themeFillShade="F2"/>
            <w:noWrap/>
            <w:vAlign w:val="center"/>
            <w:hideMark/>
          </w:tcPr>
          <w:p w14:paraId="7299A9FB"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999" w:type="dxa"/>
            <w:tcBorders>
              <w:top w:val="nil"/>
              <w:left w:val="nil"/>
              <w:bottom w:val="single" w:sz="4" w:space="0" w:color="auto"/>
              <w:right w:val="single" w:sz="4" w:space="0" w:color="auto"/>
            </w:tcBorders>
            <w:shd w:val="clear" w:color="auto" w:fill="F2F2F2" w:themeFill="background1" w:themeFillShade="F2"/>
            <w:noWrap/>
            <w:vAlign w:val="center"/>
            <w:hideMark/>
          </w:tcPr>
          <w:p w14:paraId="0C1B08E8" w14:textId="77777777" w:rsidR="005A1399" w:rsidRPr="009A501D" w:rsidRDefault="005A1399" w:rsidP="004917C6">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ENPOL</w:t>
            </w:r>
          </w:p>
        </w:tc>
        <w:tc>
          <w:tcPr>
            <w:tcW w:w="1057" w:type="dxa"/>
            <w:tcBorders>
              <w:top w:val="nil"/>
              <w:left w:val="nil"/>
              <w:bottom w:val="single" w:sz="4" w:space="0" w:color="auto"/>
              <w:right w:val="nil"/>
            </w:tcBorders>
            <w:shd w:val="clear" w:color="auto" w:fill="F2F2F2" w:themeFill="background1" w:themeFillShade="F2"/>
            <w:noWrap/>
            <w:vAlign w:val="center"/>
            <w:hideMark/>
          </w:tcPr>
          <w:p w14:paraId="0431768A"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817" w:type="dxa"/>
            <w:tcBorders>
              <w:top w:val="nil"/>
              <w:left w:val="nil"/>
              <w:bottom w:val="single" w:sz="4" w:space="0" w:color="auto"/>
              <w:right w:val="nil"/>
            </w:tcBorders>
            <w:shd w:val="clear" w:color="auto" w:fill="F2F2F2" w:themeFill="background1" w:themeFillShade="F2"/>
            <w:noWrap/>
            <w:vAlign w:val="center"/>
            <w:hideMark/>
          </w:tcPr>
          <w:p w14:paraId="789D3FD5"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43A6B4F5"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1037" w:type="dxa"/>
            <w:tcBorders>
              <w:top w:val="nil"/>
              <w:left w:val="nil"/>
              <w:bottom w:val="single" w:sz="4" w:space="0" w:color="auto"/>
              <w:right w:val="nil"/>
            </w:tcBorders>
            <w:shd w:val="clear" w:color="auto" w:fill="F2F2F2" w:themeFill="background1" w:themeFillShade="F2"/>
            <w:noWrap/>
            <w:vAlign w:val="center"/>
            <w:hideMark/>
          </w:tcPr>
          <w:p w14:paraId="6D78E81A"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817" w:type="dxa"/>
            <w:tcBorders>
              <w:top w:val="nil"/>
              <w:left w:val="nil"/>
              <w:bottom w:val="single" w:sz="4" w:space="0" w:color="auto"/>
              <w:right w:val="nil"/>
            </w:tcBorders>
            <w:shd w:val="clear" w:color="auto" w:fill="F2F2F2" w:themeFill="background1" w:themeFillShade="F2"/>
            <w:noWrap/>
            <w:vAlign w:val="center"/>
            <w:hideMark/>
          </w:tcPr>
          <w:p w14:paraId="526D2A20"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658" w:type="dxa"/>
            <w:tcBorders>
              <w:top w:val="nil"/>
              <w:left w:val="nil"/>
              <w:bottom w:val="single" w:sz="4" w:space="0" w:color="auto"/>
              <w:right w:val="single" w:sz="4" w:space="0" w:color="auto"/>
            </w:tcBorders>
            <w:shd w:val="clear" w:color="auto" w:fill="F2F2F2" w:themeFill="background1" w:themeFillShade="F2"/>
            <w:noWrap/>
            <w:vAlign w:val="center"/>
            <w:hideMark/>
          </w:tcPr>
          <w:p w14:paraId="40F5F10E"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977" w:type="dxa"/>
            <w:tcBorders>
              <w:top w:val="nil"/>
              <w:left w:val="nil"/>
              <w:bottom w:val="single" w:sz="4" w:space="0" w:color="auto"/>
              <w:right w:val="nil"/>
            </w:tcBorders>
            <w:shd w:val="clear" w:color="auto" w:fill="F2F2F2" w:themeFill="background1" w:themeFillShade="F2"/>
            <w:noWrap/>
            <w:vAlign w:val="center"/>
            <w:hideMark/>
          </w:tcPr>
          <w:p w14:paraId="362D8159"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462</w:t>
            </w:r>
          </w:p>
        </w:tc>
        <w:tc>
          <w:tcPr>
            <w:tcW w:w="856" w:type="dxa"/>
            <w:tcBorders>
              <w:top w:val="nil"/>
              <w:left w:val="nil"/>
              <w:bottom w:val="single" w:sz="4" w:space="0" w:color="auto"/>
              <w:right w:val="nil"/>
            </w:tcBorders>
            <w:shd w:val="clear" w:color="auto" w:fill="F2F2F2" w:themeFill="background1" w:themeFillShade="F2"/>
            <w:noWrap/>
            <w:vAlign w:val="center"/>
            <w:hideMark/>
          </w:tcPr>
          <w:p w14:paraId="0AC81651"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100%</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390CD2E1"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0%</w:t>
            </w:r>
          </w:p>
        </w:tc>
        <w:tc>
          <w:tcPr>
            <w:tcW w:w="958" w:type="dxa"/>
            <w:tcBorders>
              <w:top w:val="nil"/>
              <w:left w:val="nil"/>
              <w:bottom w:val="single" w:sz="4" w:space="0" w:color="auto"/>
              <w:right w:val="nil"/>
            </w:tcBorders>
            <w:shd w:val="clear" w:color="auto" w:fill="F2F2F2" w:themeFill="background1" w:themeFillShade="F2"/>
            <w:noWrap/>
            <w:vAlign w:val="center"/>
            <w:hideMark/>
          </w:tcPr>
          <w:p w14:paraId="3C02D715"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857" w:type="dxa"/>
            <w:tcBorders>
              <w:top w:val="nil"/>
              <w:left w:val="nil"/>
              <w:bottom w:val="single" w:sz="4" w:space="0" w:color="auto"/>
              <w:right w:val="nil"/>
            </w:tcBorders>
            <w:shd w:val="clear" w:color="auto" w:fill="F2F2F2" w:themeFill="background1" w:themeFillShade="F2"/>
            <w:noWrap/>
            <w:vAlign w:val="center"/>
            <w:hideMark/>
          </w:tcPr>
          <w:p w14:paraId="54021632"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618" w:type="dxa"/>
            <w:tcBorders>
              <w:top w:val="nil"/>
              <w:left w:val="nil"/>
              <w:bottom w:val="single" w:sz="4" w:space="0" w:color="auto"/>
              <w:right w:val="single" w:sz="4" w:space="0" w:color="auto"/>
            </w:tcBorders>
            <w:shd w:val="clear" w:color="auto" w:fill="F2F2F2" w:themeFill="background1" w:themeFillShade="F2"/>
            <w:noWrap/>
            <w:vAlign w:val="center"/>
            <w:hideMark/>
          </w:tcPr>
          <w:p w14:paraId="6F1A66A2" w14:textId="77777777" w:rsidR="005A1399" w:rsidRPr="009A501D" w:rsidRDefault="005A1399" w:rsidP="007F5C1B">
            <w:pPr>
              <w:spacing w:after="0" w:line="240" w:lineRule="auto"/>
              <w:contextualSpacing/>
              <w:jc w:val="center"/>
              <w:rPr>
                <w:rFonts w:ascii="Century Gothic" w:hAnsi="Century Gothic" w:cs="Calibri"/>
                <w:color w:val="000000"/>
                <w:sz w:val="16"/>
                <w:szCs w:val="16"/>
              </w:rPr>
            </w:pPr>
            <w:r w:rsidRPr="009A501D">
              <w:rPr>
                <w:rFonts w:ascii="Century Gothic" w:hAnsi="Century Gothic" w:cs="Calibri"/>
                <w:color w:val="000000"/>
                <w:sz w:val="16"/>
                <w:szCs w:val="16"/>
              </w:rPr>
              <w:t> </w:t>
            </w:r>
          </w:p>
        </w:tc>
        <w:tc>
          <w:tcPr>
            <w:tcW w:w="36" w:type="dxa"/>
            <w:shd w:val="clear" w:color="auto" w:fill="F2F2F2" w:themeFill="background1" w:themeFillShade="F2"/>
            <w:vAlign w:val="center"/>
            <w:hideMark/>
          </w:tcPr>
          <w:p w14:paraId="62E05953" w14:textId="77777777" w:rsidR="005A1399" w:rsidRPr="009A501D" w:rsidRDefault="005A1399" w:rsidP="007F5C1B">
            <w:pPr>
              <w:spacing w:after="0" w:line="240" w:lineRule="auto"/>
              <w:contextualSpacing/>
              <w:rPr>
                <w:sz w:val="20"/>
                <w:szCs w:val="20"/>
              </w:rPr>
            </w:pPr>
          </w:p>
        </w:tc>
      </w:tr>
    </w:tbl>
    <w:p w14:paraId="5FE23EA2" w14:textId="52FA5C5F" w:rsidR="005A1399" w:rsidRPr="009A501D" w:rsidRDefault="005A1399" w:rsidP="007F5C1B">
      <w:pPr>
        <w:spacing w:after="0"/>
        <w:ind w:left="426" w:right="650"/>
        <w:jc w:val="both"/>
        <w:rPr>
          <w:rFonts w:ascii="Century Gothic" w:eastAsia="Century Gothic" w:hAnsi="Century Gothic" w:cs="Century Gothic"/>
          <w:position w:val="4"/>
          <w:sz w:val="14"/>
          <w:szCs w:val="14"/>
        </w:rPr>
      </w:pPr>
      <w:r w:rsidRPr="009A501D">
        <w:rPr>
          <w:rFonts w:ascii="Century Gothic" w:eastAsia="Century Gothic" w:hAnsi="Century Gothic" w:cs="Century Gothic"/>
          <w:position w:val="4"/>
          <w:sz w:val="14"/>
          <w:szCs w:val="14"/>
          <w:vertAlign w:val="superscript"/>
        </w:rPr>
        <w:t>a/</w:t>
      </w:r>
      <w:r w:rsidRPr="009A501D">
        <w:rPr>
          <w:rFonts w:ascii="Century Gothic" w:eastAsia="Century Gothic" w:hAnsi="Century Gothic" w:cs="Century Gothic"/>
          <w:position w:val="4"/>
          <w:sz w:val="14"/>
          <w:szCs w:val="14"/>
        </w:rPr>
        <w:t xml:space="preserve"> Los umbrales para el coeficiente de variación aprobados por el Comité para las encuestas en hogares y otras unidades diferentes a las económicas. Debido a cuestiones de espacio, se omitió el umbral de calidad Moderada [15-30), sin embargo, el porcentaje de casos que caen en dicho umbral por </w:t>
      </w:r>
      <w:r w:rsidR="00EC4113" w:rsidRPr="009A501D">
        <w:rPr>
          <w:rFonts w:ascii="Century Gothic" w:eastAsia="Century Gothic" w:hAnsi="Century Gothic" w:cs="Century Gothic"/>
          <w:position w:val="4"/>
          <w:sz w:val="14"/>
          <w:szCs w:val="14"/>
        </w:rPr>
        <w:t>proceso</w:t>
      </w:r>
      <w:r w:rsidRPr="009A501D">
        <w:rPr>
          <w:rFonts w:ascii="Century Gothic" w:eastAsia="Century Gothic" w:hAnsi="Century Gothic" w:cs="Century Gothic"/>
          <w:position w:val="4"/>
          <w:sz w:val="14"/>
          <w:szCs w:val="14"/>
        </w:rPr>
        <w:t xml:space="preserve"> se puede obtener como el complemento de la suma de los umbrales presentes.</w:t>
      </w:r>
    </w:p>
    <w:p w14:paraId="0589B06F" w14:textId="74393929" w:rsidR="005A1399" w:rsidRPr="009A501D" w:rsidRDefault="005A1399" w:rsidP="007F5C1B">
      <w:pPr>
        <w:spacing w:after="0"/>
        <w:ind w:left="426" w:right="650"/>
        <w:jc w:val="both"/>
        <w:rPr>
          <w:rFonts w:ascii="Century Gothic" w:hAnsi="Century Gothic"/>
          <w:sz w:val="14"/>
          <w:szCs w:val="14"/>
        </w:rPr>
      </w:pPr>
      <w:r w:rsidRPr="009A501D">
        <w:rPr>
          <w:rFonts w:ascii="Century Gothic" w:hAnsi="Century Gothic"/>
          <w:sz w:val="14"/>
          <w:szCs w:val="14"/>
        </w:rPr>
        <w:t xml:space="preserve">*Estos datos corresponden a la información publicada en 2022, y que reportaron indicadores en los metadatos hasta el 31 de enero de 2023. </w:t>
      </w:r>
    </w:p>
    <w:p w14:paraId="0E42552A" w14:textId="4D092E12" w:rsidR="005A1399" w:rsidRPr="009A501D" w:rsidRDefault="005A1399" w:rsidP="007F5C1B">
      <w:pPr>
        <w:spacing w:after="0"/>
        <w:ind w:left="426" w:right="650"/>
        <w:jc w:val="both"/>
        <w:rPr>
          <w:rFonts w:ascii="Century Gothic" w:hAnsi="Century Gothic" w:cstheme="majorHAnsi"/>
          <w:b/>
          <w:sz w:val="19"/>
          <w:szCs w:val="19"/>
        </w:rPr>
      </w:pPr>
      <w:r w:rsidRPr="009A501D">
        <w:rPr>
          <w:rFonts w:ascii="Century Gothic" w:hAnsi="Century Gothic"/>
          <w:sz w:val="14"/>
          <w:szCs w:val="14"/>
        </w:rPr>
        <w:t>**El número de casos corresponde a la multiplicación de los indicadores-objetivo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en 2020 se publicaron 12 meses con algunas excepciones por la contingencia sanitaria, en 2021 se publicaron 12 meses y en 2022 se publicaron conforme a lo mencionado en el cuadro A.6.2.</w:t>
      </w:r>
    </w:p>
    <w:p w14:paraId="58BB7F6A" w14:textId="05842C37"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ajorHAnsi"/>
          <w:bCs/>
          <w:sz w:val="19"/>
          <w:szCs w:val="19"/>
        </w:rPr>
        <w:t>En el cuadro A.</w:t>
      </w:r>
      <w:r w:rsidR="00AE6C80" w:rsidRPr="009A501D">
        <w:rPr>
          <w:rFonts w:ascii="Century Gothic" w:hAnsi="Century Gothic" w:cstheme="majorHAnsi"/>
          <w:bCs/>
          <w:sz w:val="19"/>
          <w:szCs w:val="19"/>
        </w:rPr>
        <w:t>5</w:t>
      </w:r>
      <w:r w:rsidRPr="009A501D">
        <w:rPr>
          <w:rFonts w:ascii="Century Gothic" w:hAnsi="Century Gothic" w:cstheme="majorHAnsi"/>
          <w:bCs/>
          <w:sz w:val="19"/>
          <w:szCs w:val="19"/>
        </w:rPr>
        <w:t>.7 se presenta</w:t>
      </w:r>
      <w:r w:rsidR="00EB173D" w:rsidRPr="009A501D">
        <w:rPr>
          <w:rFonts w:ascii="Century Gothic" w:hAnsi="Century Gothic" w:cstheme="majorHAnsi"/>
          <w:bCs/>
          <w:sz w:val="19"/>
          <w:szCs w:val="19"/>
        </w:rPr>
        <w:t xml:space="preserve">n </w:t>
      </w:r>
      <w:r w:rsidRPr="009A501D">
        <w:rPr>
          <w:rFonts w:ascii="Century Gothic" w:hAnsi="Century Gothic" w:cstheme="majorHAnsi"/>
          <w:bCs/>
          <w:sz w:val="19"/>
          <w:szCs w:val="19"/>
        </w:rPr>
        <w:t xml:space="preserve">los </w:t>
      </w:r>
      <w:r w:rsidR="00EC4113" w:rsidRPr="009A501D">
        <w:rPr>
          <w:rFonts w:ascii="Century Gothic" w:hAnsi="Century Gothic" w:cstheme="majorHAnsi"/>
          <w:bCs/>
          <w:sz w:val="19"/>
          <w:szCs w:val="19"/>
        </w:rPr>
        <w:t xml:space="preserve">procesos </w:t>
      </w:r>
      <w:r w:rsidRPr="009A501D">
        <w:rPr>
          <w:rFonts w:ascii="Century Gothic" w:hAnsi="Century Gothic" w:cstheme="majorHAnsi"/>
          <w:bCs/>
          <w:sz w:val="19"/>
          <w:szCs w:val="19"/>
        </w:rPr>
        <w:t xml:space="preserve">que </w:t>
      </w:r>
      <w:r w:rsidR="00BB106F" w:rsidRPr="009A501D">
        <w:rPr>
          <w:rFonts w:ascii="Century Gothic" w:hAnsi="Century Gothic" w:cstheme="majorHAnsi"/>
          <w:bCs/>
          <w:sz w:val="19"/>
          <w:szCs w:val="19"/>
        </w:rPr>
        <w:t>presentaron</w:t>
      </w:r>
      <w:r w:rsidRPr="009A501D">
        <w:rPr>
          <w:rFonts w:ascii="Century Gothic" w:hAnsi="Century Gothic" w:cstheme="majorHAnsi"/>
          <w:bCs/>
          <w:sz w:val="19"/>
          <w:szCs w:val="19"/>
        </w:rPr>
        <w:t xml:space="preserve"> un incremento en el número de indicadores-objetivo </w:t>
      </w:r>
      <w:r w:rsidR="00476CC7" w:rsidRPr="009A501D">
        <w:rPr>
          <w:rFonts w:ascii="Century Gothic" w:hAnsi="Century Gothic" w:cstheme="majorHAnsi"/>
          <w:bCs/>
          <w:sz w:val="19"/>
          <w:szCs w:val="19"/>
        </w:rPr>
        <w:t>y casos</w:t>
      </w:r>
      <w:r w:rsidR="003B2D8F" w:rsidRPr="009A501D">
        <w:rPr>
          <w:rFonts w:ascii="Century Gothic" w:hAnsi="Century Gothic" w:cstheme="majorHAnsi"/>
          <w:bCs/>
          <w:sz w:val="19"/>
          <w:szCs w:val="19"/>
        </w:rPr>
        <w:t xml:space="preserve">, </w:t>
      </w:r>
      <w:proofErr w:type="gramStart"/>
      <w:r w:rsidR="003B2D8F" w:rsidRPr="009A501D">
        <w:rPr>
          <w:rFonts w:ascii="Century Gothic" w:hAnsi="Century Gothic" w:cstheme="majorHAnsi"/>
          <w:bCs/>
          <w:sz w:val="19"/>
          <w:szCs w:val="19"/>
        </w:rPr>
        <w:t>en razón de</w:t>
      </w:r>
      <w:proofErr w:type="gramEnd"/>
      <w:r w:rsidR="003B2D8F" w:rsidRPr="009A501D">
        <w:rPr>
          <w:rFonts w:ascii="Century Gothic" w:hAnsi="Century Gothic" w:cstheme="majorHAnsi"/>
          <w:bCs/>
          <w:sz w:val="19"/>
          <w:szCs w:val="19"/>
        </w:rPr>
        <w:t xml:space="preserve"> lo mencionado en los párrafos anteriores.</w:t>
      </w:r>
      <w:r w:rsidRPr="009A501D">
        <w:rPr>
          <w:rFonts w:ascii="Century Gothic" w:hAnsi="Century Gothic" w:cstheme="minorHAnsi"/>
          <w:sz w:val="19"/>
          <w:szCs w:val="19"/>
        </w:rPr>
        <w:t xml:space="preserve"> Se dará continuidad con ejercicios similares con otras áreas y </w:t>
      </w:r>
      <w:r w:rsidR="00EC4113" w:rsidRPr="009A501D">
        <w:rPr>
          <w:rFonts w:ascii="Century Gothic" w:hAnsi="Century Gothic" w:cstheme="minorHAnsi"/>
          <w:sz w:val="19"/>
          <w:szCs w:val="19"/>
        </w:rPr>
        <w:t>proceso</w:t>
      </w:r>
      <w:r w:rsidRPr="009A501D">
        <w:rPr>
          <w:rFonts w:ascii="Century Gothic" w:hAnsi="Century Gothic" w:cstheme="minorHAnsi"/>
          <w:sz w:val="19"/>
          <w:szCs w:val="19"/>
        </w:rPr>
        <w:t>s con el fin de contar con</w:t>
      </w:r>
      <w:r w:rsidR="00985A3B" w:rsidRPr="009A501D">
        <w:rPr>
          <w:rFonts w:ascii="Century Gothic" w:hAnsi="Century Gothic" w:cstheme="minorHAnsi"/>
          <w:sz w:val="19"/>
          <w:szCs w:val="19"/>
        </w:rPr>
        <w:t xml:space="preserve"> indicadores de precisión</w:t>
      </w:r>
      <w:r w:rsidRPr="009A501D">
        <w:rPr>
          <w:rFonts w:ascii="Century Gothic" w:hAnsi="Century Gothic" w:cstheme="minorHAnsi"/>
          <w:sz w:val="19"/>
          <w:szCs w:val="19"/>
        </w:rPr>
        <w:t xml:space="preserve"> para la totalidad de indicadores-objetivo producidos y publicados.</w:t>
      </w:r>
    </w:p>
    <w:p w14:paraId="2E8C3B34" w14:textId="54C817DA" w:rsidR="007F5C1B" w:rsidRPr="009A501D" w:rsidRDefault="007F5C1B">
      <w:pPr>
        <w:rPr>
          <w:rFonts w:ascii="Century Gothic" w:hAnsi="Century Gothic" w:cstheme="minorHAnsi"/>
          <w:sz w:val="19"/>
          <w:szCs w:val="19"/>
        </w:rPr>
      </w:pPr>
      <w:r w:rsidRPr="009A501D">
        <w:rPr>
          <w:rFonts w:ascii="Century Gothic" w:hAnsi="Century Gothic" w:cstheme="minorHAnsi"/>
          <w:sz w:val="19"/>
          <w:szCs w:val="19"/>
        </w:rPr>
        <w:br w:type="page"/>
      </w:r>
    </w:p>
    <w:p w14:paraId="15713CB5" w14:textId="0367635B" w:rsidR="005A1399" w:rsidRPr="009A501D" w:rsidRDefault="005A1399"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lastRenderedPageBreak/>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.7. Encuestas para las cuales en 2022 se observa un incremento en el número de casos reportados</w:t>
      </w:r>
    </w:p>
    <w:tbl>
      <w:tblPr>
        <w:tblW w:w="113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000"/>
        <w:gridCol w:w="1188"/>
        <w:gridCol w:w="950"/>
        <w:gridCol w:w="1960"/>
        <w:gridCol w:w="851"/>
        <w:gridCol w:w="2126"/>
        <w:gridCol w:w="1985"/>
        <w:gridCol w:w="1275"/>
      </w:tblGrid>
      <w:tr w:rsidR="005A1399" w:rsidRPr="009A501D" w14:paraId="5B74B969" w14:textId="77777777" w:rsidTr="00C43585">
        <w:trPr>
          <w:trHeight w:val="284"/>
          <w:jc w:val="center"/>
        </w:trPr>
        <w:tc>
          <w:tcPr>
            <w:tcW w:w="1000" w:type="dxa"/>
            <w:shd w:val="clear" w:color="000000" w:fill="002060"/>
            <w:vAlign w:val="center"/>
            <w:hideMark/>
          </w:tcPr>
          <w:p w14:paraId="3432B39C" w14:textId="77777777"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188" w:type="dxa"/>
            <w:shd w:val="clear" w:color="000000" w:fill="002060"/>
            <w:vAlign w:val="center"/>
            <w:hideMark/>
          </w:tcPr>
          <w:p w14:paraId="182148EE" w14:textId="77777777"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950" w:type="dxa"/>
            <w:shd w:val="clear" w:color="000000" w:fill="002060"/>
            <w:vAlign w:val="center"/>
            <w:hideMark/>
          </w:tcPr>
          <w:p w14:paraId="4FF7A375" w14:textId="2E200D95" w:rsidR="005A1399" w:rsidRPr="009A501D" w:rsidRDefault="00EC4113"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1960" w:type="dxa"/>
            <w:shd w:val="clear" w:color="000000" w:fill="002060"/>
            <w:vAlign w:val="center"/>
            <w:hideMark/>
          </w:tcPr>
          <w:p w14:paraId="6A46A6E7" w14:textId="77777777"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Informe de calidad</w:t>
            </w:r>
          </w:p>
        </w:tc>
        <w:tc>
          <w:tcPr>
            <w:tcW w:w="851" w:type="dxa"/>
            <w:shd w:val="clear" w:color="000000" w:fill="002060"/>
            <w:vAlign w:val="center"/>
            <w:hideMark/>
          </w:tcPr>
          <w:p w14:paraId="337DDF3C" w14:textId="77777777"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Ciclos</w:t>
            </w:r>
          </w:p>
        </w:tc>
        <w:tc>
          <w:tcPr>
            <w:tcW w:w="2126" w:type="dxa"/>
            <w:shd w:val="clear" w:color="000000" w:fill="002060"/>
            <w:vAlign w:val="center"/>
            <w:hideMark/>
          </w:tcPr>
          <w:p w14:paraId="7EE9C92D" w14:textId="7C1867BF"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I</w:t>
            </w:r>
            <w:r w:rsidR="00C43585" w:rsidRPr="009A501D">
              <w:rPr>
                <w:rFonts w:ascii="Century Gothic" w:hAnsi="Century Gothic" w:cs="Calibri"/>
                <w:b/>
                <w:color w:val="FFFFFF"/>
                <w:sz w:val="16"/>
                <w:szCs w:val="16"/>
              </w:rPr>
              <w:t>ndicadores</w:t>
            </w:r>
            <w:r w:rsidR="00EA5C0F" w:rsidRPr="009A501D">
              <w:rPr>
                <w:rFonts w:ascii="Century Gothic" w:hAnsi="Century Gothic" w:cs="Calibri"/>
                <w:b/>
                <w:bCs/>
                <w:color w:val="FFFFFF"/>
                <w:sz w:val="16"/>
                <w:szCs w:val="16"/>
              </w:rPr>
              <w:t>-objetivo</w:t>
            </w:r>
          </w:p>
        </w:tc>
        <w:tc>
          <w:tcPr>
            <w:tcW w:w="1985" w:type="dxa"/>
            <w:shd w:val="clear" w:color="000000" w:fill="002060"/>
            <w:vAlign w:val="center"/>
            <w:hideMark/>
          </w:tcPr>
          <w:p w14:paraId="69D7AF04" w14:textId="77777777"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Dominios de Estudio</w:t>
            </w:r>
          </w:p>
        </w:tc>
        <w:tc>
          <w:tcPr>
            <w:tcW w:w="1275" w:type="dxa"/>
            <w:shd w:val="clear" w:color="000000" w:fill="002060"/>
            <w:vAlign w:val="center"/>
            <w:hideMark/>
          </w:tcPr>
          <w:p w14:paraId="12622D68" w14:textId="2BBC3FF5" w:rsidR="005A1399" w:rsidRPr="009A501D" w:rsidRDefault="005A1399" w:rsidP="00A32765">
            <w:pPr>
              <w:spacing w:after="0"/>
              <w:jc w:val="center"/>
              <w:rPr>
                <w:rFonts w:ascii="Century Gothic" w:hAnsi="Century Gothic" w:cs="Calibri"/>
                <w:b/>
                <w:color w:val="FFFFFF"/>
                <w:sz w:val="16"/>
                <w:szCs w:val="16"/>
              </w:rPr>
            </w:pPr>
            <w:r w:rsidRPr="009A501D">
              <w:rPr>
                <w:rFonts w:ascii="Century Gothic" w:hAnsi="Century Gothic" w:cs="Calibri"/>
                <w:b/>
                <w:color w:val="FFFFFF"/>
                <w:sz w:val="16"/>
                <w:szCs w:val="16"/>
              </w:rPr>
              <w:t xml:space="preserve">Casos </w:t>
            </w:r>
          </w:p>
        </w:tc>
      </w:tr>
      <w:tr w:rsidR="00C43585" w:rsidRPr="009A501D" w14:paraId="3B0C8DCE" w14:textId="77777777" w:rsidTr="009D02D7">
        <w:trPr>
          <w:trHeight w:val="284"/>
          <w:jc w:val="center"/>
        </w:trPr>
        <w:tc>
          <w:tcPr>
            <w:tcW w:w="1000" w:type="dxa"/>
            <w:vMerge w:val="restart"/>
            <w:shd w:val="clear" w:color="auto" w:fill="F2F2F2" w:themeFill="background1" w:themeFillShade="F2"/>
            <w:noWrap/>
            <w:vAlign w:val="center"/>
            <w:hideMark/>
          </w:tcPr>
          <w:p w14:paraId="27F9C7B0"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188" w:type="dxa"/>
            <w:vMerge w:val="restart"/>
            <w:shd w:val="clear" w:color="auto" w:fill="F2F2F2" w:themeFill="background1" w:themeFillShade="F2"/>
            <w:noWrap/>
            <w:vAlign w:val="center"/>
            <w:hideMark/>
          </w:tcPr>
          <w:p w14:paraId="346E7CE9"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950" w:type="dxa"/>
            <w:vMerge w:val="restart"/>
            <w:shd w:val="clear" w:color="auto" w:fill="F2F2F2" w:themeFill="background1" w:themeFillShade="F2"/>
            <w:noWrap/>
            <w:vAlign w:val="center"/>
            <w:hideMark/>
          </w:tcPr>
          <w:p w14:paraId="0DBAC58C"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ENVE</w:t>
            </w:r>
          </w:p>
        </w:tc>
        <w:tc>
          <w:tcPr>
            <w:tcW w:w="1960" w:type="dxa"/>
            <w:shd w:val="clear" w:color="auto" w:fill="F2F2F2" w:themeFill="background1" w:themeFillShade="F2"/>
            <w:noWrap/>
            <w:vAlign w:val="center"/>
            <w:hideMark/>
          </w:tcPr>
          <w:p w14:paraId="51394999"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Informe2020</w:t>
            </w:r>
          </w:p>
        </w:tc>
        <w:tc>
          <w:tcPr>
            <w:tcW w:w="851" w:type="dxa"/>
            <w:shd w:val="clear" w:color="auto" w:fill="F2F2F2" w:themeFill="background1" w:themeFillShade="F2"/>
            <w:noWrap/>
            <w:vAlign w:val="center"/>
            <w:hideMark/>
          </w:tcPr>
          <w:p w14:paraId="1DC96633"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2126" w:type="dxa"/>
            <w:shd w:val="clear" w:color="auto" w:fill="F2F2F2" w:themeFill="background1" w:themeFillShade="F2"/>
            <w:noWrap/>
            <w:vAlign w:val="center"/>
            <w:hideMark/>
          </w:tcPr>
          <w:p w14:paraId="5262706B"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1985" w:type="dxa"/>
            <w:shd w:val="clear" w:color="auto" w:fill="F2F2F2" w:themeFill="background1" w:themeFillShade="F2"/>
            <w:noWrap/>
            <w:vAlign w:val="center"/>
            <w:hideMark/>
          </w:tcPr>
          <w:p w14:paraId="257F9410"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1275" w:type="dxa"/>
            <w:shd w:val="clear" w:color="auto" w:fill="F2F2F2" w:themeFill="background1" w:themeFillShade="F2"/>
            <w:noWrap/>
            <w:vAlign w:val="center"/>
            <w:hideMark/>
          </w:tcPr>
          <w:p w14:paraId="2A5FDF76"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66</w:t>
            </w:r>
          </w:p>
        </w:tc>
      </w:tr>
      <w:tr w:rsidR="00C43585" w:rsidRPr="009A501D" w14:paraId="764A99D1" w14:textId="77777777" w:rsidTr="009D02D7">
        <w:trPr>
          <w:trHeight w:val="284"/>
          <w:jc w:val="center"/>
        </w:trPr>
        <w:tc>
          <w:tcPr>
            <w:tcW w:w="1000" w:type="dxa"/>
            <w:vMerge/>
            <w:shd w:val="clear" w:color="auto" w:fill="F2F2F2" w:themeFill="background1" w:themeFillShade="F2"/>
            <w:vAlign w:val="center"/>
            <w:hideMark/>
          </w:tcPr>
          <w:p w14:paraId="6BA8ECCD" w14:textId="77777777" w:rsidR="005A1399" w:rsidRPr="009A501D" w:rsidRDefault="005A1399" w:rsidP="00072718">
            <w:pPr>
              <w:spacing w:after="0"/>
              <w:jc w:val="center"/>
              <w:rPr>
                <w:rFonts w:ascii="Century Gothic" w:hAnsi="Century Gothic" w:cs="Calibri"/>
                <w:color w:val="000000"/>
                <w:sz w:val="16"/>
                <w:szCs w:val="16"/>
              </w:rPr>
            </w:pPr>
          </w:p>
        </w:tc>
        <w:tc>
          <w:tcPr>
            <w:tcW w:w="1188" w:type="dxa"/>
            <w:vMerge/>
            <w:shd w:val="clear" w:color="auto" w:fill="F2F2F2" w:themeFill="background1" w:themeFillShade="F2"/>
            <w:vAlign w:val="center"/>
            <w:hideMark/>
          </w:tcPr>
          <w:p w14:paraId="4A9173ED" w14:textId="77777777" w:rsidR="005A1399" w:rsidRPr="009A501D" w:rsidRDefault="005A1399" w:rsidP="00072718">
            <w:pPr>
              <w:spacing w:after="0"/>
              <w:jc w:val="center"/>
              <w:rPr>
                <w:rFonts w:ascii="Century Gothic" w:hAnsi="Century Gothic" w:cs="Calibri"/>
                <w:color w:val="000000"/>
                <w:sz w:val="16"/>
                <w:szCs w:val="16"/>
              </w:rPr>
            </w:pPr>
          </w:p>
        </w:tc>
        <w:tc>
          <w:tcPr>
            <w:tcW w:w="950" w:type="dxa"/>
            <w:vMerge/>
            <w:shd w:val="clear" w:color="auto" w:fill="F2F2F2" w:themeFill="background1" w:themeFillShade="F2"/>
            <w:vAlign w:val="center"/>
            <w:hideMark/>
          </w:tcPr>
          <w:p w14:paraId="491923E3" w14:textId="77777777" w:rsidR="005A1399" w:rsidRPr="009A501D" w:rsidRDefault="005A1399" w:rsidP="00072718">
            <w:pPr>
              <w:spacing w:after="0"/>
              <w:jc w:val="center"/>
              <w:rPr>
                <w:rFonts w:ascii="Century Gothic" w:hAnsi="Century Gothic" w:cs="Calibri"/>
                <w:color w:val="000000"/>
                <w:sz w:val="16"/>
                <w:szCs w:val="16"/>
              </w:rPr>
            </w:pPr>
          </w:p>
        </w:tc>
        <w:tc>
          <w:tcPr>
            <w:tcW w:w="1960" w:type="dxa"/>
            <w:shd w:val="clear" w:color="auto" w:fill="F2F2F2" w:themeFill="background1" w:themeFillShade="F2"/>
            <w:noWrap/>
            <w:vAlign w:val="center"/>
            <w:hideMark/>
          </w:tcPr>
          <w:p w14:paraId="64829EAB"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Informe2022</w:t>
            </w:r>
          </w:p>
        </w:tc>
        <w:tc>
          <w:tcPr>
            <w:tcW w:w="851" w:type="dxa"/>
            <w:shd w:val="clear" w:color="auto" w:fill="F2F2F2" w:themeFill="background1" w:themeFillShade="F2"/>
            <w:noWrap/>
            <w:vAlign w:val="center"/>
            <w:hideMark/>
          </w:tcPr>
          <w:p w14:paraId="020DF2D9"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2126" w:type="dxa"/>
            <w:shd w:val="clear" w:color="auto" w:fill="F2F2F2" w:themeFill="background1" w:themeFillShade="F2"/>
            <w:noWrap/>
            <w:vAlign w:val="center"/>
            <w:hideMark/>
          </w:tcPr>
          <w:p w14:paraId="6C2A1172"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94</w:t>
            </w:r>
          </w:p>
        </w:tc>
        <w:tc>
          <w:tcPr>
            <w:tcW w:w="1985" w:type="dxa"/>
            <w:shd w:val="clear" w:color="auto" w:fill="F2F2F2" w:themeFill="background1" w:themeFillShade="F2"/>
            <w:noWrap/>
            <w:vAlign w:val="center"/>
            <w:hideMark/>
          </w:tcPr>
          <w:p w14:paraId="24EC3F79"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1275" w:type="dxa"/>
            <w:shd w:val="clear" w:color="auto" w:fill="F2F2F2" w:themeFill="background1" w:themeFillShade="F2"/>
            <w:noWrap/>
            <w:vAlign w:val="center"/>
            <w:hideMark/>
          </w:tcPr>
          <w:p w14:paraId="164BD582"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1461</w:t>
            </w:r>
          </w:p>
        </w:tc>
      </w:tr>
      <w:tr w:rsidR="005A1399" w:rsidRPr="009A501D" w14:paraId="718DE0AB" w14:textId="77777777" w:rsidTr="00C43585">
        <w:trPr>
          <w:trHeight w:val="284"/>
          <w:jc w:val="center"/>
        </w:trPr>
        <w:tc>
          <w:tcPr>
            <w:tcW w:w="1000" w:type="dxa"/>
            <w:vMerge w:val="restart"/>
            <w:shd w:val="clear" w:color="auto" w:fill="auto"/>
            <w:noWrap/>
            <w:vAlign w:val="center"/>
            <w:hideMark/>
          </w:tcPr>
          <w:p w14:paraId="26FBCC9B"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188" w:type="dxa"/>
            <w:vMerge w:val="restart"/>
            <w:shd w:val="clear" w:color="auto" w:fill="auto"/>
            <w:noWrap/>
            <w:vAlign w:val="center"/>
            <w:hideMark/>
          </w:tcPr>
          <w:p w14:paraId="24E51C85"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950" w:type="dxa"/>
            <w:vMerge w:val="restart"/>
            <w:shd w:val="clear" w:color="auto" w:fill="auto"/>
            <w:noWrap/>
            <w:vAlign w:val="center"/>
            <w:hideMark/>
          </w:tcPr>
          <w:p w14:paraId="0483D55D"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ENVIPE</w:t>
            </w:r>
          </w:p>
        </w:tc>
        <w:tc>
          <w:tcPr>
            <w:tcW w:w="1960" w:type="dxa"/>
            <w:shd w:val="clear" w:color="auto" w:fill="auto"/>
            <w:noWrap/>
            <w:vAlign w:val="center"/>
            <w:hideMark/>
          </w:tcPr>
          <w:p w14:paraId="509D095B"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Informe2021</w:t>
            </w:r>
          </w:p>
        </w:tc>
        <w:tc>
          <w:tcPr>
            <w:tcW w:w="851" w:type="dxa"/>
            <w:shd w:val="clear" w:color="auto" w:fill="auto"/>
            <w:noWrap/>
            <w:vAlign w:val="center"/>
            <w:hideMark/>
          </w:tcPr>
          <w:p w14:paraId="337CC738"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2126" w:type="dxa"/>
            <w:shd w:val="clear" w:color="auto" w:fill="auto"/>
            <w:noWrap/>
            <w:vAlign w:val="center"/>
            <w:hideMark/>
          </w:tcPr>
          <w:p w14:paraId="54F37D0B"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1985" w:type="dxa"/>
            <w:shd w:val="clear" w:color="auto" w:fill="auto"/>
            <w:noWrap/>
            <w:vAlign w:val="center"/>
            <w:hideMark/>
          </w:tcPr>
          <w:p w14:paraId="1C10F6B3"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1275" w:type="dxa"/>
            <w:shd w:val="clear" w:color="auto" w:fill="auto"/>
            <w:noWrap/>
            <w:vAlign w:val="center"/>
            <w:hideMark/>
          </w:tcPr>
          <w:p w14:paraId="51D4F37D"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99</w:t>
            </w:r>
          </w:p>
        </w:tc>
      </w:tr>
      <w:tr w:rsidR="005A1399" w:rsidRPr="009A501D" w14:paraId="4BB56D0D" w14:textId="77777777" w:rsidTr="00C43585">
        <w:trPr>
          <w:trHeight w:val="284"/>
          <w:jc w:val="center"/>
        </w:trPr>
        <w:tc>
          <w:tcPr>
            <w:tcW w:w="1000" w:type="dxa"/>
            <w:vMerge/>
            <w:vAlign w:val="center"/>
            <w:hideMark/>
          </w:tcPr>
          <w:p w14:paraId="6AF0ED4A" w14:textId="77777777" w:rsidR="005A1399" w:rsidRPr="009A501D" w:rsidRDefault="005A1399" w:rsidP="00072718">
            <w:pPr>
              <w:spacing w:after="0"/>
              <w:jc w:val="center"/>
              <w:rPr>
                <w:rFonts w:ascii="Century Gothic" w:hAnsi="Century Gothic" w:cs="Calibri"/>
                <w:color w:val="000000"/>
                <w:sz w:val="16"/>
                <w:szCs w:val="16"/>
              </w:rPr>
            </w:pPr>
          </w:p>
        </w:tc>
        <w:tc>
          <w:tcPr>
            <w:tcW w:w="1188" w:type="dxa"/>
            <w:vMerge/>
            <w:vAlign w:val="center"/>
            <w:hideMark/>
          </w:tcPr>
          <w:p w14:paraId="37CC22C0" w14:textId="77777777" w:rsidR="005A1399" w:rsidRPr="009A501D" w:rsidRDefault="005A1399" w:rsidP="00072718">
            <w:pPr>
              <w:spacing w:after="0"/>
              <w:jc w:val="center"/>
              <w:rPr>
                <w:rFonts w:ascii="Century Gothic" w:hAnsi="Century Gothic" w:cs="Calibri"/>
                <w:color w:val="000000"/>
                <w:sz w:val="16"/>
                <w:szCs w:val="16"/>
              </w:rPr>
            </w:pPr>
          </w:p>
        </w:tc>
        <w:tc>
          <w:tcPr>
            <w:tcW w:w="950" w:type="dxa"/>
            <w:vMerge/>
            <w:vAlign w:val="center"/>
            <w:hideMark/>
          </w:tcPr>
          <w:p w14:paraId="2D5DE4C3" w14:textId="77777777" w:rsidR="005A1399" w:rsidRPr="009A501D" w:rsidRDefault="005A1399" w:rsidP="00072718">
            <w:pPr>
              <w:spacing w:after="0"/>
              <w:jc w:val="center"/>
              <w:rPr>
                <w:rFonts w:ascii="Century Gothic" w:hAnsi="Century Gothic" w:cs="Calibri"/>
                <w:color w:val="000000"/>
                <w:sz w:val="16"/>
                <w:szCs w:val="16"/>
              </w:rPr>
            </w:pPr>
          </w:p>
        </w:tc>
        <w:tc>
          <w:tcPr>
            <w:tcW w:w="1960" w:type="dxa"/>
            <w:shd w:val="clear" w:color="auto" w:fill="auto"/>
            <w:noWrap/>
            <w:vAlign w:val="center"/>
            <w:hideMark/>
          </w:tcPr>
          <w:p w14:paraId="061DCB7C"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Informe2022</w:t>
            </w:r>
          </w:p>
        </w:tc>
        <w:tc>
          <w:tcPr>
            <w:tcW w:w="851" w:type="dxa"/>
            <w:shd w:val="clear" w:color="auto" w:fill="auto"/>
            <w:noWrap/>
            <w:vAlign w:val="center"/>
            <w:hideMark/>
          </w:tcPr>
          <w:p w14:paraId="401401D4"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2126" w:type="dxa"/>
            <w:shd w:val="clear" w:color="auto" w:fill="auto"/>
            <w:noWrap/>
            <w:vAlign w:val="center"/>
            <w:hideMark/>
          </w:tcPr>
          <w:p w14:paraId="5A96FB2E"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73</w:t>
            </w:r>
          </w:p>
        </w:tc>
        <w:tc>
          <w:tcPr>
            <w:tcW w:w="1985" w:type="dxa"/>
            <w:shd w:val="clear" w:color="auto" w:fill="auto"/>
            <w:noWrap/>
            <w:vAlign w:val="center"/>
            <w:hideMark/>
          </w:tcPr>
          <w:p w14:paraId="6D2EF364"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1275" w:type="dxa"/>
            <w:shd w:val="clear" w:color="auto" w:fill="auto"/>
            <w:noWrap/>
            <w:vAlign w:val="center"/>
            <w:hideMark/>
          </w:tcPr>
          <w:p w14:paraId="3D3C41CF"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2085</w:t>
            </w:r>
          </w:p>
        </w:tc>
      </w:tr>
      <w:tr w:rsidR="00C43585" w:rsidRPr="009A501D" w14:paraId="79981679" w14:textId="77777777" w:rsidTr="009D02D7">
        <w:trPr>
          <w:trHeight w:val="284"/>
          <w:jc w:val="center"/>
        </w:trPr>
        <w:tc>
          <w:tcPr>
            <w:tcW w:w="1000" w:type="dxa"/>
            <w:vMerge w:val="restart"/>
            <w:shd w:val="clear" w:color="auto" w:fill="F2F2F2" w:themeFill="background1" w:themeFillShade="F2"/>
            <w:noWrap/>
            <w:vAlign w:val="center"/>
            <w:hideMark/>
          </w:tcPr>
          <w:p w14:paraId="0A25772C"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1188" w:type="dxa"/>
            <w:vMerge w:val="restart"/>
            <w:shd w:val="clear" w:color="auto" w:fill="F2F2F2" w:themeFill="background1" w:themeFillShade="F2"/>
            <w:noWrap/>
            <w:vAlign w:val="center"/>
            <w:hideMark/>
          </w:tcPr>
          <w:p w14:paraId="5A599897"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950" w:type="dxa"/>
            <w:vMerge w:val="restart"/>
            <w:shd w:val="clear" w:color="auto" w:fill="F2F2F2" w:themeFill="background1" w:themeFillShade="F2"/>
            <w:noWrap/>
            <w:vAlign w:val="center"/>
            <w:hideMark/>
          </w:tcPr>
          <w:p w14:paraId="3A3FCF3E"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ENSU</w:t>
            </w:r>
          </w:p>
        </w:tc>
        <w:tc>
          <w:tcPr>
            <w:tcW w:w="1960" w:type="dxa"/>
            <w:shd w:val="clear" w:color="auto" w:fill="F2F2F2" w:themeFill="background1" w:themeFillShade="F2"/>
            <w:noWrap/>
            <w:vAlign w:val="center"/>
            <w:hideMark/>
          </w:tcPr>
          <w:p w14:paraId="3CFE5710"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Informe2021</w:t>
            </w:r>
          </w:p>
        </w:tc>
        <w:tc>
          <w:tcPr>
            <w:tcW w:w="851" w:type="dxa"/>
            <w:shd w:val="clear" w:color="auto" w:fill="F2F2F2" w:themeFill="background1" w:themeFillShade="F2"/>
            <w:noWrap/>
            <w:vAlign w:val="center"/>
            <w:hideMark/>
          </w:tcPr>
          <w:p w14:paraId="045EDCFA"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2126" w:type="dxa"/>
            <w:shd w:val="clear" w:color="auto" w:fill="F2F2F2" w:themeFill="background1" w:themeFillShade="F2"/>
            <w:noWrap/>
            <w:vAlign w:val="center"/>
            <w:hideMark/>
          </w:tcPr>
          <w:p w14:paraId="46502655"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1985" w:type="dxa"/>
            <w:shd w:val="clear" w:color="auto" w:fill="F2F2F2" w:themeFill="background1" w:themeFillShade="F2"/>
            <w:noWrap/>
            <w:vAlign w:val="center"/>
            <w:hideMark/>
          </w:tcPr>
          <w:p w14:paraId="0BDB579C"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91</w:t>
            </w:r>
          </w:p>
        </w:tc>
        <w:tc>
          <w:tcPr>
            <w:tcW w:w="1275" w:type="dxa"/>
            <w:shd w:val="clear" w:color="auto" w:fill="F2F2F2" w:themeFill="background1" w:themeFillShade="F2"/>
            <w:noWrap/>
            <w:vAlign w:val="center"/>
            <w:hideMark/>
          </w:tcPr>
          <w:p w14:paraId="78BCAF25"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1412</w:t>
            </w:r>
          </w:p>
        </w:tc>
      </w:tr>
      <w:tr w:rsidR="00C43585" w:rsidRPr="009A501D" w14:paraId="193D9AF8" w14:textId="77777777" w:rsidTr="009D02D7">
        <w:trPr>
          <w:trHeight w:val="284"/>
          <w:jc w:val="center"/>
        </w:trPr>
        <w:tc>
          <w:tcPr>
            <w:tcW w:w="1000" w:type="dxa"/>
            <w:vMerge/>
            <w:shd w:val="clear" w:color="auto" w:fill="F2F2F2" w:themeFill="background1" w:themeFillShade="F2"/>
            <w:vAlign w:val="center"/>
            <w:hideMark/>
          </w:tcPr>
          <w:p w14:paraId="5AA31FDC" w14:textId="77777777" w:rsidR="005A1399" w:rsidRPr="009A501D" w:rsidRDefault="005A1399" w:rsidP="00072718">
            <w:pPr>
              <w:spacing w:after="0"/>
              <w:jc w:val="center"/>
              <w:rPr>
                <w:rFonts w:ascii="Century Gothic" w:hAnsi="Century Gothic" w:cs="Calibri"/>
                <w:color w:val="000000"/>
                <w:sz w:val="16"/>
                <w:szCs w:val="16"/>
              </w:rPr>
            </w:pPr>
          </w:p>
        </w:tc>
        <w:tc>
          <w:tcPr>
            <w:tcW w:w="1188" w:type="dxa"/>
            <w:vMerge/>
            <w:shd w:val="clear" w:color="auto" w:fill="F2F2F2" w:themeFill="background1" w:themeFillShade="F2"/>
            <w:vAlign w:val="center"/>
            <w:hideMark/>
          </w:tcPr>
          <w:p w14:paraId="3F0A1729" w14:textId="77777777" w:rsidR="005A1399" w:rsidRPr="009A501D" w:rsidRDefault="005A1399" w:rsidP="00072718">
            <w:pPr>
              <w:spacing w:after="0"/>
              <w:jc w:val="center"/>
              <w:rPr>
                <w:rFonts w:ascii="Century Gothic" w:hAnsi="Century Gothic" w:cs="Calibri"/>
                <w:color w:val="000000"/>
                <w:sz w:val="16"/>
                <w:szCs w:val="16"/>
              </w:rPr>
            </w:pPr>
          </w:p>
        </w:tc>
        <w:tc>
          <w:tcPr>
            <w:tcW w:w="950" w:type="dxa"/>
            <w:vMerge/>
            <w:shd w:val="clear" w:color="auto" w:fill="F2F2F2" w:themeFill="background1" w:themeFillShade="F2"/>
            <w:vAlign w:val="center"/>
            <w:hideMark/>
          </w:tcPr>
          <w:p w14:paraId="01274A61" w14:textId="77777777" w:rsidR="005A1399" w:rsidRPr="009A501D" w:rsidRDefault="005A1399" w:rsidP="00072718">
            <w:pPr>
              <w:spacing w:after="0"/>
              <w:jc w:val="center"/>
              <w:rPr>
                <w:rFonts w:ascii="Century Gothic" w:hAnsi="Century Gothic" w:cs="Calibri"/>
                <w:color w:val="000000"/>
                <w:sz w:val="16"/>
                <w:szCs w:val="16"/>
              </w:rPr>
            </w:pPr>
          </w:p>
        </w:tc>
        <w:tc>
          <w:tcPr>
            <w:tcW w:w="1960" w:type="dxa"/>
            <w:shd w:val="clear" w:color="auto" w:fill="F2F2F2" w:themeFill="background1" w:themeFillShade="F2"/>
            <w:noWrap/>
            <w:vAlign w:val="center"/>
            <w:hideMark/>
          </w:tcPr>
          <w:p w14:paraId="5B5D0D7B" w14:textId="77777777" w:rsidR="005A1399" w:rsidRPr="009A501D" w:rsidRDefault="005A1399" w:rsidP="00072718">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Informe2022</w:t>
            </w:r>
          </w:p>
        </w:tc>
        <w:tc>
          <w:tcPr>
            <w:tcW w:w="851" w:type="dxa"/>
            <w:shd w:val="clear" w:color="auto" w:fill="F2F2F2" w:themeFill="background1" w:themeFillShade="F2"/>
            <w:noWrap/>
            <w:vAlign w:val="center"/>
            <w:hideMark/>
          </w:tcPr>
          <w:p w14:paraId="1BDB01E7"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2126" w:type="dxa"/>
            <w:shd w:val="clear" w:color="auto" w:fill="F2F2F2" w:themeFill="background1" w:themeFillShade="F2"/>
            <w:noWrap/>
            <w:vAlign w:val="center"/>
            <w:hideMark/>
          </w:tcPr>
          <w:p w14:paraId="3BE4AE2B"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79</w:t>
            </w:r>
          </w:p>
        </w:tc>
        <w:tc>
          <w:tcPr>
            <w:tcW w:w="1985" w:type="dxa"/>
            <w:shd w:val="clear" w:color="auto" w:fill="F2F2F2" w:themeFill="background1" w:themeFillShade="F2"/>
            <w:noWrap/>
            <w:vAlign w:val="center"/>
            <w:hideMark/>
          </w:tcPr>
          <w:p w14:paraId="4EFA8AC0" w14:textId="77777777" w:rsidR="005A1399" w:rsidRPr="009A501D" w:rsidRDefault="005A1399" w:rsidP="00A32765">
            <w:pPr>
              <w:spacing w:after="0"/>
              <w:jc w:val="center"/>
              <w:rPr>
                <w:rFonts w:ascii="Century Gothic" w:hAnsi="Century Gothic" w:cs="Calibri"/>
                <w:color w:val="000000"/>
                <w:sz w:val="16"/>
                <w:szCs w:val="16"/>
              </w:rPr>
            </w:pPr>
            <w:r w:rsidRPr="009A501D">
              <w:rPr>
                <w:rFonts w:ascii="Century Gothic" w:hAnsi="Century Gothic" w:cs="Calibri"/>
                <w:color w:val="000000"/>
                <w:sz w:val="16"/>
                <w:szCs w:val="16"/>
              </w:rPr>
              <w:t>91</w:t>
            </w:r>
          </w:p>
        </w:tc>
        <w:tc>
          <w:tcPr>
            <w:tcW w:w="1275" w:type="dxa"/>
            <w:shd w:val="clear" w:color="auto" w:fill="F2F2F2" w:themeFill="background1" w:themeFillShade="F2"/>
            <w:noWrap/>
            <w:vAlign w:val="center"/>
            <w:hideMark/>
          </w:tcPr>
          <w:p w14:paraId="7CA9CD80" w14:textId="77777777" w:rsidR="005A1399" w:rsidRPr="009A501D" w:rsidRDefault="005A1399" w:rsidP="00A32765">
            <w:pPr>
              <w:spacing w:after="0"/>
              <w:jc w:val="center"/>
              <w:rPr>
                <w:rFonts w:ascii="Century Gothic" w:hAnsi="Century Gothic" w:cs="Calibri"/>
                <w:b/>
                <w:color w:val="000000"/>
                <w:sz w:val="16"/>
                <w:szCs w:val="16"/>
              </w:rPr>
            </w:pPr>
            <w:r w:rsidRPr="009A501D">
              <w:rPr>
                <w:rFonts w:ascii="Century Gothic" w:hAnsi="Century Gothic" w:cs="Calibri"/>
                <w:b/>
                <w:color w:val="000000"/>
                <w:sz w:val="16"/>
                <w:szCs w:val="16"/>
              </w:rPr>
              <w:t>3988</w:t>
            </w:r>
          </w:p>
        </w:tc>
      </w:tr>
    </w:tbl>
    <w:p w14:paraId="1499ABAA" w14:textId="77777777" w:rsidR="005A1399" w:rsidRPr="009A501D" w:rsidRDefault="005A1399" w:rsidP="00664A1D">
      <w:pPr>
        <w:spacing w:before="240"/>
        <w:jc w:val="both"/>
        <w:rPr>
          <w:rFonts w:ascii="Century Gothic" w:hAnsi="Century Gothic" w:cstheme="majorHAnsi"/>
          <w:b/>
          <w:sz w:val="19"/>
          <w:szCs w:val="19"/>
        </w:rPr>
      </w:pPr>
      <w:r w:rsidRPr="009A501D">
        <w:rPr>
          <w:rFonts w:ascii="Century Gothic" w:hAnsi="Century Gothic" w:cstheme="majorHAnsi"/>
          <w:b/>
          <w:sz w:val="19"/>
          <w:szCs w:val="19"/>
        </w:rPr>
        <w:t>INDICADORES DE USO INTERNO</w:t>
      </w:r>
    </w:p>
    <w:p w14:paraId="5720F020" w14:textId="77777777" w:rsidR="005A1399" w:rsidRPr="009A501D" w:rsidRDefault="005A1399" w:rsidP="00664A1D">
      <w:pPr>
        <w:spacing w:before="240"/>
        <w:jc w:val="both"/>
        <w:rPr>
          <w:rFonts w:ascii="Century Gothic" w:hAnsi="Century Gothic" w:cstheme="majorHAnsi"/>
          <w:sz w:val="19"/>
          <w:szCs w:val="19"/>
        </w:rPr>
      </w:pPr>
      <w:r w:rsidRPr="009A501D">
        <w:rPr>
          <w:rFonts w:ascii="Century Gothic" w:hAnsi="Century Gothic" w:cstheme="majorHAnsi"/>
          <w:sz w:val="19"/>
          <w:szCs w:val="19"/>
        </w:rPr>
        <w:t xml:space="preserve">El primer indicador de uso interno es la </w:t>
      </w:r>
      <w:r w:rsidRPr="009A501D">
        <w:rPr>
          <w:rFonts w:ascii="Century Gothic" w:hAnsi="Century Gothic" w:cstheme="majorHAnsi"/>
          <w:i/>
          <w:iCs/>
          <w:sz w:val="19"/>
          <w:szCs w:val="19"/>
        </w:rPr>
        <w:t xml:space="preserve">tasa de </w:t>
      </w:r>
      <w:proofErr w:type="spellStart"/>
      <w:r w:rsidRPr="009A501D">
        <w:rPr>
          <w:rFonts w:ascii="Century Gothic" w:hAnsi="Century Gothic" w:cstheme="majorHAnsi"/>
          <w:i/>
          <w:iCs/>
          <w:sz w:val="19"/>
          <w:szCs w:val="19"/>
        </w:rPr>
        <w:t>sobrecobertura</w:t>
      </w:r>
      <w:proofErr w:type="spellEnd"/>
      <w:r w:rsidRPr="009A501D">
        <w:rPr>
          <w:rFonts w:ascii="Century Gothic" w:hAnsi="Century Gothic" w:cstheme="majorHAnsi"/>
          <w:sz w:val="19"/>
          <w:szCs w:val="19"/>
        </w:rPr>
        <w:t>, que mide el grado en que el marco de referencia incluye población que no pertenece a la población objeto de estudio; es decir, refleja el grado en que se ha ido perdiendo vigencia.</w:t>
      </w:r>
    </w:p>
    <w:p w14:paraId="583D5179" w14:textId="7B452EAD" w:rsidR="005A1399" w:rsidRPr="009A501D" w:rsidRDefault="005A1399" w:rsidP="00664A1D">
      <w:pPr>
        <w:spacing w:before="240"/>
        <w:jc w:val="both"/>
        <w:rPr>
          <w:rFonts w:ascii="Century Gothic" w:hAnsi="Century Gothic" w:cstheme="majorHAnsi"/>
          <w:sz w:val="19"/>
          <w:szCs w:val="19"/>
        </w:rPr>
      </w:pPr>
      <w:r w:rsidRPr="009A501D">
        <w:rPr>
          <w:rFonts w:ascii="Century Gothic" w:hAnsi="Century Gothic" w:cstheme="majorHAnsi"/>
          <w:sz w:val="19"/>
          <w:szCs w:val="19"/>
        </w:rPr>
        <w:t xml:space="preserve">La no respuesta o existencia de valores perdidos está presente en todo </w:t>
      </w:r>
      <w:r w:rsidR="00EC4113" w:rsidRPr="009A501D">
        <w:rPr>
          <w:rFonts w:ascii="Century Gothic" w:hAnsi="Century Gothic" w:cstheme="majorHAnsi"/>
          <w:sz w:val="19"/>
          <w:szCs w:val="19"/>
        </w:rPr>
        <w:t>proceso de producción</w:t>
      </w:r>
      <w:r w:rsidRPr="009A501D">
        <w:rPr>
          <w:rFonts w:ascii="Century Gothic" w:hAnsi="Century Gothic" w:cstheme="majorHAnsi"/>
          <w:sz w:val="19"/>
          <w:szCs w:val="19"/>
        </w:rPr>
        <w:t xml:space="preserve"> y puede inducir un sesgo en las estimaciones o estadísticas que se generen. Para este indicador no se adopta un valor de referencia; sin embargo, es deseable que no se supere el porcentaje que se utilizó en el cálculo de la muestra, es decir, la </w:t>
      </w:r>
      <w:r w:rsidRPr="009A501D">
        <w:rPr>
          <w:rFonts w:ascii="Century Gothic" w:hAnsi="Century Gothic" w:cstheme="majorHAnsi"/>
          <w:i/>
          <w:iCs/>
          <w:sz w:val="19"/>
          <w:szCs w:val="19"/>
        </w:rPr>
        <w:t>tasa de no respuesta máxima esperada</w:t>
      </w:r>
      <w:r w:rsidRPr="009A501D">
        <w:rPr>
          <w:rFonts w:ascii="Century Gothic" w:hAnsi="Century Gothic" w:cstheme="majorHAnsi"/>
          <w:sz w:val="19"/>
          <w:szCs w:val="19"/>
        </w:rPr>
        <w:t xml:space="preserve"> establecida en el diseño muestral para cada </w:t>
      </w:r>
      <w:r w:rsidR="00EC4113" w:rsidRPr="009A501D">
        <w:rPr>
          <w:rFonts w:ascii="Century Gothic" w:hAnsi="Century Gothic" w:cstheme="majorHAnsi"/>
          <w:sz w:val="19"/>
          <w:szCs w:val="19"/>
        </w:rPr>
        <w:t>proceso de producción</w:t>
      </w:r>
      <w:r w:rsidRPr="009A501D">
        <w:rPr>
          <w:rFonts w:ascii="Century Gothic" w:hAnsi="Century Gothic" w:cstheme="majorHAnsi"/>
          <w:sz w:val="19"/>
          <w:szCs w:val="19"/>
        </w:rPr>
        <w:t xml:space="preserve">. </w:t>
      </w:r>
      <w:r w:rsidRPr="009A501D">
        <w:rPr>
          <w:rFonts w:ascii="Century Gothic" w:hAnsi="Century Gothic" w:cstheme="majorHAnsi"/>
          <w:i/>
          <w:iCs/>
          <w:sz w:val="19"/>
          <w:szCs w:val="19"/>
        </w:rPr>
        <w:t>Tasas de no respuesta</w:t>
      </w:r>
      <w:r w:rsidRPr="009A501D">
        <w:rPr>
          <w:rFonts w:ascii="Century Gothic" w:hAnsi="Century Gothic" w:cstheme="majorHAnsi"/>
          <w:sz w:val="19"/>
          <w:szCs w:val="19"/>
        </w:rPr>
        <w:t xml:space="preserve"> superiores podrían comprometer la confiabilidad estadística de las estimaciones y, por tanto, el incumplimiento de los objetivos del </w:t>
      </w:r>
      <w:r w:rsidR="00EC4113" w:rsidRPr="009A501D">
        <w:rPr>
          <w:rFonts w:ascii="Century Gothic" w:hAnsi="Century Gothic" w:cstheme="majorHAnsi"/>
          <w:sz w:val="19"/>
          <w:szCs w:val="19"/>
        </w:rPr>
        <w:t>proceso</w:t>
      </w:r>
      <w:r w:rsidRPr="009A501D">
        <w:rPr>
          <w:rFonts w:ascii="Century Gothic" w:hAnsi="Century Gothic" w:cstheme="majorHAnsi"/>
          <w:sz w:val="19"/>
          <w:szCs w:val="19"/>
        </w:rPr>
        <w:t>.</w:t>
      </w:r>
    </w:p>
    <w:p w14:paraId="0A442FEC" w14:textId="74515552" w:rsidR="005A1399" w:rsidRPr="009A501D" w:rsidRDefault="005A1399" w:rsidP="00664A1D">
      <w:pPr>
        <w:spacing w:before="240"/>
        <w:jc w:val="both"/>
        <w:rPr>
          <w:rFonts w:ascii="Century Gothic" w:hAnsi="Century Gothic" w:cstheme="majorHAnsi"/>
          <w:sz w:val="19"/>
          <w:szCs w:val="19"/>
        </w:rPr>
      </w:pPr>
      <w:r w:rsidRPr="009A501D">
        <w:rPr>
          <w:rFonts w:ascii="Century Gothic" w:hAnsi="Century Gothic" w:cstheme="majorHAnsi"/>
          <w:sz w:val="19"/>
          <w:szCs w:val="19"/>
        </w:rPr>
        <w:t xml:space="preserve">Como complemento al análisis de la no respuesta, la </w:t>
      </w:r>
      <w:r w:rsidRPr="009A501D">
        <w:rPr>
          <w:rFonts w:ascii="Century Gothic" w:hAnsi="Century Gothic" w:cstheme="majorHAnsi"/>
          <w:i/>
          <w:iCs/>
          <w:sz w:val="19"/>
          <w:szCs w:val="19"/>
        </w:rPr>
        <w:t>tasa de cumplimiento de la muestra mínima antes de imputación a nivel unidad de observación</w:t>
      </w:r>
      <w:r w:rsidRPr="009A501D">
        <w:rPr>
          <w:rFonts w:ascii="Century Gothic" w:hAnsi="Century Gothic" w:cstheme="majorHAnsi"/>
          <w:sz w:val="19"/>
          <w:szCs w:val="19"/>
        </w:rPr>
        <w:t xml:space="preserve"> tiene el objetivo de verificar la obtención de la muestra mínima necesaria para cumplir con los parámetros de precisión y confiabilidad comprometidos en el diseño muestral para cada </w:t>
      </w:r>
      <w:r w:rsidR="00EC4113" w:rsidRPr="009A501D">
        <w:rPr>
          <w:rFonts w:ascii="Century Gothic" w:hAnsi="Century Gothic" w:cstheme="majorHAnsi"/>
          <w:sz w:val="19"/>
          <w:szCs w:val="19"/>
        </w:rPr>
        <w:t>proceso de producción</w:t>
      </w:r>
      <w:r w:rsidRPr="009A501D">
        <w:rPr>
          <w:rFonts w:ascii="Century Gothic" w:hAnsi="Century Gothic" w:cstheme="majorHAnsi"/>
          <w:sz w:val="19"/>
          <w:szCs w:val="19"/>
        </w:rPr>
        <w:t>. Si el indicador es igual o mayor a 100%, se está cumpliendo con el tamaño de muestra mínima necesario, de lo contrario debería realizarse un análisis más profundo para determinar las causas.</w:t>
      </w:r>
    </w:p>
    <w:p w14:paraId="17BFA119" w14:textId="6F4321FF" w:rsidR="005A1399" w:rsidRPr="009A501D" w:rsidRDefault="005A1399" w:rsidP="00664A1D">
      <w:pPr>
        <w:spacing w:before="240"/>
        <w:jc w:val="both"/>
        <w:rPr>
          <w:rFonts w:ascii="Century Gothic" w:hAnsi="Century Gothic" w:cstheme="majorHAnsi"/>
          <w:sz w:val="19"/>
          <w:szCs w:val="19"/>
        </w:rPr>
      </w:pPr>
      <w:r w:rsidRPr="009A501D">
        <w:rPr>
          <w:rFonts w:ascii="Century Gothic" w:hAnsi="Century Gothic" w:cstheme="majorHAnsi"/>
          <w:sz w:val="19"/>
          <w:szCs w:val="19"/>
        </w:rPr>
        <w:t xml:space="preserve">Como atenuante a los problemas surgidos a partir de la existencia de no respuesta, la imputación es un procedimiento que se emplea en todo </w:t>
      </w:r>
      <w:r w:rsidR="00EC4113" w:rsidRPr="009A501D">
        <w:rPr>
          <w:rFonts w:ascii="Century Gothic" w:hAnsi="Century Gothic" w:cstheme="majorHAnsi"/>
          <w:sz w:val="19"/>
          <w:szCs w:val="19"/>
        </w:rPr>
        <w:t>proceso de producción</w:t>
      </w:r>
      <w:r w:rsidRPr="009A501D">
        <w:rPr>
          <w:rFonts w:ascii="Century Gothic" w:hAnsi="Century Gothic" w:cstheme="majorHAnsi"/>
          <w:sz w:val="19"/>
          <w:szCs w:val="19"/>
        </w:rPr>
        <w:t xml:space="preserve"> debido a la falta de respuesta en unidades de observación. El objetivo principal de la </w:t>
      </w:r>
      <w:r w:rsidRPr="009A501D">
        <w:rPr>
          <w:rFonts w:ascii="Century Gothic" w:hAnsi="Century Gothic" w:cstheme="majorHAnsi"/>
          <w:i/>
          <w:iCs/>
          <w:sz w:val="19"/>
          <w:szCs w:val="19"/>
        </w:rPr>
        <w:t>tasa de imputación a nivel unidad de observación</w:t>
      </w:r>
      <w:r w:rsidRPr="009A501D">
        <w:rPr>
          <w:rFonts w:ascii="Century Gothic" w:hAnsi="Century Gothic" w:cstheme="majorHAnsi"/>
          <w:sz w:val="19"/>
          <w:szCs w:val="19"/>
        </w:rPr>
        <w:t xml:space="preserve"> es tener un parámetro que permita medir el porcentaje de observaciones que se imputan.</w:t>
      </w:r>
    </w:p>
    <w:p w14:paraId="22A16CDC" w14:textId="400D97F2" w:rsidR="005A1399" w:rsidRPr="009A501D" w:rsidRDefault="005A1399" w:rsidP="00664A1D">
      <w:pPr>
        <w:spacing w:before="240"/>
        <w:jc w:val="both"/>
        <w:rPr>
          <w:rFonts w:ascii="Century Gothic" w:hAnsi="Century Gothic" w:cstheme="majorHAnsi"/>
          <w:sz w:val="19"/>
          <w:szCs w:val="19"/>
        </w:rPr>
      </w:pPr>
      <w:r w:rsidRPr="009A501D">
        <w:rPr>
          <w:rFonts w:ascii="Century Gothic" w:hAnsi="Century Gothic" w:cstheme="majorHAnsi"/>
          <w:sz w:val="19"/>
          <w:szCs w:val="19"/>
        </w:rPr>
        <w:t>Con el fin de dar un resumen general de los indicadores de uso interno en el cuadro A.</w:t>
      </w:r>
      <w:r w:rsidR="00AE6C80" w:rsidRPr="009A501D">
        <w:rPr>
          <w:rFonts w:ascii="Century Gothic" w:hAnsi="Century Gothic" w:cstheme="majorHAnsi"/>
          <w:sz w:val="19"/>
          <w:szCs w:val="19"/>
        </w:rPr>
        <w:t>5</w:t>
      </w:r>
      <w:r w:rsidRPr="009A501D">
        <w:rPr>
          <w:rFonts w:ascii="Century Gothic" w:hAnsi="Century Gothic" w:cstheme="majorHAnsi"/>
          <w:sz w:val="19"/>
          <w:szCs w:val="19"/>
        </w:rPr>
        <w:t xml:space="preserve">.8 se presenta, para cada encuesta, el promedio de las tasas reportadas durante 2022, la </w:t>
      </w:r>
      <w:r w:rsidRPr="009A501D">
        <w:rPr>
          <w:rFonts w:ascii="Century Gothic" w:hAnsi="Century Gothic" w:cstheme="majorHAnsi"/>
          <w:i/>
          <w:iCs/>
          <w:sz w:val="19"/>
          <w:szCs w:val="19"/>
        </w:rPr>
        <w:t>tasa de no respuesta antes de imputación (ponderada</w:t>
      </w:r>
      <w:r w:rsidRPr="009A501D">
        <w:rPr>
          <w:rFonts w:ascii="Century Gothic" w:hAnsi="Century Gothic" w:cstheme="majorHAnsi"/>
          <w:sz w:val="19"/>
          <w:szCs w:val="19"/>
        </w:rPr>
        <w:t xml:space="preserve">) y la </w:t>
      </w:r>
      <w:r w:rsidRPr="009A501D">
        <w:rPr>
          <w:rFonts w:ascii="Century Gothic" w:hAnsi="Century Gothic" w:cstheme="majorHAnsi"/>
          <w:i/>
          <w:iCs/>
          <w:sz w:val="19"/>
          <w:szCs w:val="19"/>
        </w:rPr>
        <w:t xml:space="preserve">tasa de </w:t>
      </w:r>
      <w:proofErr w:type="spellStart"/>
      <w:r w:rsidRPr="009A501D">
        <w:rPr>
          <w:rFonts w:ascii="Century Gothic" w:hAnsi="Century Gothic" w:cstheme="majorHAnsi"/>
          <w:i/>
          <w:iCs/>
          <w:sz w:val="19"/>
          <w:szCs w:val="19"/>
        </w:rPr>
        <w:t>sobrecobertura</w:t>
      </w:r>
      <w:proofErr w:type="spellEnd"/>
      <w:r w:rsidRPr="009A501D">
        <w:rPr>
          <w:rFonts w:ascii="Century Gothic" w:hAnsi="Century Gothic" w:cstheme="majorHAnsi"/>
          <w:i/>
          <w:iCs/>
          <w:sz w:val="19"/>
          <w:szCs w:val="19"/>
        </w:rPr>
        <w:t xml:space="preserve"> (ponderada)</w:t>
      </w:r>
      <w:r w:rsidR="00B143DF" w:rsidRPr="009A501D">
        <w:rPr>
          <w:rFonts w:ascii="Century Gothic" w:hAnsi="Century Gothic" w:cstheme="majorHAnsi"/>
          <w:sz w:val="19"/>
          <w:szCs w:val="19"/>
        </w:rPr>
        <w:t>. En</w:t>
      </w:r>
      <w:r w:rsidRPr="009A501D">
        <w:rPr>
          <w:rFonts w:ascii="Century Gothic" w:hAnsi="Century Gothic" w:cstheme="majorHAnsi"/>
          <w:sz w:val="19"/>
          <w:szCs w:val="19"/>
        </w:rPr>
        <w:t xml:space="preserve"> el cuadro</w:t>
      </w:r>
      <w:r w:rsidR="00B143DF" w:rsidRPr="009A501D">
        <w:rPr>
          <w:rFonts w:ascii="Century Gothic" w:hAnsi="Century Gothic" w:cstheme="majorHAnsi"/>
          <w:sz w:val="19"/>
          <w:szCs w:val="19"/>
        </w:rPr>
        <w:t xml:space="preserve"> A.5.9</w:t>
      </w:r>
      <w:r w:rsidRPr="009A501D">
        <w:rPr>
          <w:rFonts w:ascii="Century Gothic" w:hAnsi="Century Gothic" w:cstheme="majorHAnsi"/>
          <w:sz w:val="19"/>
          <w:szCs w:val="19"/>
        </w:rPr>
        <w:t xml:space="preserve"> se observan la </w:t>
      </w:r>
      <w:r w:rsidRPr="009A501D">
        <w:rPr>
          <w:rFonts w:ascii="Century Gothic" w:hAnsi="Century Gothic" w:cstheme="majorHAnsi"/>
          <w:i/>
          <w:iCs/>
          <w:sz w:val="19"/>
          <w:szCs w:val="19"/>
        </w:rPr>
        <w:t>tasa de imputación (ponderada)</w:t>
      </w:r>
      <w:r w:rsidRPr="009A501D">
        <w:rPr>
          <w:rFonts w:ascii="Century Gothic" w:hAnsi="Century Gothic" w:cstheme="majorHAnsi"/>
          <w:sz w:val="19"/>
          <w:szCs w:val="19"/>
        </w:rPr>
        <w:t xml:space="preserve"> y </w:t>
      </w:r>
      <w:r w:rsidRPr="009A501D">
        <w:rPr>
          <w:rFonts w:ascii="Century Gothic" w:hAnsi="Century Gothic" w:cstheme="majorHAnsi"/>
          <w:i/>
          <w:iCs/>
          <w:sz w:val="19"/>
          <w:szCs w:val="19"/>
        </w:rPr>
        <w:t>la tasa de cumplimiento de la muestra mínima</w:t>
      </w:r>
      <w:r w:rsidRPr="009A501D">
        <w:rPr>
          <w:rFonts w:ascii="Century Gothic" w:hAnsi="Century Gothic" w:cstheme="majorHAnsi"/>
          <w:sz w:val="19"/>
          <w:szCs w:val="19"/>
        </w:rPr>
        <w:t>. Como referencia para la interpretación, en el cuadro A.</w:t>
      </w:r>
      <w:r w:rsidR="00AE6C80" w:rsidRPr="009A501D">
        <w:rPr>
          <w:rFonts w:ascii="Century Gothic" w:hAnsi="Century Gothic" w:cstheme="majorHAnsi"/>
          <w:sz w:val="19"/>
          <w:szCs w:val="19"/>
        </w:rPr>
        <w:t>5</w:t>
      </w:r>
      <w:r w:rsidRPr="009A501D">
        <w:rPr>
          <w:rFonts w:ascii="Century Gothic" w:hAnsi="Century Gothic" w:cstheme="majorHAnsi"/>
          <w:sz w:val="19"/>
          <w:szCs w:val="19"/>
        </w:rPr>
        <w:t xml:space="preserve">.8 se presenta la </w:t>
      </w:r>
      <w:r w:rsidRPr="009A501D">
        <w:rPr>
          <w:rFonts w:ascii="Century Gothic" w:hAnsi="Century Gothic" w:cstheme="majorHAnsi"/>
          <w:i/>
          <w:iCs/>
          <w:sz w:val="19"/>
          <w:szCs w:val="19"/>
        </w:rPr>
        <w:t>tasa de no respuesta máxima esperada</w:t>
      </w:r>
      <w:r w:rsidRPr="009A501D">
        <w:rPr>
          <w:rFonts w:ascii="Century Gothic" w:hAnsi="Century Gothic" w:cstheme="majorHAnsi"/>
          <w:sz w:val="19"/>
          <w:szCs w:val="19"/>
        </w:rPr>
        <w:t xml:space="preserve"> conforme a los documentos públicos del diseño muestral para cada </w:t>
      </w:r>
      <w:r w:rsidR="00EC4113" w:rsidRPr="009A501D">
        <w:rPr>
          <w:rFonts w:ascii="Century Gothic" w:hAnsi="Century Gothic" w:cstheme="majorHAnsi"/>
          <w:sz w:val="19"/>
          <w:szCs w:val="19"/>
        </w:rPr>
        <w:t>proceso de producción</w:t>
      </w:r>
      <w:r w:rsidRPr="009A501D">
        <w:rPr>
          <w:rFonts w:ascii="Century Gothic" w:hAnsi="Century Gothic" w:cstheme="majorHAnsi"/>
          <w:sz w:val="19"/>
          <w:szCs w:val="19"/>
        </w:rPr>
        <w:t>.</w:t>
      </w:r>
    </w:p>
    <w:p w14:paraId="7D4EA783" w14:textId="4D7D53E9" w:rsidR="007F5C1B" w:rsidRPr="009A501D" w:rsidRDefault="007F5C1B">
      <w:pPr>
        <w:rPr>
          <w:rFonts w:ascii="Century Gothic" w:hAnsi="Century Gothic" w:cstheme="majorHAnsi"/>
          <w:sz w:val="19"/>
          <w:szCs w:val="19"/>
        </w:rPr>
      </w:pPr>
      <w:r w:rsidRPr="009A501D">
        <w:rPr>
          <w:rFonts w:ascii="Century Gothic" w:hAnsi="Century Gothic" w:cstheme="majorHAnsi"/>
          <w:sz w:val="19"/>
          <w:szCs w:val="19"/>
        </w:rPr>
        <w:br w:type="page"/>
      </w:r>
    </w:p>
    <w:p w14:paraId="37211C9A" w14:textId="201508BF" w:rsidR="005A1399" w:rsidRPr="009A501D" w:rsidRDefault="005A1399"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lastRenderedPageBreak/>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 xml:space="preserve">.8. Promedio de las tasas de no respuesta antes de imputación y </w:t>
      </w:r>
      <w:proofErr w:type="spellStart"/>
      <w:r w:rsidRPr="009A501D">
        <w:rPr>
          <w:rFonts w:ascii="Century Gothic" w:hAnsi="Century Gothic" w:cstheme="majorHAnsi"/>
          <w:b/>
          <w:sz w:val="19"/>
          <w:szCs w:val="19"/>
        </w:rPr>
        <w:t>sobrecobertura</w:t>
      </w:r>
      <w:proofErr w:type="spellEnd"/>
    </w:p>
    <w:tbl>
      <w:tblPr>
        <w:tblW w:w="12980" w:type="dxa"/>
        <w:jc w:val="center"/>
        <w:tblCellMar>
          <w:left w:w="70" w:type="dxa"/>
          <w:right w:w="70" w:type="dxa"/>
        </w:tblCellMar>
        <w:tblLook w:val="04A0" w:firstRow="1" w:lastRow="0" w:firstColumn="1" w:lastColumn="0" w:noHBand="0" w:noVBand="1"/>
      </w:tblPr>
      <w:tblGrid>
        <w:gridCol w:w="1540"/>
        <w:gridCol w:w="880"/>
        <w:gridCol w:w="1280"/>
        <w:gridCol w:w="1300"/>
        <w:gridCol w:w="802"/>
        <w:gridCol w:w="666"/>
        <w:gridCol w:w="666"/>
        <w:gridCol w:w="666"/>
        <w:gridCol w:w="1100"/>
        <w:gridCol w:w="589"/>
        <w:gridCol w:w="589"/>
        <w:gridCol w:w="569"/>
        <w:gridCol w:w="640"/>
        <w:gridCol w:w="499"/>
        <w:gridCol w:w="499"/>
        <w:gridCol w:w="499"/>
        <w:gridCol w:w="499"/>
      </w:tblGrid>
      <w:tr w:rsidR="00E729CB" w:rsidRPr="001738EC" w14:paraId="188F125E" w14:textId="77777777" w:rsidTr="003B35A6">
        <w:trPr>
          <w:trHeight w:val="228"/>
          <w:tblHeader/>
          <w:jc w:val="center"/>
        </w:trPr>
        <w:tc>
          <w:tcPr>
            <w:tcW w:w="1540" w:type="dxa"/>
            <w:vMerge w:val="restart"/>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07B2AEC7"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Periodicidad</w:t>
            </w:r>
          </w:p>
        </w:tc>
        <w:tc>
          <w:tcPr>
            <w:tcW w:w="880" w:type="dxa"/>
            <w:vMerge w:val="restart"/>
            <w:tcBorders>
              <w:top w:val="single" w:sz="8" w:space="0" w:color="BFBFBF"/>
              <w:left w:val="single" w:sz="8" w:space="0" w:color="BFBFBF"/>
              <w:bottom w:val="single" w:sz="8" w:space="0" w:color="BFBFBF"/>
              <w:right w:val="single" w:sz="8" w:space="0" w:color="BFBFBF"/>
            </w:tcBorders>
            <w:shd w:val="clear" w:color="000000" w:fill="002060"/>
            <w:noWrap/>
            <w:vAlign w:val="center"/>
            <w:hideMark/>
          </w:tcPr>
          <w:p w14:paraId="6CE7C1D6"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UA</w:t>
            </w:r>
          </w:p>
        </w:tc>
        <w:tc>
          <w:tcPr>
            <w:tcW w:w="1280" w:type="dxa"/>
            <w:vMerge w:val="restart"/>
            <w:tcBorders>
              <w:top w:val="single" w:sz="8" w:space="0" w:color="BFBFBF"/>
              <w:left w:val="single" w:sz="8" w:space="0" w:color="BFBFBF"/>
              <w:bottom w:val="single" w:sz="8" w:space="0" w:color="BFBFBF"/>
              <w:right w:val="single" w:sz="8" w:space="0" w:color="BFBFBF"/>
            </w:tcBorders>
            <w:shd w:val="clear" w:color="000000" w:fill="002060"/>
            <w:noWrap/>
            <w:vAlign w:val="center"/>
            <w:hideMark/>
          </w:tcPr>
          <w:p w14:paraId="12041BC4"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Proceso</w:t>
            </w:r>
          </w:p>
        </w:tc>
        <w:tc>
          <w:tcPr>
            <w:tcW w:w="1300" w:type="dxa"/>
            <w:vMerge w:val="restart"/>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42A9ECC5"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Periodo reportado en 2022</w:t>
            </w:r>
          </w:p>
        </w:tc>
        <w:tc>
          <w:tcPr>
            <w:tcW w:w="2800" w:type="dxa"/>
            <w:gridSpan w:val="4"/>
            <w:tcBorders>
              <w:top w:val="single" w:sz="8" w:space="0" w:color="BFBFBF"/>
              <w:left w:val="nil"/>
              <w:bottom w:val="single" w:sz="8" w:space="0" w:color="BFBFBF"/>
              <w:right w:val="single" w:sz="8" w:space="0" w:color="BFBFBF"/>
            </w:tcBorders>
            <w:shd w:val="clear" w:color="000000" w:fill="002060"/>
            <w:noWrap/>
            <w:vAlign w:val="center"/>
            <w:hideMark/>
          </w:tcPr>
          <w:p w14:paraId="0BED0EBF"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Casos totales</w:t>
            </w:r>
          </w:p>
        </w:tc>
        <w:tc>
          <w:tcPr>
            <w:tcW w:w="1100" w:type="dxa"/>
            <w:vMerge w:val="restart"/>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205B6C50"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TNR (Diseño muestral)</w:t>
            </w:r>
          </w:p>
        </w:tc>
        <w:tc>
          <w:tcPr>
            <w:tcW w:w="4080" w:type="dxa"/>
            <w:gridSpan w:val="8"/>
            <w:tcBorders>
              <w:top w:val="single" w:sz="8" w:space="0" w:color="BFBFBF"/>
              <w:left w:val="nil"/>
              <w:bottom w:val="single" w:sz="8" w:space="0" w:color="BFBFBF"/>
              <w:right w:val="single" w:sz="8" w:space="0" w:color="BFBFBF"/>
            </w:tcBorders>
            <w:shd w:val="clear" w:color="000000" w:fill="002060"/>
            <w:vAlign w:val="center"/>
            <w:hideMark/>
          </w:tcPr>
          <w:p w14:paraId="6E56F201"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Promedio de tasas reportadas</w:t>
            </w:r>
          </w:p>
        </w:tc>
      </w:tr>
      <w:tr w:rsidR="00E729CB" w:rsidRPr="001738EC" w14:paraId="70923759" w14:textId="77777777" w:rsidTr="003B35A6">
        <w:trPr>
          <w:trHeight w:val="516"/>
          <w:tblHeader/>
          <w:jc w:val="center"/>
        </w:trPr>
        <w:tc>
          <w:tcPr>
            <w:tcW w:w="1540" w:type="dxa"/>
            <w:vMerge/>
            <w:tcBorders>
              <w:top w:val="single" w:sz="8" w:space="0" w:color="BFBFBF"/>
              <w:left w:val="single" w:sz="8" w:space="0" w:color="BFBFBF"/>
              <w:bottom w:val="single" w:sz="8" w:space="0" w:color="BFBFBF"/>
              <w:right w:val="single" w:sz="8" w:space="0" w:color="BFBFBF"/>
            </w:tcBorders>
            <w:vAlign w:val="center"/>
            <w:hideMark/>
          </w:tcPr>
          <w:p w14:paraId="43C05952"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880" w:type="dxa"/>
            <w:vMerge/>
            <w:tcBorders>
              <w:top w:val="single" w:sz="8" w:space="0" w:color="BFBFBF"/>
              <w:left w:val="single" w:sz="8" w:space="0" w:color="BFBFBF"/>
              <w:bottom w:val="single" w:sz="8" w:space="0" w:color="BFBFBF"/>
              <w:right w:val="single" w:sz="8" w:space="0" w:color="BFBFBF"/>
            </w:tcBorders>
            <w:vAlign w:val="center"/>
            <w:hideMark/>
          </w:tcPr>
          <w:p w14:paraId="452F68F8"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1280" w:type="dxa"/>
            <w:vMerge/>
            <w:tcBorders>
              <w:top w:val="single" w:sz="8" w:space="0" w:color="BFBFBF"/>
              <w:left w:val="single" w:sz="8" w:space="0" w:color="BFBFBF"/>
              <w:bottom w:val="single" w:sz="8" w:space="0" w:color="BFBFBF"/>
              <w:right w:val="single" w:sz="8" w:space="0" w:color="BFBFBF"/>
            </w:tcBorders>
            <w:vAlign w:val="center"/>
            <w:hideMark/>
          </w:tcPr>
          <w:p w14:paraId="46DAC530"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1300" w:type="dxa"/>
            <w:vMerge/>
            <w:tcBorders>
              <w:top w:val="single" w:sz="8" w:space="0" w:color="BFBFBF"/>
              <w:left w:val="single" w:sz="8" w:space="0" w:color="BFBFBF"/>
              <w:bottom w:val="single" w:sz="8" w:space="0" w:color="BFBFBF"/>
              <w:right w:val="single" w:sz="8" w:space="0" w:color="BFBFBF"/>
            </w:tcBorders>
            <w:vAlign w:val="center"/>
            <w:hideMark/>
          </w:tcPr>
          <w:p w14:paraId="51CBAD22"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802" w:type="dxa"/>
            <w:vMerge w:val="restart"/>
            <w:tcBorders>
              <w:top w:val="nil"/>
              <w:left w:val="single" w:sz="8" w:space="0" w:color="BFBFBF"/>
              <w:bottom w:val="single" w:sz="8" w:space="0" w:color="BFBFBF"/>
              <w:right w:val="single" w:sz="8" w:space="0" w:color="BFBFBF"/>
            </w:tcBorders>
            <w:shd w:val="clear" w:color="000000" w:fill="002060"/>
            <w:vAlign w:val="center"/>
            <w:hideMark/>
          </w:tcPr>
          <w:p w14:paraId="0DBDE45F"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2019</w:t>
            </w:r>
            <w:r w:rsidRPr="001738EC">
              <w:rPr>
                <w:rFonts w:ascii="Century Gothic" w:eastAsia="Times New Roman" w:hAnsi="Century Gothic" w:cs="Calibri"/>
                <w:b/>
                <w:bCs/>
                <w:color w:val="FFFFFF"/>
                <w:sz w:val="16"/>
                <w:szCs w:val="16"/>
                <w:vertAlign w:val="superscript"/>
                <w:lang w:eastAsia="es-MX"/>
              </w:rPr>
              <w:t>a/</w:t>
            </w:r>
            <w:r w:rsidRPr="001738EC">
              <w:rPr>
                <w:rFonts w:ascii="Century Gothic" w:eastAsia="Times New Roman" w:hAnsi="Century Gothic" w:cs="Calibri"/>
                <w:b/>
                <w:bCs/>
                <w:color w:val="FFFFFF"/>
                <w:sz w:val="16"/>
                <w:szCs w:val="16"/>
                <w:lang w:eastAsia="es-MX"/>
              </w:rPr>
              <w:br/>
            </w:r>
            <w:r w:rsidRPr="001738EC">
              <w:rPr>
                <w:rFonts w:ascii="Century Gothic" w:eastAsia="Times New Roman" w:hAnsi="Century Gothic" w:cs="Calibri"/>
                <w:b/>
                <w:bCs/>
                <w:i/>
                <w:iCs/>
                <w:color w:val="FFFFFF"/>
                <w:sz w:val="16"/>
                <w:szCs w:val="16"/>
                <w:lang w:eastAsia="es-MX"/>
              </w:rPr>
              <w:t>Línea</w:t>
            </w:r>
            <w:r w:rsidRPr="001738EC">
              <w:rPr>
                <w:rFonts w:ascii="Century Gothic" w:eastAsia="Times New Roman" w:hAnsi="Century Gothic" w:cs="Calibri"/>
                <w:b/>
                <w:bCs/>
                <w:i/>
                <w:iCs/>
                <w:color w:val="FFFFFF"/>
                <w:sz w:val="16"/>
                <w:szCs w:val="16"/>
                <w:lang w:eastAsia="es-MX"/>
              </w:rPr>
              <w:br/>
              <w:t>base</w:t>
            </w:r>
          </w:p>
        </w:tc>
        <w:tc>
          <w:tcPr>
            <w:tcW w:w="666" w:type="dxa"/>
            <w:vMerge w:val="restart"/>
            <w:tcBorders>
              <w:top w:val="nil"/>
              <w:left w:val="single" w:sz="8" w:space="0" w:color="BFBFBF"/>
              <w:bottom w:val="single" w:sz="8" w:space="0" w:color="BFBFBF"/>
              <w:right w:val="single" w:sz="8" w:space="0" w:color="BFBFBF"/>
            </w:tcBorders>
            <w:shd w:val="clear" w:color="000000" w:fill="002060"/>
            <w:noWrap/>
            <w:vAlign w:val="center"/>
            <w:hideMark/>
          </w:tcPr>
          <w:p w14:paraId="48EEBD05"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2020</w:t>
            </w:r>
            <w:r w:rsidRPr="001738EC">
              <w:rPr>
                <w:rFonts w:ascii="Century Gothic" w:eastAsia="Times New Roman" w:hAnsi="Century Gothic" w:cs="Calibri"/>
                <w:b/>
                <w:bCs/>
                <w:color w:val="FFFFFF"/>
                <w:sz w:val="16"/>
                <w:szCs w:val="16"/>
                <w:vertAlign w:val="superscript"/>
                <w:lang w:eastAsia="es-MX"/>
              </w:rPr>
              <w:t>a/</w:t>
            </w:r>
          </w:p>
        </w:tc>
        <w:tc>
          <w:tcPr>
            <w:tcW w:w="666" w:type="dxa"/>
            <w:vMerge w:val="restart"/>
            <w:tcBorders>
              <w:top w:val="nil"/>
              <w:left w:val="single" w:sz="8" w:space="0" w:color="BFBFBF"/>
              <w:bottom w:val="single" w:sz="8" w:space="0" w:color="BFBFBF"/>
              <w:right w:val="single" w:sz="8" w:space="0" w:color="BFBFBF"/>
            </w:tcBorders>
            <w:shd w:val="clear" w:color="000000" w:fill="002060"/>
            <w:noWrap/>
            <w:vAlign w:val="center"/>
            <w:hideMark/>
          </w:tcPr>
          <w:p w14:paraId="09D63E9D"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2021</w:t>
            </w:r>
            <w:r w:rsidRPr="001738EC">
              <w:rPr>
                <w:rFonts w:ascii="Century Gothic" w:eastAsia="Times New Roman" w:hAnsi="Century Gothic" w:cs="Calibri"/>
                <w:b/>
                <w:bCs/>
                <w:color w:val="FFFFFF"/>
                <w:sz w:val="16"/>
                <w:szCs w:val="16"/>
                <w:vertAlign w:val="superscript"/>
                <w:lang w:eastAsia="es-MX"/>
              </w:rPr>
              <w:t>a/</w:t>
            </w:r>
          </w:p>
        </w:tc>
        <w:tc>
          <w:tcPr>
            <w:tcW w:w="666" w:type="dxa"/>
            <w:vMerge w:val="restart"/>
            <w:tcBorders>
              <w:top w:val="nil"/>
              <w:left w:val="single" w:sz="8" w:space="0" w:color="BFBFBF"/>
              <w:bottom w:val="single" w:sz="8" w:space="0" w:color="BFBFBF"/>
              <w:right w:val="single" w:sz="8" w:space="0" w:color="BFBFBF"/>
            </w:tcBorders>
            <w:shd w:val="clear" w:color="000000" w:fill="002060"/>
            <w:noWrap/>
            <w:vAlign w:val="center"/>
            <w:hideMark/>
          </w:tcPr>
          <w:p w14:paraId="7B2CBFAF"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2022</w:t>
            </w:r>
            <w:r w:rsidRPr="001738EC">
              <w:rPr>
                <w:rFonts w:ascii="Century Gothic" w:eastAsia="Times New Roman" w:hAnsi="Century Gothic" w:cs="Calibri"/>
                <w:b/>
                <w:bCs/>
                <w:color w:val="FFFFFF"/>
                <w:sz w:val="16"/>
                <w:szCs w:val="16"/>
                <w:vertAlign w:val="superscript"/>
                <w:lang w:eastAsia="es-MX"/>
              </w:rPr>
              <w:t>a/</w:t>
            </w:r>
          </w:p>
        </w:tc>
        <w:tc>
          <w:tcPr>
            <w:tcW w:w="1100" w:type="dxa"/>
            <w:vMerge/>
            <w:tcBorders>
              <w:top w:val="single" w:sz="8" w:space="0" w:color="BFBFBF"/>
              <w:left w:val="single" w:sz="8" w:space="0" w:color="BFBFBF"/>
              <w:bottom w:val="single" w:sz="8" w:space="0" w:color="BFBFBF"/>
              <w:right w:val="single" w:sz="8" w:space="0" w:color="BFBFBF"/>
            </w:tcBorders>
            <w:vAlign w:val="center"/>
            <w:hideMark/>
          </w:tcPr>
          <w:p w14:paraId="7EC294AE"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2240" w:type="dxa"/>
            <w:gridSpan w:val="4"/>
            <w:tcBorders>
              <w:top w:val="single" w:sz="8" w:space="0" w:color="BFBFBF"/>
              <w:left w:val="nil"/>
              <w:bottom w:val="single" w:sz="8" w:space="0" w:color="BFBFBF"/>
              <w:right w:val="single" w:sz="8" w:space="0" w:color="BFBFBF"/>
            </w:tcBorders>
            <w:shd w:val="clear" w:color="000000" w:fill="002060"/>
            <w:vAlign w:val="center"/>
            <w:hideMark/>
          </w:tcPr>
          <w:p w14:paraId="09CEDE03"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Tasa de no respuesta antes de imputación (ponderada)</w:t>
            </w:r>
          </w:p>
        </w:tc>
        <w:tc>
          <w:tcPr>
            <w:tcW w:w="1840" w:type="dxa"/>
            <w:gridSpan w:val="4"/>
            <w:tcBorders>
              <w:top w:val="single" w:sz="8" w:space="0" w:color="BFBFBF"/>
              <w:left w:val="nil"/>
              <w:bottom w:val="single" w:sz="8" w:space="0" w:color="BFBFBF"/>
              <w:right w:val="single" w:sz="8" w:space="0" w:color="BFBFBF"/>
            </w:tcBorders>
            <w:shd w:val="clear" w:color="000000" w:fill="002060"/>
            <w:vAlign w:val="center"/>
            <w:hideMark/>
          </w:tcPr>
          <w:p w14:paraId="6027C3DF"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 xml:space="preserve">Tasa de </w:t>
            </w:r>
            <w:proofErr w:type="spellStart"/>
            <w:r w:rsidRPr="001738EC">
              <w:rPr>
                <w:rFonts w:ascii="Century Gothic" w:eastAsia="Times New Roman" w:hAnsi="Century Gothic" w:cs="Calibri"/>
                <w:b/>
                <w:bCs/>
                <w:color w:val="FFFFFF"/>
                <w:sz w:val="16"/>
                <w:szCs w:val="16"/>
                <w:lang w:eastAsia="es-MX"/>
              </w:rPr>
              <w:t>sobrecobertura</w:t>
            </w:r>
            <w:proofErr w:type="spellEnd"/>
            <w:r w:rsidRPr="001738EC">
              <w:rPr>
                <w:rFonts w:ascii="Century Gothic" w:eastAsia="Times New Roman" w:hAnsi="Century Gothic" w:cs="Calibri"/>
                <w:b/>
                <w:bCs/>
                <w:color w:val="FFFFFF"/>
                <w:sz w:val="16"/>
                <w:szCs w:val="16"/>
                <w:lang w:eastAsia="es-MX"/>
              </w:rPr>
              <w:t xml:space="preserve"> (ponderada)</w:t>
            </w:r>
          </w:p>
        </w:tc>
      </w:tr>
      <w:tr w:rsidR="00E729CB" w:rsidRPr="001738EC" w14:paraId="118724A7" w14:textId="77777777" w:rsidTr="003B35A6">
        <w:trPr>
          <w:trHeight w:val="228"/>
          <w:tblHeader/>
          <w:jc w:val="center"/>
        </w:trPr>
        <w:tc>
          <w:tcPr>
            <w:tcW w:w="1540" w:type="dxa"/>
            <w:vMerge/>
            <w:tcBorders>
              <w:top w:val="single" w:sz="8" w:space="0" w:color="BFBFBF"/>
              <w:left w:val="single" w:sz="8" w:space="0" w:color="BFBFBF"/>
              <w:bottom w:val="single" w:sz="8" w:space="0" w:color="BFBFBF"/>
              <w:right w:val="single" w:sz="8" w:space="0" w:color="BFBFBF"/>
            </w:tcBorders>
            <w:vAlign w:val="center"/>
            <w:hideMark/>
          </w:tcPr>
          <w:p w14:paraId="34623C68"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880" w:type="dxa"/>
            <w:vMerge/>
            <w:tcBorders>
              <w:top w:val="single" w:sz="8" w:space="0" w:color="BFBFBF"/>
              <w:left w:val="single" w:sz="8" w:space="0" w:color="BFBFBF"/>
              <w:bottom w:val="single" w:sz="8" w:space="0" w:color="BFBFBF"/>
              <w:right w:val="single" w:sz="8" w:space="0" w:color="BFBFBF"/>
            </w:tcBorders>
            <w:vAlign w:val="center"/>
            <w:hideMark/>
          </w:tcPr>
          <w:p w14:paraId="37B42AFD"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1280" w:type="dxa"/>
            <w:vMerge/>
            <w:tcBorders>
              <w:top w:val="single" w:sz="8" w:space="0" w:color="BFBFBF"/>
              <w:left w:val="single" w:sz="8" w:space="0" w:color="BFBFBF"/>
              <w:bottom w:val="single" w:sz="8" w:space="0" w:color="BFBFBF"/>
              <w:right w:val="single" w:sz="8" w:space="0" w:color="BFBFBF"/>
            </w:tcBorders>
            <w:vAlign w:val="center"/>
            <w:hideMark/>
          </w:tcPr>
          <w:p w14:paraId="15E1F126"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1300" w:type="dxa"/>
            <w:vMerge/>
            <w:tcBorders>
              <w:top w:val="single" w:sz="8" w:space="0" w:color="BFBFBF"/>
              <w:left w:val="single" w:sz="8" w:space="0" w:color="BFBFBF"/>
              <w:bottom w:val="single" w:sz="8" w:space="0" w:color="BFBFBF"/>
              <w:right w:val="single" w:sz="8" w:space="0" w:color="BFBFBF"/>
            </w:tcBorders>
            <w:vAlign w:val="center"/>
            <w:hideMark/>
          </w:tcPr>
          <w:p w14:paraId="17ECEBFD"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802" w:type="dxa"/>
            <w:vMerge/>
            <w:tcBorders>
              <w:top w:val="nil"/>
              <w:left w:val="single" w:sz="8" w:space="0" w:color="BFBFBF"/>
              <w:bottom w:val="single" w:sz="8" w:space="0" w:color="BFBFBF"/>
              <w:right w:val="single" w:sz="8" w:space="0" w:color="BFBFBF"/>
            </w:tcBorders>
            <w:vAlign w:val="center"/>
            <w:hideMark/>
          </w:tcPr>
          <w:p w14:paraId="772610B0"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666" w:type="dxa"/>
            <w:vMerge/>
            <w:tcBorders>
              <w:top w:val="nil"/>
              <w:left w:val="single" w:sz="8" w:space="0" w:color="BFBFBF"/>
              <w:bottom w:val="single" w:sz="8" w:space="0" w:color="BFBFBF"/>
              <w:right w:val="single" w:sz="8" w:space="0" w:color="BFBFBF"/>
            </w:tcBorders>
            <w:vAlign w:val="center"/>
            <w:hideMark/>
          </w:tcPr>
          <w:p w14:paraId="0A5B3098"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666" w:type="dxa"/>
            <w:vMerge/>
            <w:tcBorders>
              <w:top w:val="nil"/>
              <w:left w:val="single" w:sz="8" w:space="0" w:color="BFBFBF"/>
              <w:bottom w:val="single" w:sz="8" w:space="0" w:color="BFBFBF"/>
              <w:right w:val="single" w:sz="8" w:space="0" w:color="BFBFBF"/>
            </w:tcBorders>
            <w:vAlign w:val="center"/>
            <w:hideMark/>
          </w:tcPr>
          <w:p w14:paraId="6763E60C"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666" w:type="dxa"/>
            <w:vMerge/>
            <w:tcBorders>
              <w:top w:val="nil"/>
              <w:left w:val="single" w:sz="8" w:space="0" w:color="BFBFBF"/>
              <w:bottom w:val="single" w:sz="8" w:space="0" w:color="BFBFBF"/>
              <w:right w:val="single" w:sz="8" w:space="0" w:color="BFBFBF"/>
            </w:tcBorders>
            <w:vAlign w:val="center"/>
            <w:hideMark/>
          </w:tcPr>
          <w:p w14:paraId="7E7D485A"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1100" w:type="dxa"/>
            <w:vMerge/>
            <w:tcBorders>
              <w:top w:val="single" w:sz="8" w:space="0" w:color="BFBFBF"/>
              <w:left w:val="single" w:sz="8" w:space="0" w:color="BFBFBF"/>
              <w:bottom w:val="single" w:sz="8" w:space="0" w:color="BFBFBF"/>
              <w:right w:val="single" w:sz="8" w:space="0" w:color="BFBFBF"/>
            </w:tcBorders>
            <w:vAlign w:val="center"/>
            <w:hideMark/>
          </w:tcPr>
          <w:p w14:paraId="274D976A" w14:textId="77777777" w:rsidR="00E729CB" w:rsidRPr="001738EC" w:rsidRDefault="00E729CB" w:rsidP="003B35A6">
            <w:pPr>
              <w:spacing w:after="0" w:line="240" w:lineRule="auto"/>
              <w:rPr>
                <w:rFonts w:ascii="Century Gothic" w:eastAsia="Times New Roman" w:hAnsi="Century Gothic" w:cs="Calibri"/>
                <w:b/>
                <w:bCs/>
                <w:color w:val="FFFFFF"/>
                <w:sz w:val="16"/>
                <w:szCs w:val="16"/>
                <w:lang w:eastAsia="es-MX"/>
              </w:rPr>
            </w:pPr>
          </w:p>
        </w:tc>
        <w:tc>
          <w:tcPr>
            <w:tcW w:w="589" w:type="dxa"/>
            <w:tcBorders>
              <w:top w:val="nil"/>
              <w:left w:val="nil"/>
              <w:bottom w:val="single" w:sz="8" w:space="0" w:color="BFBFBF"/>
              <w:right w:val="single" w:sz="8" w:space="0" w:color="BFBFBF"/>
            </w:tcBorders>
            <w:shd w:val="clear" w:color="000000" w:fill="002060"/>
            <w:vAlign w:val="center"/>
            <w:hideMark/>
          </w:tcPr>
          <w:p w14:paraId="66B67494"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2019*</w:t>
            </w:r>
          </w:p>
        </w:tc>
        <w:tc>
          <w:tcPr>
            <w:tcW w:w="589" w:type="dxa"/>
            <w:tcBorders>
              <w:top w:val="nil"/>
              <w:left w:val="nil"/>
              <w:bottom w:val="single" w:sz="8" w:space="0" w:color="BFBFBF"/>
              <w:right w:val="single" w:sz="8" w:space="0" w:color="BFBFBF"/>
            </w:tcBorders>
            <w:shd w:val="clear" w:color="000000" w:fill="002060"/>
            <w:vAlign w:val="center"/>
            <w:hideMark/>
          </w:tcPr>
          <w:p w14:paraId="00A33F04"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2020*</w:t>
            </w:r>
          </w:p>
        </w:tc>
        <w:tc>
          <w:tcPr>
            <w:tcW w:w="494" w:type="dxa"/>
            <w:tcBorders>
              <w:top w:val="nil"/>
              <w:left w:val="nil"/>
              <w:bottom w:val="single" w:sz="8" w:space="0" w:color="BFBFBF"/>
              <w:right w:val="single" w:sz="8" w:space="0" w:color="BFBFBF"/>
            </w:tcBorders>
            <w:shd w:val="clear" w:color="000000" w:fill="002060"/>
            <w:noWrap/>
            <w:vAlign w:val="center"/>
            <w:hideMark/>
          </w:tcPr>
          <w:p w14:paraId="11B5297D"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2021*</w:t>
            </w:r>
          </w:p>
        </w:tc>
        <w:tc>
          <w:tcPr>
            <w:tcW w:w="568" w:type="dxa"/>
            <w:tcBorders>
              <w:top w:val="nil"/>
              <w:left w:val="nil"/>
              <w:bottom w:val="single" w:sz="8" w:space="0" w:color="BFBFBF"/>
              <w:right w:val="single" w:sz="8" w:space="0" w:color="BFBFBF"/>
            </w:tcBorders>
            <w:shd w:val="clear" w:color="000000" w:fill="002060"/>
            <w:noWrap/>
            <w:vAlign w:val="center"/>
            <w:hideMark/>
          </w:tcPr>
          <w:p w14:paraId="6E055A41"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2022**</w:t>
            </w:r>
          </w:p>
        </w:tc>
        <w:tc>
          <w:tcPr>
            <w:tcW w:w="460" w:type="dxa"/>
            <w:tcBorders>
              <w:top w:val="nil"/>
              <w:left w:val="nil"/>
              <w:bottom w:val="single" w:sz="8" w:space="0" w:color="BFBFBF"/>
              <w:right w:val="single" w:sz="8" w:space="0" w:color="BFBFBF"/>
            </w:tcBorders>
            <w:shd w:val="clear" w:color="000000" w:fill="002060"/>
            <w:noWrap/>
            <w:vAlign w:val="center"/>
            <w:hideMark/>
          </w:tcPr>
          <w:p w14:paraId="5E645DA5"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2019</w:t>
            </w:r>
          </w:p>
        </w:tc>
        <w:tc>
          <w:tcPr>
            <w:tcW w:w="460" w:type="dxa"/>
            <w:tcBorders>
              <w:top w:val="nil"/>
              <w:left w:val="nil"/>
              <w:bottom w:val="single" w:sz="8" w:space="0" w:color="BFBFBF"/>
              <w:right w:val="single" w:sz="8" w:space="0" w:color="BFBFBF"/>
            </w:tcBorders>
            <w:shd w:val="clear" w:color="000000" w:fill="002060"/>
            <w:noWrap/>
            <w:vAlign w:val="center"/>
            <w:hideMark/>
          </w:tcPr>
          <w:p w14:paraId="4B696612"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2020</w:t>
            </w:r>
          </w:p>
        </w:tc>
        <w:tc>
          <w:tcPr>
            <w:tcW w:w="460" w:type="dxa"/>
            <w:tcBorders>
              <w:top w:val="nil"/>
              <w:left w:val="nil"/>
              <w:bottom w:val="single" w:sz="8" w:space="0" w:color="BFBFBF"/>
              <w:right w:val="single" w:sz="8" w:space="0" w:color="BFBFBF"/>
            </w:tcBorders>
            <w:shd w:val="clear" w:color="000000" w:fill="002060"/>
            <w:noWrap/>
            <w:vAlign w:val="center"/>
            <w:hideMark/>
          </w:tcPr>
          <w:p w14:paraId="257DA64B"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2021</w:t>
            </w:r>
          </w:p>
        </w:tc>
        <w:tc>
          <w:tcPr>
            <w:tcW w:w="460" w:type="dxa"/>
            <w:tcBorders>
              <w:top w:val="nil"/>
              <w:left w:val="nil"/>
              <w:bottom w:val="single" w:sz="8" w:space="0" w:color="BFBFBF"/>
              <w:right w:val="single" w:sz="8" w:space="0" w:color="BFBFBF"/>
            </w:tcBorders>
            <w:shd w:val="clear" w:color="000000" w:fill="002060"/>
            <w:noWrap/>
            <w:vAlign w:val="center"/>
            <w:hideMark/>
          </w:tcPr>
          <w:p w14:paraId="60615858" w14:textId="77777777" w:rsidR="00E729CB" w:rsidRPr="001738EC" w:rsidRDefault="00E729CB" w:rsidP="003B35A6">
            <w:pPr>
              <w:spacing w:after="0" w:line="240" w:lineRule="auto"/>
              <w:jc w:val="center"/>
              <w:rPr>
                <w:rFonts w:ascii="Century Gothic" w:eastAsia="Times New Roman" w:hAnsi="Century Gothic" w:cs="Calibri"/>
                <w:b/>
                <w:bCs/>
                <w:color w:val="FFFFFF"/>
                <w:sz w:val="16"/>
                <w:szCs w:val="16"/>
                <w:lang w:eastAsia="es-MX"/>
              </w:rPr>
            </w:pPr>
            <w:r w:rsidRPr="001738EC">
              <w:rPr>
                <w:rFonts w:ascii="Century Gothic" w:eastAsia="Times New Roman" w:hAnsi="Century Gothic" w:cs="Calibri"/>
                <w:b/>
                <w:bCs/>
                <w:color w:val="FFFFFF"/>
                <w:sz w:val="16"/>
                <w:szCs w:val="16"/>
                <w:lang w:eastAsia="es-MX"/>
              </w:rPr>
              <w:t>2022</w:t>
            </w:r>
          </w:p>
        </w:tc>
      </w:tr>
      <w:tr w:rsidR="00E729CB" w:rsidRPr="001738EC" w14:paraId="14DD33E2"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895D7B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Sexenal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782228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674AAE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ENSANUT</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4CE445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8210D0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6FCD72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CD79DD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6CECF1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6EC8A7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B88C58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90EC52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59%</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6AD4AD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11D21B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5A3AD9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3467B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1EC7B3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83FDBB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4FD31671"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051C194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Quinquenal</w:t>
            </w:r>
          </w:p>
        </w:tc>
        <w:tc>
          <w:tcPr>
            <w:tcW w:w="880" w:type="dxa"/>
            <w:tcBorders>
              <w:top w:val="nil"/>
              <w:left w:val="nil"/>
              <w:bottom w:val="single" w:sz="8" w:space="0" w:color="BFBFBF"/>
              <w:right w:val="single" w:sz="8" w:space="0" w:color="BFBFBF"/>
            </w:tcBorders>
            <w:shd w:val="clear" w:color="auto" w:fill="auto"/>
            <w:noWrap/>
            <w:vAlign w:val="center"/>
            <w:hideMark/>
          </w:tcPr>
          <w:p w14:paraId="2201964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31EED61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ENUT</w:t>
            </w:r>
          </w:p>
        </w:tc>
        <w:tc>
          <w:tcPr>
            <w:tcW w:w="1300" w:type="dxa"/>
            <w:tcBorders>
              <w:top w:val="nil"/>
              <w:left w:val="nil"/>
              <w:bottom w:val="single" w:sz="8" w:space="0" w:color="BFBFBF"/>
              <w:right w:val="single" w:sz="8" w:space="0" w:color="BFBFBF"/>
            </w:tcBorders>
            <w:shd w:val="clear" w:color="auto" w:fill="auto"/>
            <w:noWrap/>
            <w:vAlign w:val="center"/>
            <w:hideMark/>
          </w:tcPr>
          <w:p w14:paraId="3298285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124F7DD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0E9BC02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666" w:type="dxa"/>
            <w:tcBorders>
              <w:top w:val="nil"/>
              <w:left w:val="nil"/>
              <w:bottom w:val="single" w:sz="8" w:space="0" w:color="BFBFBF"/>
              <w:right w:val="single" w:sz="8" w:space="0" w:color="BFBFBF"/>
            </w:tcBorders>
            <w:shd w:val="clear" w:color="auto" w:fill="auto"/>
            <w:noWrap/>
            <w:vAlign w:val="center"/>
            <w:hideMark/>
          </w:tcPr>
          <w:p w14:paraId="0828701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1260F1D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2C2B2DA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0F84653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652BFC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494" w:type="dxa"/>
            <w:tcBorders>
              <w:top w:val="nil"/>
              <w:left w:val="nil"/>
              <w:bottom w:val="single" w:sz="8" w:space="0" w:color="BFBFBF"/>
              <w:right w:val="single" w:sz="8" w:space="0" w:color="BFBFBF"/>
            </w:tcBorders>
            <w:shd w:val="clear" w:color="auto" w:fill="auto"/>
            <w:noWrap/>
            <w:vAlign w:val="center"/>
            <w:hideMark/>
          </w:tcPr>
          <w:p w14:paraId="638638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2F36163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48FEB3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6E45141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6B21AFC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660EF9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36A47294"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010D08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Quinquenal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01DB9D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F6E65D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ENDIREH</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94688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DF5B5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0BF8D3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995FC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9FD40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390D15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5BC547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501533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EE233B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6E763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5D1B21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8A9E78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923472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96EB1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44E7D53D"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5DCC5AF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Trienal</w:t>
            </w:r>
          </w:p>
        </w:tc>
        <w:tc>
          <w:tcPr>
            <w:tcW w:w="880" w:type="dxa"/>
            <w:tcBorders>
              <w:top w:val="nil"/>
              <w:left w:val="nil"/>
              <w:bottom w:val="single" w:sz="8" w:space="0" w:color="BFBFBF"/>
              <w:right w:val="single" w:sz="8" w:space="0" w:color="BFBFBF"/>
            </w:tcBorders>
            <w:shd w:val="clear" w:color="auto" w:fill="auto"/>
            <w:noWrap/>
            <w:vAlign w:val="center"/>
            <w:hideMark/>
          </w:tcPr>
          <w:p w14:paraId="03CB000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1DCD43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ENASEM</w:t>
            </w:r>
          </w:p>
        </w:tc>
        <w:tc>
          <w:tcPr>
            <w:tcW w:w="1300" w:type="dxa"/>
            <w:tcBorders>
              <w:top w:val="nil"/>
              <w:left w:val="nil"/>
              <w:bottom w:val="single" w:sz="8" w:space="0" w:color="BFBFBF"/>
              <w:right w:val="single" w:sz="8" w:space="0" w:color="BFBFBF"/>
            </w:tcBorders>
            <w:shd w:val="clear" w:color="auto" w:fill="auto"/>
            <w:noWrap/>
            <w:vAlign w:val="center"/>
            <w:hideMark/>
          </w:tcPr>
          <w:p w14:paraId="66A6EE6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2D1459C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00C607C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666" w:type="dxa"/>
            <w:tcBorders>
              <w:top w:val="nil"/>
              <w:left w:val="nil"/>
              <w:bottom w:val="single" w:sz="8" w:space="0" w:color="BFBFBF"/>
              <w:right w:val="single" w:sz="8" w:space="0" w:color="BFBFBF"/>
            </w:tcBorders>
            <w:shd w:val="clear" w:color="auto" w:fill="auto"/>
            <w:noWrap/>
            <w:vAlign w:val="center"/>
            <w:hideMark/>
          </w:tcPr>
          <w:p w14:paraId="482461B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36C655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71C4F3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2BBB6A0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4FDE4DE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18%</w:t>
            </w:r>
          </w:p>
        </w:tc>
        <w:tc>
          <w:tcPr>
            <w:tcW w:w="494" w:type="dxa"/>
            <w:tcBorders>
              <w:top w:val="nil"/>
              <w:left w:val="nil"/>
              <w:bottom w:val="single" w:sz="8" w:space="0" w:color="BFBFBF"/>
              <w:right w:val="single" w:sz="8" w:space="0" w:color="BFBFBF"/>
            </w:tcBorders>
            <w:shd w:val="clear" w:color="auto" w:fill="auto"/>
            <w:noWrap/>
            <w:vAlign w:val="center"/>
            <w:hideMark/>
          </w:tcPr>
          <w:p w14:paraId="1E5F70D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4E78740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7E07B91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9544F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460" w:type="dxa"/>
            <w:tcBorders>
              <w:top w:val="nil"/>
              <w:left w:val="nil"/>
              <w:bottom w:val="single" w:sz="8" w:space="0" w:color="BFBFBF"/>
              <w:right w:val="single" w:sz="8" w:space="0" w:color="BFBFBF"/>
            </w:tcBorders>
            <w:shd w:val="clear" w:color="auto" w:fill="auto"/>
            <w:noWrap/>
            <w:vAlign w:val="center"/>
            <w:hideMark/>
          </w:tcPr>
          <w:p w14:paraId="027E42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40CAF36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7DBF0841"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CEC5F7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31693E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4349F3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ENIF</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1CCF7D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4BEA1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E5F39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621A3F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9BA65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54994F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E408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20D82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41250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D97C4C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26587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C07297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9CDBD6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4E7DAB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r>
      <w:tr w:rsidR="00E729CB" w:rsidRPr="001738EC" w14:paraId="2C053AE3"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24AC9B0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Trienal</w:t>
            </w:r>
          </w:p>
        </w:tc>
        <w:tc>
          <w:tcPr>
            <w:tcW w:w="880" w:type="dxa"/>
            <w:tcBorders>
              <w:top w:val="nil"/>
              <w:left w:val="nil"/>
              <w:bottom w:val="single" w:sz="8" w:space="0" w:color="BFBFBF"/>
              <w:right w:val="single" w:sz="8" w:space="0" w:color="BFBFBF"/>
            </w:tcBorders>
            <w:shd w:val="clear" w:color="auto" w:fill="auto"/>
            <w:noWrap/>
            <w:vAlign w:val="center"/>
            <w:hideMark/>
          </w:tcPr>
          <w:p w14:paraId="0CC4274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5C245A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ECRIGE-CDMX</w:t>
            </w:r>
          </w:p>
        </w:tc>
        <w:tc>
          <w:tcPr>
            <w:tcW w:w="1300" w:type="dxa"/>
            <w:tcBorders>
              <w:top w:val="nil"/>
              <w:left w:val="nil"/>
              <w:bottom w:val="single" w:sz="8" w:space="0" w:color="BFBFBF"/>
              <w:right w:val="single" w:sz="8" w:space="0" w:color="BFBFBF"/>
            </w:tcBorders>
            <w:shd w:val="clear" w:color="auto" w:fill="auto"/>
            <w:noWrap/>
            <w:vAlign w:val="center"/>
            <w:hideMark/>
          </w:tcPr>
          <w:p w14:paraId="79B40D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0B71F06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D2028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45B8365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4708C1C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35FECEE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0B54451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3AEA6C2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w:t>
            </w:r>
          </w:p>
        </w:tc>
        <w:tc>
          <w:tcPr>
            <w:tcW w:w="494" w:type="dxa"/>
            <w:tcBorders>
              <w:top w:val="nil"/>
              <w:left w:val="nil"/>
              <w:bottom w:val="single" w:sz="8" w:space="0" w:color="BFBFBF"/>
              <w:right w:val="single" w:sz="8" w:space="0" w:color="BFBFBF"/>
            </w:tcBorders>
            <w:shd w:val="clear" w:color="auto" w:fill="auto"/>
            <w:noWrap/>
            <w:vAlign w:val="center"/>
            <w:hideMark/>
          </w:tcPr>
          <w:p w14:paraId="4E43D8E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1BE3F8D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13CF41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1108187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26%</w:t>
            </w:r>
          </w:p>
        </w:tc>
        <w:tc>
          <w:tcPr>
            <w:tcW w:w="460" w:type="dxa"/>
            <w:tcBorders>
              <w:top w:val="nil"/>
              <w:left w:val="nil"/>
              <w:bottom w:val="single" w:sz="8" w:space="0" w:color="BFBFBF"/>
              <w:right w:val="single" w:sz="8" w:space="0" w:color="BFBFBF"/>
            </w:tcBorders>
            <w:shd w:val="clear" w:color="auto" w:fill="auto"/>
            <w:noWrap/>
            <w:vAlign w:val="center"/>
            <w:hideMark/>
          </w:tcPr>
          <w:p w14:paraId="7E9F2E4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3BBF113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4F8556C3"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B0D54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F200B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8117D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ENAID</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20BC3E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8682C2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F735BF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79CFF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CF394F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7A584C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3E33B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F65F8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5EBA0B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B823B5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E2B59E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026243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248AF6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97D85D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0F890BB5"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495E4AC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Bienal</w:t>
            </w:r>
          </w:p>
        </w:tc>
        <w:tc>
          <w:tcPr>
            <w:tcW w:w="880" w:type="dxa"/>
            <w:tcBorders>
              <w:top w:val="nil"/>
              <w:left w:val="nil"/>
              <w:bottom w:val="single" w:sz="8" w:space="0" w:color="BFBFBF"/>
              <w:right w:val="single" w:sz="8" w:space="0" w:color="BFBFBF"/>
            </w:tcBorders>
            <w:shd w:val="clear" w:color="auto" w:fill="auto"/>
            <w:noWrap/>
            <w:vAlign w:val="center"/>
            <w:hideMark/>
          </w:tcPr>
          <w:p w14:paraId="4166DF1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DGIAI</w:t>
            </w:r>
          </w:p>
        </w:tc>
        <w:tc>
          <w:tcPr>
            <w:tcW w:w="1280" w:type="dxa"/>
            <w:tcBorders>
              <w:top w:val="nil"/>
              <w:left w:val="nil"/>
              <w:bottom w:val="single" w:sz="8" w:space="0" w:color="BFBFBF"/>
              <w:right w:val="single" w:sz="8" w:space="0" w:color="BFBFBF"/>
            </w:tcBorders>
            <w:shd w:val="clear" w:color="auto" w:fill="auto"/>
            <w:noWrap/>
            <w:vAlign w:val="center"/>
            <w:hideMark/>
          </w:tcPr>
          <w:p w14:paraId="2289AE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ENBIARE</w:t>
            </w:r>
          </w:p>
        </w:tc>
        <w:tc>
          <w:tcPr>
            <w:tcW w:w="1300" w:type="dxa"/>
            <w:tcBorders>
              <w:top w:val="nil"/>
              <w:left w:val="nil"/>
              <w:bottom w:val="single" w:sz="8" w:space="0" w:color="BFBFBF"/>
              <w:right w:val="single" w:sz="8" w:space="0" w:color="BFBFBF"/>
            </w:tcBorders>
            <w:shd w:val="clear" w:color="auto" w:fill="auto"/>
            <w:noWrap/>
            <w:vAlign w:val="center"/>
            <w:hideMark/>
          </w:tcPr>
          <w:p w14:paraId="16E9FEF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29E7B89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39A1C87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0E94FD0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666" w:type="dxa"/>
            <w:tcBorders>
              <w:top w:val="nil"/>
              <w:left w:val="nil"/>
              <w:bottom w:val="single" w:sz="8" w:space="0" w:color="BFBFBF"/>
              <w:right w:val="single" w:sz="8" w:space="0" w:color="BFBFBF"/>
            </w:tcBorders>
            <w:shd w:val="clear" w:color="auto" w:fill="auto"/>
            <w:noWrap/>
            <w:vAlign w:val="center"/>
            <w:hideMark/>
          </w:tcPr>
          <w:p w14:paraId="04BC20C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404167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2838F01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2B5F14B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79AAAE6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17%</w:t>
            </w:r>
          </w:p>
        </w:tc>
        <w:tc>
          <w:tcPr>
            <w:tcW w:w="568" w:type="dxa"/>
            <w:tcBorders>
              <w:top w:val="nil"/>
              <w:left w:val="nil"/>
              <w:bottom w:val="single" w:sz="8" w:space="0" w:color="BFBFBF"/>
              <w:right w:val="single" w:sz="8" w:space="0" w:color="BFBFBF"/>
            </w:tcBorders>
            <w:shd w:val="clear" w:color="auto" w:fill="auto"/>
            <w:noWrap/>
            <w:vAlign w:val="center"/>
            <w:hideMark/>
          </w:tcPr>
          <w:p w14:paraId="23F2BF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329B10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1D700F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304BB98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641833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249E1A93"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792E15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Bienal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8DC98F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1E5BA1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ENIGH_T</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521B7C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9947E4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99</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0BD1E9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24C6F6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99</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95AEB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F9599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BEF1BA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F056E3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E6176C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C1607A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4318D2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C01F80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93ED1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FC7E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45BE23F2"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606E300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Bienal</w:t>
            </w:r>
          </w:p>
        </w:tc>
        <w:tc>
          <w:tcPr>
            <w:tcW w:w="880" w:type="dxa"/>
            <w:tcBorders>
              <w:top w:val="nil"/>
              <w:left w:val="nil"/>
              <w:bottom w:val="single" w:sz="8" w:space="0" w:color="BFBFBF"/>
              <w:right w:val="single" w:sz="8" w:space="0" w:color="BFBFBF"/>
            </w:tcBorders>
            <w:shd w:val="clear" w:color="auto" w:fill="auto"/>
            <w:noWrap/>
            <w:vAlign w:val="center"/>
            <w:hideMark/>
          </w:tcPr>
          <w:p w14:paraId="7E353FF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5BE445F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ENCIG</w:t>
            </w:r>
          </w:p>
        </w:tc>
        <w:tc>
          <w:tcPr>
            <w:tcW w:w="1300" w:type="dxa"/>
            <w:tcBorders>
              <w:top w:val="nil"/>
              <w:left w:val="nil"/>
              <w:bottom w:val="single" w:sz="8" w:space="0" w:color="BFBFBF"/>
              <w:right w:val="single" w:sz="8" w:space="0" w:color="BFBFBF"/>
            </w:tcBorders>
            <w:shd w:val="clear" w:color="auto" w:fill="auto"/>
            <w:noWrap/>
            <w:vAlign w:val="center"/>
            <w:hideMark/>
          </w:tcPr>
          <w:p w14:paraId="5F5C0C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695BAEC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7D4C21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32</w:t>
            </w:r>
          </w:p>
        </w:tc>
        <w:tc>
          <w:tcPr>
            <w:tcW w:w="666" w:type="dxa"/>
            <w:tcBorders>
              <w:top w:val="nil"/>
              <w:left w:val="nil"/>
              <w:bottom w:val="single" w:sz="8" w:space="0" w:color="BFBFBF"/>
              <w:right w:val="single" w:sz="8" w:space="0" w:color="BFBFBF"/>
            </w:tcBorders>
            <w:shd w:val="clear" w:color="auto" w:fill="auto"/>
            <w:noWrap/>
            <w:vAlign w:val="center"/>
            <w:hideMark/>
          </w:tcPr>
          <w:p w14:paraId="6CA510E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1386810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1100" w:type="dxa"/>
            <w:tcBorders>
              <w:top w:val="nil"/>
              <w:left w:val="nil"/>
              <w:bottom w:val="single" w:sz="8" w:space="0" w:color="BFBFBF"/>
              <w:right w:val="single" w:sz="8" w:space="0" w:color="BFBFBF"/>
            </w:tcBorders>
            <w:shd w:val="clear" w:color="auto" w:fill="auto"/>
            <w:noWrap/>
            <w:vAlign w:val="center"/>
            <w:hideMark/>
          </w:tcPr>
          <w:p w14:paraId="2A0FCC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3B22028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22C7F73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94" w:type="dxa"/>
            <w:tcBorders>
              <w:top w:val="nil"/>
              <w:left w:val="nil"/>
              <w:bottom w:val="single" w:sz="8" w:space="0" w:color="BFBFBF"/>
              <w:right w:val="single" w:sz="8" w:space="0" w:color="BFBFBF"/>
            </w:tcBorders>
            <w:shd w:val="clear" w:color="auto" w:fill="auto"/>
            <w:noWrap/>
            <w:vAlign w:val="center"/>
            <w:hideMark/>
          </w:tcPr>
          <w:p w14:paraId="6C63003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2D0B5F7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285B632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4F89F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nil"/>
              <w:left w:val="nil"/>
              <w:bottom w:val="single" w:sz="8" w:space="0" w:color="BFBFBF"/>
              <w:right w:val="single" w:sz="8" w:space="0" w:color="BFBFBF"/>
            </w:tcBorders>
            <w:shd w:val="clear" w:color="auto" w:fill="auto"/>
            <w:noWrap/>
            <w:vAlign w:val="center"/>
            <w:hideMark/>
          </w:tcPr>
          <w:p w14:paraId="610F79C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29BFFF9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10162CF6"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A75C2B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Bienal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2BB00F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B2065C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ENVE</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ECAA8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655FE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C0B23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25EB64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684940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72F5AC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30%</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EBB8C9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C0E65F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F69682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9CE64D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DFF1B2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EC207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4AC72F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6C49F0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r>
      <w:tr w:rsidR="00E729CB" w:rsidRPr="001738EC" w14:paraId="6DA91F7E"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3DC7832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2A003C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662A3E9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EAC</w:t>
            </w:r>
          </w:p>
        </w:tc>
        <w:tc>
          <w:tcPr>
            <w:tcW w:w="1300" w:type="dxa"/>
            <w:tcBorders>
              <w:top w:val="nil"/>
              <w:left w:val="nil"/>
              <w:bottom w:val="single" w:sz="8" w:space="0" w:color="BFBFBF"/>
              <w:right w:val="single" w:sz="8" w:space="0" w:color="BFBFBF"/>
            </w:tcBorders>
            <w:shd w:val="clear" w:color="auto" w:fill="auto"/>
            <w:noWrap/>
            <w:vAlign w:val="center"/>
            <w:hideMark/>
          </w:tcPr>
          <w:p w14:paraId="7DAF51A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49DCAC7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31D0423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1D88352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41</w:t>
            </w:r>
          </w:p>
        </w:tc>
        <w:tc>
          <w:tcPr>
            <w:tcW w:w="666" w:type="dxa"/>
            <w:tcBorders>
              <w:top w:val="nil"/>
              <w:left w:val="nil"/>
              <w:bottom w:val="single" w:sz="8" w:space="0" w:color="BFBFBF"/>
              <w:right w:val="single" w:sz="8" w:space="0" w:color="BFBFBF"/>
            </w:tcBorders>
            <w:shd w:val="clear" w:color="auto" w:fill="auto"/>
            <w:noWrap/>
            <w:vAlign w:val="center"/>
            <w:hideMark/>
          </w:tcPr>
          <w:p w14:paraId="0D6C13D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41</w:t>
            </w:r>
          </w:p>
        </w:tc>
        <w:tc>
          <w:tcPr>
            <w:tcW w:w="1100" w:type="dxa"/>
            <w:tcBorders>
              <w:top w:val="nil"/>
              <w:left w:val="nil"/>
              <w:bottom w:val="single" w:sz="8" w:space="0" w:color="BFBFBF"/>
              <w:right w:val="single" w:sz="8" w:space="0" w:color="BFBFBF"/>
            </w:tcBorders>
            <w:shd w:val="clear" w:color="auto" w:fill="auto"/>
            <w:noWrap/>
            <w:vAlign w:val="center"/>
            <w:hideMark/>
          </w:tcPr>
          <w:p w14:paraId="06416CC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16F5FF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89" w:type="dxa"/>
            <w:tcBorders>
              <w:top w:val="nil"/>
              <w:left w:val="nil"/>
              <w:bottom w:val="single" w:sz="8" w:space="0" w:color="BFBFBF"/>
              <w:right w:val="single" w:sz="8" w:space="0" w:color="BFBFBF"/>
            </w:tcBorders>
            <w:shd w:val="clear" w:color="auto" w:fill="auto"/>
            <w:noWrap/>
            <w:vAlign w:val="center"/>
            <w:hideMark/>
          </w:tcPr>
          <w:p w14:paraId="7659C37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nil"/>
              <w:left w:val="nil"/>
              <w:bottom w:val="single" w:sz="8" w:space="0" w:color="BFBFBF"/>
              <w:right w:val="single" w:sz="8" w:space="0" w:color="BFBFBF"/>
            </w:tcBorders>
            <w:shd w:val="clear" w:color="auto" w:fill="auto"/>
            <w:noWrap/>
            <w:vAlign w:val="center"/>
            <w:hideMark/>
          </w:tcPr>
          <w:p w14:paraId="6CABFCF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568" w:type="dxa"/>
            <w:tcBorders>
              <w:top w:val="nil"/>
              <w:left w:val="nil"/>
              <w:bottom w:val="single" w:sz="8" w:space="0" w:color="BFBFBF"/>
              <w:right w:val="single" w:sz="8" w:space="0" w:color="BFBFBF"/>
            </w:tcBorders>
            <w:shd w:val="clear" w:color="auto" w:fill="auto"/>
            <w:noWrap/>
            <w:vAlign w:val="center"/>
            <w:hideMark/>
          </w:tcPr>
          <w:p w14:paraId="1D13DEF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460" w:type="dxa"/>
            <w:tcBorders>
              <w:top w:val="nil"/>
              <w:left w:val="nil"/>
              <w:bottom w:val="single" w:sz="8" w:space="0" w:color="BFBFBF"/>
              <w:right w:val="single" w:sz="8" w:space="0" w:color="BFBFBF"/>
            </w:tcBorders>
            <w:shd w:val="clear" w:color="auto" w:fill="auto"/>
            <w:noWrap/>
            <w:vAlign w:val="center"/>
            <w:hideMark/>
          </w:tcPr>
          <w:p w14:paraId="1E5D070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71E3E0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4E2E2E3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5CB02C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72D71AA5"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C2A06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34A51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515176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EAEC</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5307C0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013D53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3E683C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35</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5B48D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36</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206DD4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36</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C6430A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AAB6F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DE2676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1A6DB8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9417BF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03DF1D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374DFD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5BCF1A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C909CA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56A0B2F2"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4126139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6CC9839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09CABAA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EAIM</w:t>
            </w:r>
          </w:p>
        </w:tc>
        <w:tc>
          <w:tcPr>
            <w:tcW w:w="1300" w:type="dxa"/>
            <w:tcBorders>
              <w:top w:val="nil"/>
              <w:left w:val="nil"/>
              <w:bottom w:val="single" w:sz="8" w:space="0" w:color="BFBFBF"/>
              <w:right w:val="single" w:sz="8" w:space="0" w:color="BFBFBF"/>
            </w:tcBorders>
            <w:shd w:val="clear" w:color="auto" w:fill="auto"/>
            <w:noWrap/>
            <w:vAlign w:val="center"/>
            <w:hideMark/>
          </w:tcPr>
          <w:p w14:paraId="4167A7D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409F5AD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3C6BF1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223</w:t>
            </w:r>
          </w:p>
        </w:tc>
        <w:tc>
          <w:tcPr>
            <w:tcW w:w="666" w:type="dxa"/>
            <w:tcBorders>
              <w:top w:val="nil"/>
              <w:left w:val="nil"/>
              <w:bottom w:val="single" w:sz="8" w:space="0" w:color="BFBFBF"/>
              <w:right w:val="single" w:sz="8" w:space="0" w:color="BFBFBF"/>
            </w:tcBorders>
            <w:shd w:val="clear" w:color="auto" w:fill="auto"/>
            <w:noWrap/>
            <w:vAlign w:val="center"/>
            <w:hideMark/>
          </w:tcPr>
          <w:p w14:paraId="140D188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224</w:t>
            </w:r>
          </w:p>
        </w:tc>
        <w:tc>
          <w:tcPr>
            <w:tcW w:w="666" w:type="dxa"/>
            <w:tcBorders>
              <w:top w:val="nil"/>
              <w:left w:val="nil"/>
              <w:bottom w:val="single" w:sz="8" w:space="0" w:color="BFBFBF"/>
              <w:right w:val="single" w:sz="8" w:space="0" w:color="BFBFBF"/>
            </w:tcBorders>
            <w:shd w:val="clear" w:color="auto" w:fill="auto"/>
            <w:noWrap/>
            <w:vAlign w:val="center"/>
            <w:hideMark/>
          </w:tcPr>
          <w:p w14:paraId="5572178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224</w:t>
            </w:r>
          </w:p>
        </w:tc>
        <w:tc>
          <w:tcPr>
            <w:tcW w:w="1100" w:type="dxa"/>
            <w:tcBorders>
              <w:top w:val="nil"/>
              <w:left w:val="nil"/>
              <w:bottom w:val="single" w:sz="8" w:space="0" w:color="BFBFBF"/>
              <w:right w:val="single" w:sz="8" w:space="0" w:color="BFBFBF"/>
            </w:tcBorders>
            <w:shd w:val="clear" w:color="auto" w:fill="auto"/>
            <w:noWrap/>
            <w:vAlign w:val="center"/>
            <w:hideMark/>
          </w:tcPr>
          <w:p w14:paraId="14FE84B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033744E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89" w:type="dxa"/>
            <w:tcBorders>
              <w:top w:val="nil"/>
              <w:left w:val="nil"/>
              <w:bottom w:val="single" w:sz="8" w:space="0" w:color="BFBFBF"/>
              <w:right w:val="single" w:sz="8" w:space="0" w:color="BFBFBF"/>
            </w:tcBorders>
            <w:shd w:val="clear" w:color="auto" w:fill="auto"/>
            <w:noWrap/>
            <w:vAlign w:val="center"/>
            <w:hideMark/>
          </w:tcPr>
          <w:p w14:paraId="7A5BA15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94" w:type="dxa"/>
            <w:tcBorders>
              <w:top w:val="nil"/>
              <w:left w:val="nil"/>
              <w:bottom w:val="single" w:sz="8" w:space="0" w:color="BFBFBF"/>
              <w:right w:val="single" w:sz="8" w:space="0" w:color="BFBFBF"/>
            </w:tcBorders>
            <w:shd w:val="clear" w:color="auto" w:fill="auto"/>
            <w:noWrap/>
            <w:vAlign w:val="center"/>
            <w:hideMark/>
          </w:tcPr>
          <w:p w14:paraId="284898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568" w:type="dxa"/>
            <w:tcBorders>
              <w:top w:val="nil"/>
              <w:left w:val="nil"/>
              <w:bottom w:val="single" w:sz="8" w:space="0" w:color="BFBFBF"/>
              <w:right w:val="single" w:sz="8" w:space="0" w:color="BFBFBF"/>
            </w:tcBorders>
            <w:shd w:val="clear" w:color="auto" w:fill="auto"/>
            <w:noWrap/>
            <w:vAlign w:val="center"/>
            <w:hideMark/>
          </w:tcPr>
          <w:p w14:paraId="040537A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c>
          <w:tcPr>
            <w:tcW w:w="460" w:type="dxa"/>
            <w:tcBorders>
              <w:top w:val="nil"/>
              <w:left w:val="nil"/>
              <w:bottom w:val="single" w:sz="8" w:space="0" w:color="BFBFBF"/>
              <w:right w:val="single" w:sz="8" w:space="0" w:color="BFBFBF"/>
            </w:tcBorders>
            <w:shd w:val="clear" w:color="auto" w:fill="auto"/>
            <w:noWrap/>
            <w:vAlign w:val="center"/>
            <w:hideMark/>
          </w:tcPr>
          <w:p w14:paraId="5734AC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1AD70C7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47062E1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5321E6D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613C297C"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DFDD1A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D6077B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8DD7A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EASPNF</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A304E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FFEEAC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180BEB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3221D3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90</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EC7CEE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90</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593A6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233E8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7221C6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2A87C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4ACCAE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3EFFBB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89998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776262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AA2C3B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40D7B0EB"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5C10759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7E7C82F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09B823E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EAT</w:t>
            </w:r>
          </w:p>
        </w:tc>
        <w:tc>
          <w:tcPr>
            <w:tcW w:w="1300" w:type="dxa"/>
            <w:tcBorders>
              <w:top w:val="nil"/>
              <w:left w:val="nil"/>
              <w:bottom w:val="single" w:sz="8" w:space="0" w:color="BFBFBF"/>
              <w:right w:val="single" w:sz="8" w:space="0" w:color="BFBFBF"/>
            </w:tcBorders>
            <w:shd w:val="clear" w:color="auto" w:fill="auto"/>
            <w:noWrap/>
            <w:vAlign w:val="center"/>
            <w:hideMark/>
          </w:tcPr>
          <w:p w14:paraId="7846325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380693F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6F66581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444E7ED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666" w:type="dxa"/>
            <w:tcBorders>
              <w:top w:val="nil"/>
              <w:left w:val="nil"/>
              <w:bottom w:val="single" w:sz="8" w:space="0" w:color="BFBFBF"/>
              <w:right w:val="single" w:sz="8" w:space="0" w:color="BFBFBF"/>
            </w:tcBorders>
            <w:shd w:val="clear" w:color="auto" w:fill="auto"/>
            <w:noWrap/>
            <w:vAlign w:val="center"/>
            <w:hideMark/>
          </w:tcPr>
          <w:p w14:paraId="1265BEB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1100" w:type="dxa"/>
            <w:tcBorders>
              <w:top w:val="nil"/>
              <w:left w:val="nil"/>
              <w:bottom w:val="single" w:sz="8" w:space="0" w:color="BFBFBF"/>
              <w:right w:val="single" w:sz="8" w:space="0" w:color="BFBFBF"/>
            </w:tcBorders>
            <w:shd w:val="clear" w:color="auto" w:fill="auto"/>
            <w:noWrap/>
            <w:vAlign w:val="center"/>
            <w:hideMark/>
          </w:tcPr>
          <w:p w14:paraId="6452A2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5127C32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89" w:type="dxa"/>
            <w:tcBorders>
              <w:top w:val="nil"/>
              <w:left w:val="nil"/>
              <w:bottom w:val="single" w:sz="8" w:space="0" w:color="BFBFBF"/>
              <w:right w:val="single" w:sz="8" w:space="0" w:color="BFBFBF"/>
            </w:tcBorders>
            <w:shd w:val="clear" w:color="auto" w:fill="auto"/>
            <w:noWrap/>
            <w:vAlign w:val="center"/>
            <w:hideMark/>
          </w:tcPr>
          <w:p w14:paraId="7D7573D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nil"/>
              <w:left w:val="nil"/>
              <w:bottom w:val="single" w:sz="8" w:space="0" w:color="BFBFBF"/>
              <w:right w:val="single" w:sz="8" w:space="0" w:color="BFBFBF"/>
            </w:tcBorders>
            <w:shd w:val="clear" w:color="auto" w:fill="auto"/>
            <w:noWrap/>
            <w:vAlign w:val="center"/>
            <w:hideMark/>
          </w:tcPr>
          <w:p w14:paraId="1DEA21C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18%</w:t>
            </w:r>
          </w:p>
        </w:tc>
        <w:tc>
          <w:tcPr>
            <w:tcW w:w="568" w:type="dxa"/>
            <w:tcBorders>
              <w:top w:val="nil"/>
              <w:left w:val="nil"/>
              <w:bottom w:val="single" w:sz="8" w:space="0" w:color="BFBFBF"/>
              <w:right w:val="single" w:sz="8" w:space="0" w:color="BFBFBF"/>
            </w:tcBorders>
            <w:shd w:val="clear" w:color="auto" w:fill="auto"/>
            <w:noWrap/>
            <w:vAlign w:val="center"/>
            <w:hideMark/>
          </w:tcPr>
          <w:p w14:paraId="3A1E8FF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29%</w:t>
            </w:r>
          </w:p>
        </w:tc>
        <w:tc>
          <w:tcPr>
            <w:tcW w:w="460" w:type="dxa"/>
            <w:tcBorders>
              <w:top w:val="nil"/>
              <w:left w:val="nil"/>
              <w:bottom w:val="single" w:sz="8" w:space="0" w:color="BFBFBF"/>
              <w:right w:val="single" w:sz="8" w:space="0" w:color="BFBFBF"/>
            </w:tcBorders>
            <w:shd w:val="clear" w:color="auto" w:fill="auto"/>
            <w:noWrap/>
            <w:vAlign w:val="center"/>
            <w:hideMark/>
          </w:tcPr>
          <w:p w14:paraId="41857A7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38B8774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17C5D52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1B8E657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4368FA3B"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DAAF8A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312950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AEC36B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ECIS</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2FCBA8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48D1DB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B9F0A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C5274E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25BEF9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C03C2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40%</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74CAD9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AC3D1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1AF8C6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6A9C2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99D50D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3332F9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B53B0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CA725F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45274B0B"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2D54806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1DCFAB0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42E094F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ENDUTIH</w:t>
            </w:r>
          </w:p>
        </w:tc>
        <w:tc>
          <w:tcPr>
            <w:tcW w:w="1300" w:type="dxa"/>
            <w:tcBorders>
              <w:top w:val="nil"/>
              <w:left w:val="nil"/>
              <w:bottom w:val="single" w:sz="8" w:space="0" w:color="BFBFBF"/>
              <w:right w:val="single" w:sz="8" w:space="0" w:color="BFBFBF"/>
            </w:tcBorders>
            <w:shd w:val="clear" w:color="auto" w:fill="auto"/>
            <w:noWrap/>
            <w:vAlign w:val="center"/>
            <w:hideMark/>
          </w:tcPr>
          <w:p w14:paraId="3CC094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4304AC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566F65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7A06343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39</w:t>
            </w:r>
          </w:p>
        </w:tc>
        <w:tc>
          <w:tcPr>
            <w:tcW w:w="666" w:type="dxa"/>
            <w:tcBorders>
              <w:top w:val="nil"/>
              <w:left w:val="nil"/>
              <w:bottom w:val="single" w:sz="8" w:space="0" w:color="BFBFBF"/>
              <w:right w:val="single" w:sz="8" w:space="0" w:color="BFBFBF"/>
            </w:tcBorders>
            <w:shd w:val="clear" w:color="auto" w:fill="auto"/>
            <w:noWrap/>
            <w:vAlign w:val="center"/>
            <w:hideMark/>
          </w:tcPr>
          <w:p w14:paraId="5B0DE11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39</w:t>
            </w:r>
          </w:p>
        </w:tc>
        <w:tc>
          <w:tcPr>
            <w:tcW w:w="1100" w:type="dxa"/>
            <w:tcBorders>
              <w:top w:val="nil"/>
              <w:left w:val="nil"/>
              <w:bottom w:val="single" w:sz="8" w:space="0" w:color="BFBFBF"/>
              <w:right w:val="single" w:sz="8" w:space="0" w:color="BFBFBF"/>
            </w:tcBorders>
            <w:shd w:val="clear" w:color="auto" w:fill="auto"/>
            <w:noWrap/>
            <w:vAlign w:val="center"/>
            <w:hideMark/>
          </w:tcPr>
          <w:p w14:paraId="3E8047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5A3B638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336632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nil"/>
              <w:left w:val="nil"/>
              <w:bottom w:val="single" w:sz="8" w:space="0" w:color="BFBFBF"/>
              <w:right w:val="single" w:sz="8" w:space="0" w:color="BFBFBF"/>
            </w:tcBorders>
            <w:shd w:val="clear" w:color="auto" w:fill="auto"/>
            <w:noWrap/>
            <w:vAlign w:val="center"/>
            <w:hideMark/>
          </w:tcPr>
          <w:p w14:paraId="729CAC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568" w:type="dxa"/>
            <w:tcBorders>
              <w:top w:val="nil"/>
              <w:left w:val="nil"/>
              <w:bottom w:val="single" w:sz="8" w:space="0" w:color="BFBFBF"/>
              <w:right w:val="single" w:sz="8" w:space="0" w:color="BFBFBF"/>
            </w:tcBorders>
            <w:shd w:val="clear" w:color="auto" w:fill="auto"/>
            <w:noWrap/>
            <w:vAlign w:val="center"/>
            <w:hideMark/>
          </w:tcPr>
          <w:p w14:paraId="7F9EAF8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w:t>
            </w:r>
          </w:p>
        </w:tc>
        <w:tc>
          <w:tcPr>
            <w:tcW w:w="460" w:type="dxa"/>
            <w:tcBorders>
              <w:top w:val="nil"/>
              <w:left w:val="nil"/>
              <w:bottom w:val="single" w:sz="8" w:space="0" w:color="BFBFBF"/>
              <w:right w:val="single" w:sz="8" w:space="0" w:color="BFBFBF"/>
            </w:tcBorders>
            <w:shd w:val="clear" w:color="auto" w:fill="auto"/>
            <w:noWrap/>
            <w:vAlign w:val="center"/>
            <w:hideMark/>
          </w:tcPr>
          <w:p w14:paraId="05C1CE8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771BDE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032D81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03C55A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r>
      <w:tr w:rsidR="00E729CB" w:rsidRPr="001738EC" w14:paraId="08454012"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F76BF8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99D6C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74E38B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ENH</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EE305D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6650EB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DF30A2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D95B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095359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735EF9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B3673B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301FBD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E2812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25E2BB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1C08EF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33927B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2B67C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DD67B4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13626456"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63B7B91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1A45B82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7FB654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MODECULT</w:t>
            </w:r>
          </w:p>
        </w:tc>
        <w:tc>
          <w:tcPr>
            <w:tcW w:w="1300" w:type="dxa"/>
            <w:tcBorders>
              <w:top w:val="nil"/>
              <w:left w:val="nil"/>
              <w:bottom w:val="single" w:sz="8" w:space="0" w:color="BFBFBF"/>
              <w:right w:val="single" w:sz="8" w:space="0" w:color="BFBFBF"/>
            </w:tcBorders>
            <w:shd w:val="clear" w:color="auto" w:fill="auto"/>
            <w:noWrap/>
            <w:vAlign w:val="center"/>
            <w:hideMark/>
          </w:tcPr>
          <w:p w14:paraId="10C67D6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2022</w:t>
            </w:r>
          </w:p>
        </w:tc>
        <w:tc>
          <w:tcPr>
            <w:tcW w:w="802" w:type="dxa"/>
            <w:tcBorders>
              <w:top w:val="nil"/>
              <w:left w:val="nil"/>
              <w:bottom w:val="single" w:sz="8" w:space="0" w:color="BFBFBF"/>
              <w:right w:val="single" w:sz="8" w:space="0" w:color="BFBFBF"/>
            </w:tcBorders>
            <w:shd w:val="clear" w:color="auto" w:fill="auto"/>
            <w:noWrap/>
            <w:vAlign w:val="center"/>
            <w:hideMark/>
          </w:tcPr>
          <w:p w14:paraId="29C4FB2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04E31BB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17AB4FE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222597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nil"/>
              <w:left w:val="nil"/>
              <w:bottom w:val="single" w:sz="8" w:space="0" w:color="BFBFBF"/>
              <w:right w:val="single" w:sz="8" w:space="0" w:color="BFBFBF"/>
            </w:tcBorders>
            <w:shd w:val="clear" w:color="auto" w:fill="auto"/>
            <w:noWrap/>
            <w:vAlign w:val="center"/>
            <w:hideMark/>
          </w:tcPr>
          <w:p w14:paraId="172B4AC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72DFB4C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0B26973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29%</w:t>
            </w:r>
          </w:p>
        </w:tc>
        <w:tc>
          <w:tcPr>
            <w:tcW w:w="494" w:type="dxa"/>
            <w:tcBorders>
              <w:top w:val="nil"/>
              <w:left w:val="nil"/>
              <w:bottom w:val="single" w:sz="8" w:space="0" w:color="BFBFBF"/>
              <w:right w:val="single" w:sz="8" w:space="0" w:color="BFBFBF"/>
            </w:tcBorders>
            <w:shd w:val="clear" w:color="auto" w:fill="auto"/>
            <w:noWrap/>
            <w:vAlign w:val="center"/>
            <w:hideMark/>
          </w:tcPr>
          <w:p w14:paraId="62834AD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17%</w:t>
            </w:r>
          </w:p>
        </w:tc>
        <w:tc>
          <w:tcPr>
            <w:tcW w:w="568" w:type="dxa"/>
            <w:tcBorders>
              <w:top w:val="nil"/>
              <w:left w:val="nil"/>
              <w:bottom w:val="single" w:sz="8" w:space="0" w:color="BFBFBF"/>
              <w:right w:val="single" w:sz="8" w:space="0" w:color="BFBFBF"/>
            </w:tcBorders>
            <w:shd w:val="clear" w:color="auto" w:fill="auto"/>
            <w:noWrap/>
            <w:vAlign w:val="center"/>
            <w:hideMark/>
          </w:tcPr>
          <w:p w14:paraId="61DA95E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460" w:type="dxa"/>
            <w:tcBorders>
              <w:top w:val="nil"/>
              <w:left w:val="nil"/>
              <w:bottom w:val="single" w:sz="8" w:space="0" w:color="BFBFBF"/>
              <w:right w:val="single" w:sz="8" w:space="0" w:color="BFBFBF"/>
            </w:tcBorders>
            <w:shd w:val="clear" w:color="auto" w:fill="auto"/>
            <w:noWrap/>
            <w:vAlign w:val="center"/>
            <w:hideMark/>
          </w:tcPr>
          <w:p w14:paraId="19B5DEE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nil"/>
              <w:left w:val="nil"/>
              <w:bottom w:val="single" w:sz="8" w:space="0" w:color="BFBFBF"/>
              <w:right w:val="single" w:sz="8" w:space="0" w:color="BFBFBF"/>
            </w:tcBorders>
            <w:shd w:val="clear" w:color="auto" w:fill="auto"/>
            <w:noWrap/>
            <w:vAlign w:val="center"/>
            <w:hideMark/>
          </w:tcPr>
          <w:p w14:paraId="7134A3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60" w:type="dxa"/>
            <w:tcBorders>
              <w:top w:val="nil"/>
              <w:left w:val="nil"/>
              <w:bottom w:val="single" w:sz="8" w:space="0" w:color="BFBFBF"/>
              <w:right w:val="single" w:sz="8" w:space="0" w:color="BFBFBF"/>
            </w:tcBorders>
            <w:shd w:val="clear" w:color="auto" w:fill="auto"/>
            <w:noWrap/>
            <w:vAlign w:val="center"/>
            <w:hideMark/>
          </w:tcPr>
          <w:p w14:paraId="0B61E0D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60" w:type="dxa"/>
            <w:tcBorders>
              <w:top w:val="nil"/>
              <w:left w:val="nil"/>
              <w:bottom w:val="single" w:sz="8" w:space="0" w:color="BFBFBF"/>
              <w:right w:val="single" w:sz="8" w:space="0" w:color="BFBFBF"/>
            </w:tcBorders>
            <w:shd w:val="clear" w:color="auto" w:fill="auto"/>
            <w:noWrap/>
            <w:vAlign w:val="center"/>
            <w:hideMark/>
          </w:tcPr>
          <w:p w14:paraId="44FC054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r>
      <w:tr w:rsidR="00E729CB" w:rsidRPr="001738EC" w14:paraId="59FE6AF8"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0AFE2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6A173F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AEAAA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MOLEC</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7A3FC1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90B788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81C33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CE0644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774B6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3801B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9C7F3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2C992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9FA052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17%</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7A5124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2BABE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11CC26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75A5E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0E19AD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0D6C2DA6"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105A9AC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7EF00F8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5A9126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MOPRADEF</w:t>
            </w:r>
          </w:p>
        </w:tc>
        <w:tc>
          <w:tcPr>
            <w:tcW w:w="1300" w:type="dxa"/>
            <w:tcBorders>
              <w:top w:val="nil"/>
              <w:left w:val="nil"/>
              <w:bottom w:val="single" w:sz="8" w:space="0" w:color="BFBFBF"/>
              <w:right w:val="single" w:sz="8" w:space="0" w:color="BFBFBF"/>
            </w:tcBorders>
            <w:shd w:val="clear" w:color="auto" w:fill="auto"/>
            <w:noWrap/>
            <w:vAlign w:val="center"/>
            <w:hideMark/>
          </w:tcPr>
          <w:p w14:paraId="0D70A9B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362B904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404A892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067C47B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68D88B0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nil"/>
              <w:left w:val="nil"/>
              <w:bottom w:val="single" w:sz="8" w:space="0" w:color="BFBFBF"/>
              <w:right w:val="single" w:sz="8" w:space="0" w:color="BFBFBF"/>
            </w:tcBorders>
            <w:shd w:val="clear" w:color="auto" w:fill="auto"/>
            <w:noWrap/>
            <w:vAlign w:val="center"/>
            <w:hideMark/>
          </w:tcPr>
          <w:p w14:paraId="5659766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41216EB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589" w:type="dxa"/>
            <w:tcBorders>
              <w:top w:val="nil"/>
              <w:left w:val="nil"/>
              <w:bottom w:val="single" w:sz="8" w:space="0" w:color="BFBFBF"/>
              <w:right w:val="single" w:sz="8" w:space="0" w:color="BFBFBF"/>
            </w:tcBorders>
            <w:shd w:val="clear" w:color="auto" w:fill="auto"/>
            <w:noWrap/>
            <w:vAlign w:val="center"/>
            <w:hideMark/>
          </w:tcPr>
          <w:p w14:paraId="3AA06B7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494" w:type="dxa"/>
            <w:tcBorders>
              <w:top w:val="nil"/>
              <w:left w:val="nil"/>
              <w:bottom w:val="single" w:sz="8" w:space="0" w:color="BFBFBF"/>
              <w:right w:val="single" w:sz="8" w:space="0" w:color="BFBFBF"/>
            </w:tcBorders>
            <w:shd w:val="clear" w:color="auto" w:fill="auto"/>
            <w:noWrap/>
            <w:vAlign w:val="center"/>
            <w:hideMark/>
          </w:tcPr>
          <w:p w14:paraId="3748AFE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19%</w:t>
            </w:r>
          </w:p>
        </w:tc>
        <w:tc>
          <w:tcPr>
            <w:tcW w:w="568" w:type="dxa"/>
            <w:tcBorders>
              <w:top w:val="nil"/>
              <w:left w:val="nil"/>
              <w:bottom w:val="single" w:sz="8" w:space="0" w:color="BFBFBF"/>
              <w:right w:val="single" w:sz="8" w:space="0" w:color="BFBFBF"/>
            </w:tcBorders>
            <w:shd w:val="clear" w:color="auto" w:fill="auto"/>
            <w:noWrap/>
            <w:vAlign w:val="center"/>
            <w:hideMark/>
          </w:tcPr>
          <w:p w14:paraId="7A90A5F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460" w:type="dxa"/>
            <w:tcBorders>
              <w:top w:val="nil"/>
              <w:left w:val="nil"/>
              <w:bottom w:val="single" w:sz="8" w:space="0" w:color="BFBFBF"/>
              <w:right w:val="single" w:sz="8" w:space="0" w:color="BFBFBF"/>
            </w:tcBorders>
            <w:shd w:val="clear" w:color="auto" w:fill="auto"/>
            <w:noWrap/>
            <w:vAlign w:val="center"/>
            <w:hideMark/>
          </w:tcPr>
          <w:p w14:paraId="1A3C541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1772E25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nil"/>
              <w:left w:val="nil"/>
              <w:bottom w:val="single" w:sz="8" w:space="0" w:color="BFBFBF"/>
              <w:right w:val="single" w:sz="8" w:space="0" w:color="BFBFBF"/>
            </w:tcBorders>
            <w:shd w:val="clear" w:color="auto" w:fill="auto"/>
            <w:noWrap/>
            <w:vAlign w:val="center"/>
            <w:hideMark/>
          </w:tcPr>
          <w:p w14:paraId="2D61808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460" w:type="dxa"/>
            <w:tcBorders>
              <w:top w:val="nil"/>
              <w:left w:val="nil"/>
              <w:bottom w:val="single" w:sz="8" w:space="0" w:color="BFBFBF"/>
              <w:right w:val="single" w:sz="8" w:space="0" w:color="BFBFBF"/>
            </w:tcBorders>
            <w:shd w:val="clear" w:color="auto" w:fill="auto"/>
            <w:noWrap/>
            <w:vAlign w:val="center"/>
            <w:hideMark/>
          </w:tcPr>
          <w:p w14:paraId="108D07A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r>
      <w:tr w:rsidR="00E729CB" w:rsidRPr="001738EC" w14:paraId="3CD6E217"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A1FFCD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832AAA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AC9A28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ENVIPE</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6C26E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1D1EF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66</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C38F82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32</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09448D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3BADF6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1A66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6E709F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875F86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0C6B58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22E9B1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0FF964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835A13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C76E9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8F0E6E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r>
      <w:tr w:rsidR="00E729CB" w:rsidRPr="001738EC" w14:paraId="544C85D9"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1AAC72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Anual</w:t>
            </w:r>
          </w:p>
        </w:tc>
        <w:tc>
          <w:tcPr>
            <w:tcW w:w="880" w:type="dxa"/>
            <w:tcBorders>
              <w:top w:val="nil"/>
              <w:left w:val="nil"/>
              <w:bottom w:val="single" w:sz="8" w:space="0" w:color="BFBFBF"/>
              <w:right w:val="single" w:sz="8" w:space="0" w:color="BFBFBF"/>
            </w:tcBorders>
            <w:shd w:val="clear" w:color="auto" w:fill="auto"/>
            <w:noWrap/>
            <w:vAlign w:val="center"/>
            <w:hideMark/>
          </w:tcPr>
          <w:p w14:paraId="64B968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37E0C7E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MOCIBA</w:t>
            </w:r>
          </w:p>
        </w:tc>
        <w:tc>
          <w:tcPr>
            <w:tcW w:w="1300" w:type="dxa"/>
            <w:tcBorders>
              <w:top w:val="nil"/>
              <w:left w:val="nil"/>
              <w:bottom w:val="single" w:sz="8" w:space="0" w:color="BFBFBF"/>
              <w:right w:val="single" w:sz="8" w:space="0" w:color="BFBFBF"/>
            </w:tcBorders>
            <w:shd w:val="clear" w:color="auto" w:fill="auto"/>
            <w:noWrap/>
            <w:vAlign w:val="center"/>
            <w:hideMark/>
          </w:tcPr>
          <w:p w14:paraId="45609C7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265E5A2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0CB4EEA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1434FC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666" w:type="dxa"/>
            <w:tcBorders>
              <w:top w:val="nil"/>
              <w:left w:val="nil"/>
              <w:bottom w:val="single" w:sz="8" w:space="0" w:color="BFBFBF"/>
              <w:right w:val="single" w:sz="8" w:space="0" w:color="BFBFBF"/>
            </w:tcBorders>
            <w:shd w:val="clear" w:color="auto" w:fill="auto"/>
            <w:noWrap/>
            <w:vAlign w:val="center"/>
            <w:hideMark/>
          </w:tcPr>
          <w:p w14:paraId="4FD7CBA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39</w:t>
            </w:r>
          </w:p>
        </w:tc>
        <w:tc>
          <w:tcPr>
            <w:tcW w:w="1100" w:type="dxa"/>
            <w:tcBorders>
              <w:top w:val="nil"/>
              <w:left w:val="nil"/>
              <w:bottom w:val="single" w:sz="8" w:space="0" w:color="BFBFBF"/>
              <w:right w:val="single" w:sz="8" w:space="0" w:color="BFBFBF"/>
            </w:tcBorders>
            <w:shd w:val="clear" w:color="auto" w:fill="auto"/>
            <w:noWrap/>
            <w:vAlign w:val="center"/>
            <w:hideMark/>
          </w:tcPr>
          <w:p w14:paraId="24AD22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21024E7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7089BB5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94" w:type="dxa"/>
            <w:tcBorders>
              <w:top w:val="nil"/>
              <w:left w:val="nil"/>
              <w:bottom w:val="single" w:sz="8" w:space="0" w:color="BFBFBF"/>
              <w:right w:val="single" w:sz="8" w:space="0" w:color="BFBFBF"/>
            </w:tcBorders>
            <w:shd w:val="clear" w:color="auto" w:fill="auto"/>
            <w:noWrap/>
            <w:vAlign w:val="center"/>
            <w:hideMark/>
          </w:tcPr>
          <w:p w14:paraId="6EE5FA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568" w:type="dxa"/>
            <w:tcBorders>
              <w:top w:val="nil"/>
              <w:left w:val="nil"/>
              <w:bottom w:val="single" w:sz="8" w:space="0" w:color="BFBFBF"/>
              <w:right w:val="single" w:sz="8" w:space="0" w:color="BFBFBF"/>
            </w:tcBorders>
            <w:shd w:val="clear" w:color="auto" w:fill="auto"/>
            <w:noWrap/>
            <w:vAlign w:val="center"/>
            <w:hideMark/>
          </w:tcPr>
          <w:p w14:paraId="07CA321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nil"/>
              <w:left w:val="nil"/>
              <w:bottom w:val="single" w:sz="8" w:space="0" w:color="BFBFBF"/>
              <w:right w:val="single" w:sz="8" w:space="0" w:color="BFBFBF"/>
            </w:tcBorders>
            <w:shd w:val="clear" w:color="auto" w:fill="auto"/>
            <w:noWrap/>
            <w:vAlign w:val="center"/>
            <w:hideMark/>
          </w:tcPr>
          <w:p w14:paraId="72EF823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6963D2E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359F784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proofErr w:type="spellStart"/>
            <w:r w:rsidRPr="001738EC">
              <w:rPr>
                <w:rFonts w:ascii="Century Gothic" w:eastAsia="Times New Roman" w:hAnsi="Century Gothic" w:cs="Calibri"/>
                <w:sz w:val="16"/>
                <w:szCs w:val="16"/>
                <w:lang w:eastAsia="es-MX"/>
              </w:rPr>
              <w:t>nr</w:t>
            </w:r>
            <w:proofErr w:type="spellEnd"/>
          </w:p>
        </w:tc>
        <w:tc>
          <w:tcPr>
            <w:tcW w:w="460" w:type="dxa"/>
            <w:tcBorders>
              <w:top w:val="nil"/>
              <w:left w:val="nil"/>
              <w:bottom w:val="single" w:sz="8" w:space="0" w:color="BFBFBF"/>
              <w:right w:val="single" w:sz="8" w:space="0" w:color="BFBFBF"/>
            </w:tcBorders>
            <w:shd w:val="clear" w:color="auto" w:fill="auto"/>
            <w:noWrap/>
            <w:vAlign w:val="center"/>
            <w:hideMark/>
          </w:tcPr>
          <w:p w14:paraId="41D646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r>
      <w:tr w:rsidR="00E729CB" w:rsidRPr="001738EC" w14:paraId="1F332850" w14:textId="77777777" w:rsidTr="003B35A6">
        <w:trPr>
          <w:trHeight w:val="444"/>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6B7C2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Trimestral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2A6EAF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DGIAI</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89075B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BIARE</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59000C7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IV/2021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I,II</w:t>
            </w:r>
            <w:proofErr w:type="gramEnd"/>
            <w:r w:rsidRPr="001738EC">
              <w:rPr>
                <w:rFonts w:ascii="Century Gothic" w:eastAsia="Times New Roman" w:hAnsi="Century Gothic" w:cs="Calibri"/>
                <w:sz w:val="16"/>
                <w:szCs w:val="16"/>
                <w:lang w:eastAsia="es-MX"/>
              </w:rPr>
              <w:t>,III/2022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1EA691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8CDDA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C50406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DC32C9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391BAA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8B160F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7E0EF1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B40402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AE933D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7690A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973BF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EE3630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5A81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r>
      <w:tr w:rsidR="00E729CB" w:rsidRPr="001738EC" w14:paraId="279016AD"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089E426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Trimestral</w:t>
            </w:r>
          </w:p>
        </w:tc>
        <w:tc>
          <w:tcPr>
            <w:tcW w:w="880" w:type="dxa"/>
            <w:tcBorders>
              <w:top w:val="nil"/>
              <w:left w:val="nil"/>
              <w:bottom w:val="single" w:sz="8" w:space="0" w:color="BFBFBF"/>
              <w:right w:val="single" w:sz="8" w:space="0" w:color="BFBFBF"/>
            </w:tcBorders>
            <w:shd w:val="clear" w:color="auto" w:fill="auto"/>
            <w:noWrap/>
            <w:vAlign w:val="center"/>
            <w:hideMark/>
          </w:tcPr>
          <w:p w14:paraId="3A6746B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27116CC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ENIGH_E</w:t>
            </w:r>
          </w:p>
        </w:tc>
        <w:tc>
          <w:tcPr>
            <w:tcW w:w="1300" w:type="dxa"/>
            <w:tcBorders>
              <w:top w:val="nil"/>
              <w:left w:val="nil"/>
              <w:bottom w:val="single" w:sz="8" w:space="0" w:color="BFBFBF"/>
              <w:right w:val="single" w:sz="8" w:space="0" w:color="BFBFBF"/>
            </w:tcBorders>
            <w:shd w:val="clear" w:color="auto" w:fill="auto"/>
            <w:noWrap/>
            <w:vAlign w:val="center"/>
            <w:hideMark/>
          </w:tcPr>
          <w:p w14:paraId="6287810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036F0A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55E2246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5F9BC2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c>
          <w:tcPr>
            <w:tcW w:w="666" w:type="dxa"/>
            <w:tcBorders>
              <w:top w:val="nil"/>
              <w:left w:val="nil"/>
              <w:bottom w:val="single" w:sz="8" w:space="0" w:color="BFBFBF"/>
              <w:right w:val="single" w:sz="8" w:space="0" w:color="BFBFBF"/>
            </w:tcBorders>
            <w:shd w:val="clear" w:color="auto" w:fill="auto"/>
            <w:noWrap/>
            <w:vAlign w:val="center"/>
            <w:hideMark/>
          </w:tcPr>
          <w:p w14:paraId="7572909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472140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w:t>
            </w:r>
          </w:p>
        </w:tc>
        <w:tc>
          <w:tcPr>
            <w:tcW w:w="589" w:type="dxa"/>
            <w:tcBorders>
              <w:top w:val="nil"/>
              <w:left w:val="nil"/>
              <w:bottom w:val="single" w:sz="8" w:space="0" w:color="BFBFBF"/>
              <w:right w:val="single" w:sz="8" w:space="0" w:color="BFBFBF"/>
            </w:tcBorders>
            <w:shd w:val="clear" w:color="auto" w:fill="auto"/>
            <w:noWrap/>
            <w:vAlign w:val="center"/>
            <w:hideMark/>
          </w:tcPr>
          <w:p w14:paraId="61B54EE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03A03E2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357BF51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568" w:type="dxa"/>
            <w:tcBorders>
              <w:top w:val="nil"/>
              <w:left w:val="nil"/>
              <w:bottom w:val="single" w:sz="8" w:space="0" w:color="BFBFBF"/>
              <w:right w:val="single" w:sz="8" w:space="0" w:color="BFBFBF"/>
            </w:tcBorders>
            <w:shd w:val="clear" w:color="auto" w:fill="auto"/>
            <w:noWrap/>
            <w:vAlign w:val="center"/>
            <w:hideMark/>
          </w:tcPr>
          <w:p w14:paraId="6F7563C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5823BB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703899C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4670C5D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6F62422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0908C22F" w14:textId="77777777" w:rsidTr="003B35A6">
        <w:trPr>
          <w:trHeight w:val="444"/>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DC2BC4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Trimestral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BE74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F78974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ENOE-NE</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40517C5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IV/2021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I,II</w:t>
            </w:r>
            <w:proofErr w:type="gramEnd"/>
            <w:r w:rsidRPr="001738EC">
              <w:rPr>
                <w:rFonts w:ascii="Century Gothic" w:eastAsia="Times New Roman" w:hAnsi="Century Gothic" w:cs="Calibri"/>
                <w:sz w:val="16"/>
                <w:szCs w:val="16"/>
                <w:lang w:eastAsia="es-MX"/>
              </w:rPr>
              <w:t>,III/2022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11B791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546</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600066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139</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A032C2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288</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6C0F87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216</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086DC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6769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442165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65FBD4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25%</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1EC428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FC1F03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E28610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E1FA34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EC7FB8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72970495" w14:textId="77777777" w:rsidTr="003B35A6">
        <w:trPr>
          <w:trHeight w:val="444"/>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300E46A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Trimestral</w:t>
            </w:r>
          </w:p>
        </w:tc>
        <w:tc>
          <w:tcPr>
            <w:tcW w:w="880" w:type="dxa"/>
            <w:tcBorders>
              <w:top w:val="nil"/>
              <w:left w:val="nil"/>
              <w:bottom w:val="single" w:sz="8" w:space="0" w:color="BFBFBF"/>
              <w:right w:val="single" w:sz="8" w:space="0" w:color="BFBFBF"/>
            </w:tcBorders>
            <w:shd w:val="clear" w:color="auto" w:fill="auto"/>
            <w:noWrap/>
            <w:vAlign w:val="center"/>
            <w:hideMark/>
          </w:tcPr>
          <w:p w14:paraId="2EB8B29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7EA7D00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ENSU</w:t>
            </w:r>
          </w:p>
        </w:tc>
        <w:tc>
          <w:tcPr>
            <w:tcW w:w="1300" w:type="dxa"/>
            <w:tcBorders>
              <w:top w:val="nil"/>
              <w:left w:val="nil"/>
              <w:bottom w:val="single" w:sz="8" w:space="0" w:color="BFBFBF"/>
              <w:right w:val="single" w:sz="8" w:space="0" w:color="BFBFBF"/>
            </w:tcBorders>
            <w:shd w:val="clear" w:color="auto" w:fill="auto"/>
            <w:vAlign w:val="center"/>
            <w:hideMark/>
          </w:tcPr>
          <w:p w14:paraId="06E4647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IV/2021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I,II</w:t>
            </w:r>
            <w:proofErr w:type="gramEnd"/>
            <w:r w:rsidRPr="001738EC">
              <w:rPr>
                <w:rFonts w:ascii="Century Gothic" w:eastAsia="Times New Roman" w:hAnsi="Century Gothic" w:cs="Calibri"/>
                <w:sz w:val="16"/>
                <w:szCs w:val="16"/>
                <w:lang w:eastAsia="es-MX"/>
              </w:rPr>
              <w:t>,III/2022</w:t>
            </w:r>
          </w:p>
        </w:tc>
        <w:tc>
          <w:tcPr>
            <w:tcW w:w="802" w:type="dxa"/>
            <w:tcBorders>
              <w:top w:val="nil"/>
              <w:left w:val="nil"/>
              <w:bottom w:val="single" w:sz="8" w:space="0" w:color="BFBFBF"/>
              <w:right w:val="single" w:sz="8" w:space="0" w:color="BFBFBF"/>
            </w:tcBorders>
            <w:shd w:val="clear" w:color="auto" w:fill="auto"/>
            <w:noWrap/>
            <w:vAlign w:val="center"/>
            <w:hideMark/>
          </w:tcPr>
          <w:p w14:paraId="02EF5E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499</w:t>
            </w:r>
          </w:p>
        </w:tc>
        <w:tc>
          <w:tcPr>
            <w:tcW w:w="666" w:type="dxa"/>
            <w:tcBorders>
              <w:top w:val="nil"/>
              <w:left w:val="nil"/>
              <w:bottom w:val="single" w:sz="8" w:space="0" w:color="BFBFBF"/>
              <w:right w:val="single" w:sz="8" w:space="0" w:color="BFBFBF"/>
            </w:tcBorders>
            <w:shd w:val="clear" w:color="auto" w:fill="auto"/>
            <w:noWrap/>
            <w:vAlign w:val="center"/>
            <w:hideMark/>
          </w:tcPr>
          <w:p w14:paraId="33FCFDF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255</w:t>
            </w:r>
          </w:p>
        </w:tc>
        <w:tc>
          <w:tcPr>
            <w:tcW w:w="666" w:type="dxa"/>
            <w:tcBorders>
              <w:top w:val="nil"/>
              <w:left w:val="nil"/>
              <w:bottom w:val="single" w:sz="8" w:space="0" w:color="BFBFBF"/>
              <w:right w:val="single" w:sz="8" w:space="0" w:color="BFBFBF"/>
            </w:tcBorders>
            <w:shd w:val="clear" w:color="auto" w:fill="auto"/>
            <w:noWrap/>
            <w:vAlign w:val="center"/>
            <w:hideMark/>
          </w:tcPr>
          <w:p w14:paraId="0BA73B0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349</w:t>
            </w:r>
          </w:p>
        </w:tc>
        <w:tc>
          <w:tcPr>
            <w:tcW w:w="666" w:type="dxa"/>
            <w:tcBorders>
              <w:top w:val="nil"/>
              <w:left w:val="nil"/>
              <w:bottom w:val="single" w:sz="8" w:space="0" w:color="BFBFBF"/>
              <w:right w:val="single" w:sz="8" w:space="0" w:color="BFBFBF"/>
            </w:tcBorders>
            <w:shd w:val="clear" w:color="auto" w:fill="auto"/>
            <w:noWrap/>
            <w:vAlign w:val="center"/>
            <w:hideMark/>
          </w:tcPr>
          <w:p w14:paraId="2991688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365</w:t>
            </w:r>
          </w:p>
        </w:tc>
        <w:tc>
          <w:tcPr>
            <w:tcW w:w="1100" w:type="dxa"/>
            <w:tcBorders>
              <w:top w:val="nil"/>
              <w:left w:val="nil"/>
              <w:bottom w:val="single" w:sz="8" w:space="0" w:color="BFBFBF"/>
              <w:right w:val="single" w:sz="8" w:space="0" w:color="BFBFBF"/>
            </w:tcBorders>
            <w:shd w:val="clear" w:color="auto" w:fill="auto"/>
            <w:noWrap/>
            <w:vAlign w:val="center"/>
            <w:hideMark/>
          </w:tcPr>
          <w:p w14:paraId="4A63876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674DCF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w:t>
            </w:r>
          </w:p>
        </w:tc>
        <w:tc>
          <w:tcPr>
            <w:tcW w:w="589" w:type="dxa"/>
            <w:tcBorders>
              <w:top w:val="nil"/>
              <w:left w:val="nil"/>
              <w:bottom w:val="single" w:sz="8" w:space="0" w:color="BFBFBF"/>
              <w:right w:val="single" w:sz="8" w:space="0" w:color="BFBFBF"/>
            </w:tcBorders>
            <w:shd w:val="clear" w:color="auto" w:fill="auto"/>
            <w:noWrap/>
            <w:vAlign w:val="center"/>
            <w:hideMark/>
          </w:tcPr>
          <w:p w14:paraId="2F17DF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94" w:type="dxa"/>
            <w:tcBorders>
              <w:top w:val="nil"/>
              <w:left w:val="nil"/>
              <w:bottom w:val="single" w:sz="8" w:space="0" w:color="BFBFBF"/>
              <w:right w:val="single" w:sz="8" w:space="0" w:color="BFBFBF"/>
            </w:tcBorders>
            <w:shd w:val="clear" w:color="auto" w:fill="auto"/>
            <w:noWrap/>
            <w:vAlign w:val="center"/>
            <w:hideMark/>
          </w:tcPr>
          <w:p w14:paraId="41D5A4A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568" w:type="dxa"/>
            <w:tcBorders>
              <w:top w:val="nil"/>
              <w:left w:val="nil"/>
              <w:bottom w:val="single" w:sz="8" w:space="0" w:color="BFBFBF"/>
              <w:right w:val="single" w:sz="8" w:space="0" w:color="BFBFBF"/>
            </w:tcBorders>
            <w:shd w:val="clear" w:color="auto" w:fill="auto"/>
            <w:noWrap/>
            <w:vAlign w:val="center"/>
            <w:hideMark/>
          </w:tcPr>
          <w:p w14:paraId="3C1AA92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65D935F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nil"/>
              <w:left w:val="nil"/>
              <w:bottom w:val="single" w:sz="8" w:space="0" w:color="BFBFBF"/>
              <w:right w:val="single" w:sz="8" w:space="0" w:color="BFBFBF"/>
            </w:tcBorders>
            <w:shd w:val="clear" w:color="auto" w:fill="auto"/>
            <w:noWrap/>
            <w:vAlign w:val="center"/>
            <w:hideMark/>
          </w:tcPr>
          <w:p w14:paraId="58F8CA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nil"/>
              <w:left w:val="nil"/>
              <w:bottom w:val="single" w:sz="8" w:space="0" w:color="BFBFBF"/>
              <w:right w:val="single" w:sz="8" w:space="0" w:color="BFBFBF"/>
            </w:tcBorders>
            <w:shd w:val="clear" w:color="auto" w:fill="auto"/>
            <w:noWrap/>
            <w:vAlign w:val="center"/>
            <w:hideMark/>
          </w:tcPr>
          <w:p w14:paraId="5B6D50A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nil"/>
              <w:left w:val="nil"/>
              <w:bottom w:val="single" w:sz="8" w:space="0" w:color="BFBFBF"/>
              <w:right w:val="single" w:sz="8" w:space="0" w:color="BFBFBF"/>
            </w:tcBorders>
            <w:shd w:val="clear" w:color="auto" w:fill="auto"/>
            <w:noWrap/>
            <w:vAlign w:val="center"/>
            <w:hideMark/>
          </w:tcPr>
          <w:p w14:paraId="0BBD27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r>
      <w:tr w:rsidR="00E729CB" w:rsidRPr="001738EC" w14:paraId="6729B231" w14:textId="77777777" w:rsidTr="003B35A6">
        <w:trPr>
          <w:trHeight w:val="444"/>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697B5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lastRenderedPageBreak/>
              <w:t>Mensual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51BB70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348C60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EMEC</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09E2EA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,10/2022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145E57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656</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813E2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520</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63B41C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492</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A574BA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492</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FF2AA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51322D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A2CE02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6A04C0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E90844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93051D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BFA2A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BCFD7C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96CC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7B5EEE60" w14:textId="77777777" w:rsidTr="003B35A6">
        <w:trPr>
          <w:trHeight w:val="444"/>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45A5EF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nil"/>
              <w:left w:val="nil"/>
              <w:bottom w:val="single" w:sz="8" w:space="0" w:color="BFBFBF"/>
              <w:right w:val="single" w:sz="8" w:space="0" w:color="BFBFBF"/>
            </w:tcBorders>
            <w:shd w:val="clear" w:color="auto" w:fill="auto"/>
            <w:noWrap/>
            <w:vAlign w:val="center"/>
            <w:hideMark/>
          </w:tcPr>
          <w:p w14:paraId="09DED21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442F47C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EMIM</w:t>
            </w:r>
          </w:p>
        </w:tc>
        <w:tc>
          <w:tcPr>
            <w:tcW w:w="1300" w:type="dxa"/>
            <w:tcBorders>
              <w:top w:val="nil"/>
              <w:left w:val="nil"/>
              <w:bottom w:val="single" w:sz="8" w:space="0" w:color="BFBFBF"/>
              <w:right w:val="single" w:sz="8" w:space="0" w:color="BFBFBF"/>
            </w:tcBorders>
            <w:shd w:val="clear" w:color="auto" w:fill="auto"/>
            <w:vAlign w:val="center"/>
            <w:hideMark/>
          </w:tcPr>
          <w:p w14:paraId="64E15B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,10/2022</w:t>
            </w:r>
          </w:p>
        </w:tc>
        <w:tc>
          <w:tcPr>
            <w:tcW w:w="802" w:type="dxa"/>
            <w:tcBorders>
              <w:top w:val="nil"/>
              <w:left w:val="nil"/>
              <w:bottom w:val="single" w:sz="8" w:space="0" w:color="BFBFBF"/>
              <w:right w:val="single" w:sz="8" w:space="0" w:color="BFBFBF"/>
            </w:tcBorders>
            <w:shd w:val="clear" w:color="auto" w:fill="auto"/>
            <w:noWrap/>
            <w:vAlign w:val="center"/>
            <w:hideMark/>
          </w:tcPr>
          <w:p w14:paraId="3479B50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3584</w:t>
            </w:r>
          </w:p>
        </w:tc>
        <w:tc>
          <w:tcPr>
            <w:tcW w:w="666" w:type="dxa"/>
            <w:tcBorders>
              <w:top w:val="nil"/>
              <w:left w:val="nil"/>
              <w:bottom w:val="single" w:sz="8" w:space="0" w:color="BFBFBF"/>
              <w:right w:val="single" w:sz="8" w:space="0" w:color="BFBFBF"/>
            </w:tcBorders>
            <w:shd w:val="clear" w:color="auto" w:fill="auto"/>
            <w:noWrap/>
            <w:vAlign w:val="center"/>
            <w:hideMark/>
          </w:tcPr>
          <w:p w14:paraId="3C21BB2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2676</w:t>
            </w:r>
          </w:p>
        </w:tc>
        <w:tc>
          <w:tcPr>
            <w:tcW w:w="666" w:type="dxa"/>
            <w:tcBorders>
              <w:top w:val="nil"/>
              <w:left w:val="nil"/>
              <w:bottom w:val="single" w:sz="8" w:space="0" w:color="BFBFBF"/>
              <w:right w:val="single" w:sz="8" w:space="0" w:color="BFBFBF"/>
            </w:tcBorders>
            <w:shd w:val="clear" w:color="auto" w:fill="auto"/>
            <w:noWrap/>
            <w:vAlign w:val="center"/>
            <w:hideMark/>
          </w:tcPr>
          <w:p w14:paraId="7514E40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2688</w:t>
            </w:r>
          </w:p>
        </w:tc>
        <w:tc>
          <w:tcPr>
            <w:tcW w:w="666" w:type="dxa"/>
            <w:tcBorders>
              <w:top w:val="nil"/>
              <w:left w:val="nil"/>
              <w:bottom w:val="single" w:sz="8" w:space="0" w:color="BFBFBF"/>
              <w:right w:val="single" w:sz="8" w:space="0" w:color="BFBFBF"/>
            </w:tcBorders>
            <w:shd w:val="clear" w:color="auto" w:fill="auto"/>
            <w:noWrap/>
            <w:vAlign w:val="center"/>
            <w:hideMark/>
          </w:tcPr>
          <w:p w14:paraId="3D7D21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2688</w:t>
            </w:r>
          </w:p>
        </w:tc>
        <w:tc>
          <w:tcPr>
            <w:tcW w:w="1100" w:type="dxa"/>
            <w:tcBorders>
              <w:top w:val="nil"/>
              <w:left w:val="nil"/>
              <w:bottom w:val="single" w:sz="8" w:space="0" w:color="BFBFBF"/>
              <w:right w:val="single" w:sz="8" w:space="0" w:color="BFBFBF"/>
            </w:tcBorders>
            <w:shd w:val="clear" w:color="auto" w:fill="auto"/>
            <w:noWrap/>
            <w:vAlign w:val="center"/>
            <w:hideMark/>
          </w:tcPr>
          <w:p w14:paraId="047D413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543AD1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w:t>
            </w:r>
          </w:p>
        </w:tc>
        <w:tc>
          <w:tcPr>
            <w:tcW w:w="589" w:type="dxa"/>
            <w:tcBorders>
              <w:top w:val="nil"/>
              <w:left w:val="nil"/>
              <w:bottom w:val="single" w:sz="8" w:space="0" w:color="BFBFBF"/>
              <w:right w:val="single" w:sz="8" w:space="0" w:color="BFBFBF"/>
            </w:tcBorders>
            <w:shd w:val="clear" w:color="auto" w:fill="auto"/>
            <w:noWrap/>
            <w:vAlign w:val="center"/>
            <w:hideMark/>
          </w:tcPr>
          <w:p w14:paraId="6F7AD6B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94" w:type="dxa"/>
            <w:tcBorders>
              <w:top w:val="nil"/>
              <w:left w:val="nil"/>
              <w:bottom w:val="single" w:sz="8" w:space="0" w:color="BFBFBF"/>
              <w:right w:val="single" w:sz="8" w:space="0" w:color="BFBFBF"/>
            </w:tcBorders>
            <w:shd w:val="clear" w:color="auto" w:fill="auto"/>
            <w:noWrap/>
            <w:vAlign w:val="center"/>
            <w:hideMark/>
          </w:tcPr>
          <w:p w14:paraId="568C59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568" w:type="dxa"/>
            <w:tcBorders>
              <w:top w:val="nil"/>
              <w:left w:val="nil"/>
              <w:bottom w:val="single" w:sz="8" w:space="0" w:color="BFBFBF"/>
              <w:right w:val="single" w:sz="8" w:space="0" w:color="BFBFBF"/>
            </w:tcBorders>
            <w:shd w:val="clear" w:color="auto" w:fill="auto"/>
            <w:noWrap/>
            <w:vAlign w:val="center"/>
            <w:hideMark/>
          </w:tcPr>
          <w:p w14:paraId="615E5BE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460" w:type="dxa"/>
            <w:tcBorders>
              <w:top w:val="nil"/>
              <w:left w:val="nil"/>
              <w:bottom w:val="single" w:sz="8" w:space="0" w:color="BFBFBF"/>
              <w:right w:val="single" w:sz="8" w:space="0" w:color="BFBFBF"/>
            </w:tcBorders>
            <w:shd w:val="clear" w:color="auto" w:fill="auto"/>
            <w:noWrap/>
            <w:vAlign w:val="center"/>
            <w:hideMark/>
          </w:tcPr>
          <w:p w14:paraId="7BF8708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0500D89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0C80BBB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41AF410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2247ED48" w14:textId="77777777" w:rsidTr="003B35A6">
        <w:trPr>
          <w:trHeight w:val="28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3EBDF9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AEDBAD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D257DC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EMOE COM</w:t>
            </w:r>
          </w:p>
        </w:tc>
        <w:tc>
          <w:tcPr>
            <w:tcW w:w="1300" w:type="dxa"/>
            <w:vMerge w:val="restart"/>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02582E6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,11/2022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BF9658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9B9081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A79657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666" w:type="dxa"/>
            <w:vMerge w:val="restart"/>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E35890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216</w:t>
            </w:r>
          </w:p>
        </w:tc>
        <w:tc>
          <w:tcPr>
            <w:tcW w:w="1100" w:type="dxa"/>
            <w:vMerge w:val="restart"/>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6D6976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17A22C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596060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7717E6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68" w:type="dxa"/>
            <w:vMerge w:val="restart"/>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80A13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5A09A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D6444D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AB20F0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vMerge w:val="restart"/>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BF6487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0C69DD1B"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3C669F0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nil"/>
              <w:left w:val="nil"/>
              <w:bottom w:val="single" w:sz="8" w:space="0" w:color="BFBFBF"/>
              <w:right w:val="single" w:sz="8" w:space="0" w:color="BFBFBF"/>
            </w:tcBorders>
            <w:shd w:val="clear" w:color="auto" w:fill="auto"/>
            <w:noWrap/>
            <w:vAlign w:val="center"/>
            <w:hideMark/>
          </w:tcPr>
          <w:p w14:paraId="47EF880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4B42BF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EMOE CONS</w:t>
            </w:r>
          </w:p>
        </w:tc>
        <w:tc>
          <w:tcPr>
            <w:tcW w:w="1300" w:type="dxa"/>
            <w:vMerge/>
            <w:tcBorders>
              <w:top w:val="single" w:sz="8" w:space="0" w:color="BFBFBF"/>
              <w:left w:val="single" w:sz="8" w:space="0" w:color="BFBFBF"/>
              <w:bottom w:val="single" w:sz="8" w:space="0" w:color="BFBFBF"/>
              <w:right w:val="single" w:sz="8" w:space="0" w:color="BFBFBF"/>
            </w:tcBorders>
            <w:vAlign w:val="center"/>
            <w:hideMark/>
          </w:tcPr>
          <w:p w14:paraId="5AC5D379"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802" w:type="dxa"/>
            <w:tcBorders>
              <w:top w:val="nil"/>
              <w:left w:val="nil"/>
              <w:bottom w:val="single" w:sz="8" w:space="0" w:color="BFBFBF"/>
              <w:right w:val="single" w:sz="8" w:space="0" w:color="BFBFBF"/>
            </w:tcBorders>
            <w:shd w:val="clear" w:color="auto" w:fill="auto"/>
            <w:noWrap/>
            <w:vAlign w:val="center"/>
            <w:hideMark/>
          </w:tcPr>
          <w:p w14:paraId="724EB0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666" w:type="dxa"/>
            <w:tcBorders>
              <w:top w:val="nil"/>
              <w:left w:val="nil"/>
              <w:bottom w:val="single" w:sz="8" w:space="0" w:color="BFBFBF"/>
              <w:right w:val="single" w:sz="8" w:space="0" w:color="BFBFBF"/>
            </w:tcBorders>
            <w:shd w:val="clear" w:color="auto" w:fill="auto"/>
            <w:noWrap/>
            <w:vAlign w:val="center"/>
            <w:hideMark/>
          </w:tcPr>
          <w:p w14:paraId="4FCDA68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666" w:type="dxa"/>
            <w:tcBorders>
              <w:top w:val="nil"/>
              <w:left w:val="nil"/>
              <w:bottom w:val="single" w:sz="8" w:space="0" w:color="BFBFBF"/>
              <w:right w:val="single" w:sz="8" w:space="0" w:color="BFBFBF"/>
            </w:tcBorders>
            <w:shd w:val="clear" w:color="auto" w:fill="auto"/>
            <w:noWrap/>
            <w:vAlign w:val="center"/>
            <w:hideMark/>
          </w:tcPr>
          <w:p w14:paraId="1F796F8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666" w:type="dxa"/>
            <w:vMerge/>
            <w:tcBorders>
              <w:top w:val="single" w:sz="8" w:space="0" w:color="BFBFBF"/>
              <w:left w:val="single" w:sz="8" w:space="0" w:color="BFBFBF"/>
              <w:bottom w:val="single" w:sz="8" w:space="0" w:color="BFBFBF"/>
              <w:right w:val="single" w:sz="8" w:space="0" w:color="BFBFBF"/>
            </w:tcBorders>
            <w:vAlign w:val="center"/>
            <w:hideMark/>
          </w:tcPr>
          <w:p w14:paraId="10B7EDD4"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1100" w:type="dxa"/>
            <w:vMerge/>
            <w:tcBorders>
              <w:top w:val="single" w:sz="8" w:space="0" w:color="BFBFBF"/>
              <w:left w:val="single" w:sz="8" w:space="0" w:color="BFBFBF"/>
              <w:bottom w:val="single" w:sz="8" w:space="0" w:color="BFBFBF"/>
              <w:right w:val="single" w:sz="8" w:space="0" w:color="BFBFBF"/>
            </w:tcBorders>
            <w:vAlign w:val="center"/>
            <w:hideMark/>
          </w:tcPr>
          <w:p w14:paraId="7B2B8D71"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589" w:type="dxa"/>
            <w:tcBorders>
              <w:top w:val="nil"/>
              <w:left w:val="nil"/>
              <w:bottom w:val="single" w:sz="8" w:space="0" w:color="BFBFBF"/>
              <w:right w:val="single" w:sz="8" w:space="0" w:color="BFBFBF"/>
            </w:tcBorders>
            <w:shd w:val="clear" w:color="auto" w:fill="auto"/>
            <w:noWrap/>
            <w:vAlign w:val="center"/>
            <w:hideMark/>
          </w:tcPr>
          <w:p w14:paraId="50DE276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589" w:type="dxa"/>
            <w:tcBorders>
              <w:top w:val="nil"/>
              <w:left w:val="nil"/>
              <w:bottom w:val="single" w:sz="8" w:space="0" w:color="BFBFBF"/>
              <w:right w:val="single" w:sz="8" w:space="0" w:color="BFBFBF"/>
            </w:tcBorders>
            <w:shd w:val="clear" w:color="auto" w:fill="auto"/>
            <w:noWrap/>
            <w:vAlign w:val="center"/>
            <w:hideMark/>
          </w:tcPr>
          <w:p w14:paraId="759B78B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19%</w:t>
            </w:r>
          </w:p>
        </w:tc>
        <w:tc>
          <w:tcPr>
            <w:tcW w:w="494" w:type="dxa"/>
            <w:tcBorders>
              <w:top w:val="nil"/>
              <w:left w:val="nil"/>
              <w:bottom w:val="single" w:sz="8" w:space="0" w:color="BFBFBF"/>
              <w:right w:val="single" w:sz="8" w:space="0" w:color="BFBFBF"/>
            </w:tcBorders>
            <w:shd w:val="clear" w:color="auto" w:fill="auto"/>
            <w:noWrap/>
            <w:vAlign w:val="center"/>
            <w:hideMark/>
          </w:tcPr>
          <w:p w14:paraId="687298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21%</w:t>
            </w:r>
          </w:p>
        </w:tc>
        <w:tc>
          <w:tcPr>
            <w:tcW w:w="568" w:type="dxa"/>
            <w:vMerge/>
            <w:tcBorders>
              <w:top w:val="single" w:sz="8" w:space="0" w:color="BFBFBF"/>
              <w:left w:val="single" w:sz="8" w:space="0" w:color="BFBFBF"/>
              <w:bottom w:val="single" w:sz="8" w:space="0" w:color="BFBFBF"/>
              <w:right w:val="single" w:sz="8" w:space="0" w:color="BFBFBF"/>
            </w:tcBorders>
            <w:vAlign w:val="center"/>
            <w:hideMark/>
          </w:tcPr>
          <w:p w14:paraId="0F425ACB"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460" w:type="dxa"/>
            <w:tcBorders>
              <w:top w:val="nil"/>
              <w:left w:val="nil"/>
              <w:bottom w:val="single" w:sz="8" w:space="0" w:color="BFBFBF"/>
              <w:right w:val="single" w:sz="8" w:space="0" w:color="BFBFBF"/>
            </w:tcBorders>
            <w:shd w:val="clear" w:color="auto" w:fill="auto"/>
            <w:noWrap/>
            <w:vAlign w:val="center"/>
            <w:hideMark/>
          </w:tcPr>
          <w:p w14:paraId="7FA1D17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7DECE8F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04B3256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vMerge/>
            <w:tcBorders>
              <w:top w:val="single" w:sz="8" w:space="0" w:color="BFBFBF"/>
              <w:left w:val="single" w:sz="8" w:space="0" w:color="BFBFBF"/>
              <w:bottom w:val="single" w:sz="8" w:space="0" w:color="BFBFBF"/>
              <w:right w:val="single" w:sz="8" w:space="0" w:color="BFBFBF"/>
            </w:tcBorders>
            <w:vAlign w:val="center"/>
            <w:hideMark/>
          </w:tcPr>
          <w:p w14:paraId="67ADAA44"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r>
      <w:tr w:rsidR="00E729CB" w:rsidRPr="001738EC" w14:paraId="02FB371F"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454059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6672ED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F7D0F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EMOE MAN</w:t>
            </w:r>
          </w:p>
        </w:tc>
        <w:tc>
          <w:tcPr>
            <w:tcW w:w="1300" w:type="dxa"/>
            <w:vMerge/>
            <w:tcBorders>
              <w:top w:val="single" w:sz="8" w:space="0" w:color="BFBFBF"/>
              <w:left w:val="single" w:sz="8" w:space="0" w:color="BFBFBF"/>
              <w:bottom w:val="single" w:sz="8" w:space="0" w:color="BFBFBF"/>
              <w:right w:val="single" w:sz="8" w:space="0" w:color="BFBFBF"/>
            </w:tcBorders>
            <w:vAlign w:val="center"/>
            <w:hideMark/>
          </w:tcPr>
          <w:p w14:paraId="6BBA25B9"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46280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128</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179D40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84</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9C801A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96</w:t>
            </w:r>
          </w:p>
        </w:tc>
        <w:tc>
          <w:tcPr>
            <w:tcW w:w="666" w:type="dxa"/>
            <w:vMerge/>
            <w:tcBorders>
              <w:top w:val="single" w:sz="8" w:space="0" w:color="BFBFBF"/>
              <w:left w:val="single" w:sz="8" w:space="0" w:color="BFBFBF"/>
              <w:bottom w:val="single" w:sz="8" w:space="0" w:color="BFBFBF"/>
              <w:right w:val="single" w:sz="8" w:space="0" w:color="BFBFBF"/>
            </w:tcBorders>
            <w:vAlign w:val="center"/>
            <w:hideMark/>
          </w:tcPr>
          <w:p w14:paraId="68F57B0D"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1100" w:type="dxa"/>
            <w:vMerge/>
            <w:tcBorders>
              <w:top w:val="single" w:sz="8" w:space="0" w:color="BFBFBF"/>
              <w:left w:val="single" w:sz="8" w:space="0" w:color="BFBFBF"/>
              <w:bottom w:val="single" w:sz="8" w:space="0" w:color="BFBFBF"/>
              <w:right w:val="single" w:sz="8" w:space="0" w:color="BFBFBF"/>
            </w:tcBorders>
            <w:vAlign w:val="center"/>
            <w:hideMark/>
          </w:tcPr>
          <w:p w14:paraId="2C7E91D1"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EACCE9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67DBA7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06731A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568" w:type="dxa"/>
            <w:vMerge/>
            <w:tcBorders>
              <w:top w:val="single" w:sz="8" w:space="0" w:color="BFBFBF"/>
              <w:left w:val="single" w:sz="8" w:space="0" w:color="BFBFBF"/>
              <w:bottom w:val="single" w:sz="8" w:space="0" w:color="BFBFBF"/>
              <w:right w:val="single" w:sz="8" w:space="0" w:color="BFBFBF"/>
            </w:tcBorders>
            <w:vAlign w:val="center"/>
            <w:hideMark/>
          </w:tcPr>
          <w:p w14:paraId="41E7FBDA"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BB5B8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57507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5A15E8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vMerge/>
            <w:tcBorders>
              <w:top w:val="single" w:sz="8" w:space="0" w:color="BFBFBF"/>
              <w:left w:val="single" w:sz="8" w:space="0" w:color="BFBFBF"/>
              <w:bottom w:val="single" w:sz="8" w:space="0" w:color="BFBFBF"/>
              <w:right w:val="single" w:sz="8" w:space="0" w:color="BFBFBF"/>
            </w:tcBorders>
            <w:vAlign w:val="center"/>
            <w:hideMark/>
          </w:tcPr>
          <w:p w14:paraId="4AB453AF"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r>
      <w:tr w:rsidR="00E729CB" w:rsidRPr="001738EC" w14:paraId="44FA2859"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7A7E4BD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nil"/>
              <w:left w:val="nil"/>
              <w:bottom w:val="single" w:sz="8" w:space="0" w:color="BFBFBF"/>
              <w:right w:val="single" w:sz="8" w:space="0" w:color="BFBFBF"/>
            </w:tcBorders>
            <w:shd w:val="clear" w:color="auto" w:fill="auto"/>
            <w:noWrap/>
            <w:vAlign w:val="center"/>
            <w:hideMark/>
          </w:tcPr>
          <w:p w14:paraId="5A3178E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36F87DC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EMOE SER</w:t>
            </w:r>
          </w:p>
        </w:tc>
        <w:tc>
          <w:tcPr>
            <w:tcW w:w="1300" w:type="dxa"/>
            <w:vMerge/>
            <w:tcBorders>
              <w:top w:val="single" w:sz="8" w:space="0" w:color="BFBFBF"/>
              <w:left w:val="single" w:sz="8" w:space="0" w:color="BFBFBF"/>
              <w:bottom w:val="single" w:sz="8" w:space="0" w:color="BFBFBF"/>
              <w:right w:val="single" w:sz="8" w:space="0" w:color="BFBFBF"/>
            </w:tcBorders>
            <w:vAlign w:val="center"/>
            <w:hideMark/>
          </w:tcPr>
          <w:p w14:paraId="75FD194C"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802" w:type="dxa"/>
            <w:tcBorders>
              <w:top w:val="nil"/>
              <w:left w:val="nil"/>
              <w:bottom w:val="single" w:sz="8" w:space="0" w:color="BFBFBF"/>
              <w:right w:val="single" w:sz="8" w:space="0" w:color="BFBFBF"/>
            </w:tcBorders>
            <w:shd w:val="clear" w:color="auto" w:fill="auto"/>
            <w:noWrap/>
            <w:vAlign w:val="center"/>
            <w:hideMark/>
          </w:tcPr>
          <w:p w14:paraId="09C05DB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42</w:t>
            </w:r>
          </w:p>
        </w:tc>
        <w:tc>
          <w:tcPr>
            <w:tcW w:w="666" w:type="dxa"/>
            <w:tcBorders>
              <w:top w:val="nil"/>
              <w:left w:val="nil"/>
              <w:bottom w:val="single" w:sz="8" w:space="0" w:color="BFBFBF"/>
              <w:right w:val="single" w:sz="8" w:space="0" w:color="BFBFBF"/>
            </w:tcBorders>
            <w:shd w:val="clear" w:color="auto" w:fill="auto"/>
            <w:noWrap/>
            <w:vAlign w:val="center"/>
            <w:hideMark/>
          </w:tcPr>
          <w:p w14:paraId="33D7042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72</w:t>
            </w:r>
          </w:p>
        </w:tc>
        <w:tc>
          <w:tcPr>
            <w:tcW w:w="666" w:type="dxa"/>
            <w:tcBorders>
              <w:top w:val="nil"/>
              <w:left w:val="nil"/>
              <w:bottom w:val="single" w:sz="8" w:space="0" w:color="BFBFBF"/>
              <w:right w:val="single" w:sz="8" w:space="0" w:color="BFBFBF"/>
            </w:tcBorders>
            <w:shd w:val="clear" w:color="auto" w:fill="auto"/>
            <w:noWrap/>
            <w:vAlign w:val="center"/>
            <w:hideMark/>
          </w:tcPr>
          <w:p w14:paraId="5AC61BA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84</w:t>
            </w:r>
          </w:p>
        </w:tc>
        <w:tc>
          <w:tcPr>
            <w:tcW w:w="666" w:type="dxa"/>
            <w:vMerge/>
            <w:tcBorders>
              <w:top w:val="single" w:sz="8" w:space="0" w:color="BFBFBF"/>
              <w:left w:val="single" w:sz="8" w:space="0" w:color="BFBFBF"/>
              <w:bottom w:val="single" w:sz="8" w:space="0" w:color="BFBFBF"/>
              <w:right w:val="single" w:sz="8" w:space="0" w:color="BFBFBF"/>
            </w:tcBorders>
            <w:vAlign w:val="center"/>
            <w:hideMark/>
          </w:tcPr>
          <w:p w14:paraId="7D1F1826"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1100" w:type="dxa"/>
            <w:vMerge/>
            <w:tcBorders>
              <w:top w:val="single" w:sz="8" w:space="0" w:color="BFBFBF"/>
              <w:left w:val="single" w:sz="8" w:space="0" w:color="BFBFBF"/>
              <w:bottom w:val="single" w:sz="8" w:space="0" w:color="BFBFBF"/>
              <w:right w:val="single" w:sz="8" w:space="0" w:color="BFBFBF"/>
            </w:tcBorders>
            <w:vAlign w:val="center"/>
            <w:hideMark/>
          </w:tcPr>
          <w:p w14:paraId="2CEE6523"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589" w:type="dxa"/>
            <w:tcBorders>
              <w:top w:val="nil"/>
              <w:left w:val="nil"/>
              <w:bottom w:val="single" w:sz="8" w:space="0" w:color="BFBFBF"/>
              <w:right w:val="single" w:sz="8" w:space="0" w:color="BFBFBF"/>
            </w:tcBorders>
            <w:shd w:val="clear" w:color="auto" w:fill="auto"/>
            <w:noWrap/>
            <w:vAlign w:val="center"/>
            <w:hideMark/>
          </w:tcPr>
          <w:p w14:paraId="50AAC8F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w:t>
            </w:r>
          </w:p>
        </w:tc>
        <w:tc>
          <w:tcPr>
            <w:tcW w:w="589" w:type="dxa"/>
            <w:tcBorders>
              <w:top w:val="nil"/>
              <w:left w:val="nil"/>
              <w:bottom w:val="single" w:sz="8" w:space="0" w:color="BFBFBF"/>
              <w:right w:val="single" w:sz="8" w:space="0" w:color="BFBFBF"/>
            </w:tcBorders>
            <w:shd w:val="clear" w:color="auto" w:fill="auto"/>
            <w:noWrap/>
            <w:vAlign w:val="center"/>
            <w:hideMark/>
          </w:tcPr>
          <w:p w14:paraId="42EC1F4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24%</w:t>
            </w:r>
          </w:p>
        </w:tc>
        <w:tc>
          <w:tcPr>
            <w:tcW w:w="494" w:type="dxa"/>
            <w:tcBorders>
              <w:top w:val="nil"/>
              <w:left w:val="nil"/>
              <w:bottom w:val="single" w:sz="8" w:space="0" w:color="BFBFBF"/>
              <w:right w:val="single" w:sz="8" w:space="0" w:color="BFBFBF"/>
            </w:tcBorders>
            <w:shd w:val="clear" w:color="auto" w:fill="auto"/>
            <w:noWrap/>
            <w:vAlign w:val="center"/>
            <w:hideMark/>
          </w:tcPr>
          <w:p w14:paraId="7779543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22%</w:t>
            </w:r>
          </w:p>
        </w:tc>
        <w:tc>
          <w:tcPr>
            <w:tcW w:w="568" w:type="dxa"/>
            <w:vMerge/>
            <w:tcBorders>
              <w:top w:val="single" w:sz="8" w:space="0" w:color="BFBFBF"/>
              <w:left w:val="single" w:sz="8" w:space="0" w:color="BFBFBF"/>
              <w:bottom w:val="single" w:sz="8" w:space="0" w:color="BFBFBF"/>
              <w:right w:val="single" w:sz="8" w:space="0" w:color="BFBFBF"/>
            </w:tcBorders>
            <w:vAlign w:val="center"/>
            <w:hideMark/>
          </w:tcPr>
          <w:p w14:paraId="04A199C1"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c>
          <w:tcPr>
            <w:tcW w:w="460" w:type="dxa"/>
            <w:tcBorders>
              <w:top w:val="nil"/>
              <w:left w:val="nil"/>
              <w:bottom w:val="single" w:sz="8" w:space="0" w:color="BFBFBF"/>
              <w:right w:val="single" w:sz="8" w:space="0" w:color="BFBFBF"/>
            </w:tcBorders>
            <w:shd w:val="clear" w:color="auto" w:fill="auto"/>
            <w:noWrap/>
            <w:vAlign w:val="center"/>
            <w:hideMark/>
          </w:tcPr>
          <w:p w14:paraId="469442A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40CEBE3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566415E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vMerge/>
            <w:tcBorders>
              <w:top w:val="single" w:sz="8" w:space="0" w:color="BFBFBF"/>
              <w:left w:val="single" w:sz="8" w:space="0" w:color="BFBFBF"/>
              <w:bottom w:val="single" w:sz="8" w:space="0" w:color="BFBFBF"/>
              <w:right w:val="single" w:sz="8" w:space="0" w:color="BFBFBF"/>
            </w:tcBorders>
            <w:vAlign w:val="center"/>
            <w:hideMark/>
          </w:tcPr>
          <w:p w14:paraId="58A820AB" w14:textId="77777777" w:rsidR="00E729CB" w:rsidRPr="001738EC" w:rsidRDefault="00E729CB" w:rsidP="003B35A6">
            <w:pPr>
              <w:spacing w:after="0" w:line="240" w:lineRule="auto"/>
              <w:rPr>
                <w:rFonts w:ascii="Century Gothic" w:eastAsia="Times New Roman" w:hAnsi="Century Gothic" w:cs="Calibri"/>
                <w:sz w:val="16"/>
                <w:szCs w:val="16"/>
                <w:lang w:eastAsia="es-MX"/>
              </w:rPr>
            </w:pPr>
          </w:p>
        </w:tc>
      </w:tr>
      <w:tr w:rsidR="00E729CB" w:rsidRPr="001738EC" w14:paraId="6D001CDA" w14:textId="77777777" w:rsidTr="003B35A6">
        <w:trPr>
          <w:trHeight w:val="504"/>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BEAAB3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4B6F80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A56145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EMS</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5357016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,10/2022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BDCD3D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1648</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1B86EC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1224</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B7F53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2328</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EBB51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2328</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36245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F1BE0B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B88832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1D46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11D6E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11C6FE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AFD25F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CA74DF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9682FD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6424D76E" w14:textId="77777777" w:rsidTr="003B35A6">
        <w:trPr>
          <w:trHeight w:val="444"/>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385FB78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nil"/>
              <w:left w:val="nil"/>
              <w:bottom w:val="single" w:sz="8" w:space="0" w:color="BFBFBF"/>
              <w:right w:val="single" w:sz="8" w:space="0" w:color="BFBFBF"/>
            </w:tcBorders>
            <w:shd w:val="clear" w:color="auto" w:fill="auto"/>
            <w:noWrap/>
            <w:vAlign w:val="center"/>
            <w:hideMark/>
          </w:tcPr>
          <w:p w14:paraId="4B118CD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nil"/>
              <w:left w:val="nil"/>
              <w:bottom w:val="single" w:sz="8" w:space="0" w:color="BFBFBF"/>
              <w:right w:val="single" w:sz="8" w:space="0" w:color="BFBFBF"/>
            </w:tcBorders>
            <w:shd w:val="clear" w:color="auto" w:fill="auto"/>
            <w:noWrap/>
            <w:vAlign w:val="center"/>
            <w:hideMark/>
          </w:tcPr>
          <w:p w14:paraId="7B54EE2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ENEC</w:t>
            </w:r>
          </w:p>
        </w:tc>
        <w:tc>
          <w:tcPr>
            <w:tcW w:w="1300" w:type="dxa"/>
            <w:tcBorders>
              <w:top w:val="nil"/>
              <w:left w:val="nil"/>
              <w:bottom w:val="single" w:sz="8" w:space="0" w:color="BFBFBF"/>
              <w:right w:val="single" w:sz="8" w:space="0" w:color="BFBFBF"/>
            </w:tcBorders>
            <w:shd w:val="clear" w:color="auto" w:fill="auto"/>
            <w:vAlign w:val="center"/>
            <w:hideMark/>
          </w:tcPr>
          <w:p w14:paraId="0441CE3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,10/2022</w:t>
            </w:r>
          </w:p>
        </w:tc>
        <w:tc>
          <w:tcPr>
            <w:tcW w:w="802" w:type="dxa"/>
            <w:tcBorders>
              <w:top w:val="nil"/>
              <w:left w:val="nil"/>
              <w:bottom w:val="single" w:sz="8" w:space="0" w:color="BFBFBF"/>
              <w:right w:val="single" w:sz="8" w:space="0" w:color="BFBFBF"/>
            </w:tcBorders>
            <w:shd w:val="clear" w:color="auto" w:fill="auto"/>
            <w:noWrap/>
            <w:vAlign w:val="center"/>
            <w:hideMark/>
          </w:tcPr>
          <w:p w14:paraId="6B9047A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576</w:t>
            </w:r>
          </w:p>
        </w:tc>
        <w:tc>
          <w:tcPr>
            <w:tcW w:w="666" w:type="dxa"/>
            <w:tcBorders>
              <w:top w:val="nil"/>
              <w:left w:val="nil"/>
              <w:bottom w:val="single" w:sz="8" w:space="0" w:color="BFBFBF"/>
              <w:right w:val="single" w:sz="8" w:space="0" w:color="BFBFBF"/>
            </w:tcBorders>
            <w:shd w:val="clear" w:color="auto" w:fill="auto"/>
            <w:noWrap/>
            <w:vAlign w:val="center"/>
            <w:hideMark/>
          </w:tcPr>
          <w:p w14:paraId="1918C1C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420</w:t>
            </w:r>
          </w:p>
        </w:tc>
        <w:tc>
          <w:tcPr>
            <w:tcW w:w="666" w:type="dxa"/>
            <w:tcBorders>
              <w:top w:val="nil"/>
              <w:left w:val="nil"/>
              <w:bottom w:val="single" w:sz="8" w:space="0" w:color="BFBFBF"/>
              <w:right w:val="single" w:sz="8" w:space="0" w:color="BFBFBF"/>
            </w:tcBorders>
            <w:shd w:val="clear" w:color="auto" w:fill="auto"/>
            <w:noWrap/>
            <w:vAlign w:val="center"/>
            <w:hideMark/>
          </w:tcPr>
          <w:p w14:paraId="65CFDF4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432</w:t>
            </w:r>
          </w:p>
        </w:tc>
        <w:tc>
          <w:tcPr>
            <w:tcW w:w="666" w:type="dxa"/>
            <w:tcBorders>
              <w:top w:val="nil"/>
              <w:left w:val="nil"/>
              <w:bottom w:val="single" w:sz="8" w:space="0" w:color="BFBFBF"/>
              <w:right w:val="single" w:sz="8" w:space="0" w:color="BFBFBF"/>
            </w:tcBorders>
            <w:shd w:val="clear" w:color="auto" w:fill="auto"/>
            <w:noWrap/>
            <w:vAlign w:val="center"/>
            <w:hideMark/>
          </w:tcPr>
          <w:p w14:paraId="72B50EF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432</w:t>
            </w:r>
          </w:p>
        </w:tc>
        <w:tc>
          <w:tcPr>
            <w:tcW w:w="1100" w:type="dxa"/>
            <w:tcBorders>
              <w:top w:val="nil"/>
              <w:left w:val="nil"/>
              <w:bottom w:val="single" w:sz="8" w:space="0" w:color="BFBFBF"/>
              <w:right w:val="single" w:sz="8" w:space="0" w:color="BFBFBF"/>
            </w:tcBorders>
            <w:shd w:val="clear" w:color="auto" w:fill="auto"/>
            <w:noWrap/>
            <w:vAlign w:val="center"/>
            <w:hideMark/>
          </w:tcPr>
          <w:p w14:paraId="270BFC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w:t>
            </w:r>
          </w:p>
        </w:tc>
        <w:tc>
          <w:tcPr>
            <w:tcW w:w="589" w:type="dxa"/>
            <w:tcBorders>
              <w:top w:val="nil"/>
              <w:left w:val="nil"/>
              <w:bottom w:val="single" w:sz="8" w:space="0" w:color="BFBFBF"/>
              <w:right w:val="single" w:sz="8" w:space="0" w:color="BFBFBF"/>
            </w:tcBorders>
            <w:shd w:val="clear" w:color="auto" w:fill="auto"/>
            <w:noWrap/>
            <w:vAlign w:val="center"/>
            <w:hideMark/>
          </w:tcPr>
          <w:p w14:paraId="11EAAA0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589" w:type="dxa"/>
            <w:tcBorders>
              <w:top w:val="nil"/>
              <w:left w:val="nil"/>
              <w:bottom w:val="single" w:sz="8" w:space="0" w:color="BFBFBF"/>
              <w:right w:val="single" w:sz="8" w:space="0" w:color="BFBFBF"/>
            </w:tcBorders>
            <w:shd w:val="clear" w:color="auto" w:fill="auto"/>
            <w:noWrap/>
            <w:vAlign w:val="center"/>
            <w:hideMark/>
          </w:tcPr>
          <w:p w14:paraId="7288EB0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494" w:type="dxa"/>
            <w:tcBorders>
              <w:top w:val="nil"/>
              <w:left w:val="nil"/>
              <w:bottom w:val="single" w:sz="8" w:space="0" w:color="BFBFBF"/>
              <w:right w:val="single" w:sz="8" w:space="0" w:color="BFBFBF"/>
            </w:tcBorders>
            <w:shd w:val="clear" w:color="auto" w:fill="auto"/>
            <w:noWrap/>
            <w:vAlign w:val="center"/>
            <w:hideMark/>
          </w:tcPr>
          <w:p w14:paraId="09ADB01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568" w:type="dxa"/>
            <w:tcBorders>
              <w:top w:val="nil"/>
              <w:left w:val="nil"/>
              <w:bottom w:val="single" w:sz="8" w:space="0" w:color="BFBFBF"/>
              <w:right w:val="single" w:sz="8" w:space="0" w:color="BFBFBF"/>
            </w:tcBorders>
            <w:shd w:val="clear" w:color="auto" w:fill="auto"/>
            <w:noWrap/>
            <w:vAlign w:val="center"/>
            <w:hideMark/>
          </w:tcPr>
          <w:p w14:paraId="6748DA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460" w:type="dxa"/>
            <w:tcBorders>
              <w:top w:val="nil"/>
              <w:left w:val="nil"/>
              <w:bottom w:val="single" w:sz="8" w:space="0" w:color="BFBFBF"/>
              <w:right w:val="single" w:sz="8" w:space="0" w:color="BFBFBF"/>
            </w:tcBorders>
            <w:shd w:val="clear" w:color="auto" w:fill="auto"/>
            <w:noWrap/>
            <w:vAlign w:val="center"/>
            <w:hideMark/>
          </w:tcPr>
          <w:p w14:paraId="70E744F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734EB12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2CEEAF6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5BCD0AD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6861691F" w14:textId="77777777" w:rsidTr="003B35A6">
        <w:trPr>
          <w:trHeight w:val="444"/>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469793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D5B2BA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DA6CAB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ENCO</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02BC6E0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,11/2022</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1D6EE5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D81947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F29471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98F72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04D624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3BF83C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53012A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21%</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0499AC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16%</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2C421B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94DEC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8735F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72DED7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7FCCD6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350F5EA2" w14:textId="77777777" w:rsidTr="003B35A6">
        <w:trPr>
          <w:trHeight w:val="444"/>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7C0AAFA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Mensual</w:t>
            </w:r>
          </w:p>
        </w:tc>
        <w:tc>
          <w:tcPr>
            <w:tcW w:w="880" w:type="dxa"/>
            <w:tcBorders>
              <w:top w:val="nil"/>
              <w:left w:val="nil"/>
              <w:bottom w:val="single" w:sz="8" w:space="0" w:color="BFBFBF"/>
              <w:right w:val="single" w:sz="8" w:space="0" w:color="BFBFBF"/>
            </w:tcBorders>
            <w:shd w:val="clear" w:color="auto" w:fill="auto"/>
            <w:noWrap/>
            <w:vAlign w:val="center"/>
            <w:hideMark/>
          </w:tcPr>
          <w:p w14:paraId="4100F73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5D184A7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ENOE</w:t>
            </w:r>
          </w:p>
        </w:tc>
        <w:tc>
          <w:tcPr>
            <w:tcW w:w="1300" w:type="dxa"/>
            <w:tcBorders>
              <w:top w:val="nil"/>
              <w:left w:val="nil"/>
              <w:bottom w:val="single" w:sz="8" w:space="0" w:color="BFBFBF"/>
              <w:right w:val="single" w:sz="8" w:space="0" w:color="BFBFBF"/>
            </w:tcBorders>
            <w:shd w:val="clear" w:color="auto" w:fill="auto"/>
            <w:vAlign w:val="center"/>
            <w:hideMark/>
          </w:tcPr>
          <w:p w14:paraId="07ECFF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12/2021</w:t>
            </w:r>
            <w:r w:rsidRPr="001738EC">
              <w:rPr>
                <w:rFonts w:ascii="Century Gothic" w:eastAsia="Times New Roman" w:hAnsi="Century Gothic" w:cs="Calibri"/>
                <w:sz w:val="16"/>
                <w:szCs w:val="16"/>
                <w:lang w:eastAsia="es-MX"/>
              </w:rPr>
              <w:br/>
            </w:r>
            <w:proofErr w:type="gramStart"/>
            <w:r w:rsidRPr="001738EC">
              <w:rPr>
                <w:rFonts w:ascii="Century Gothic" w:eastAsia="Times New Roman" w:hAnsi="Century Gothic" w:cs="Calibri"/>
                <w:sz w:val="16"/>
                <w:szCs w:val="16"/>
                <w:lang w:eastAsia="es-MX"/>
              </w:rPr>
              <w:t>1,2,…</w:t>
            </w:r>
            <w:proofErr w:type="gramEnd"/>
            <w:r w:rsidRPr="001738EC">
              <w:rPr>
                <w:rFonts w:ascii="Century Gothic" w:eastAsia="Times New Roman" w:hAnsi="Century Gothic" w:cs="Calibri"/>
                <w:sz w:val="16"/>
                <w:szCs w:val="16"/>
                <w:lang w:eastAsia="es-MX"/>
              </w:rPr>
              <w:t>,11/2022</w:t>
            </w:r>
          </w:p>
        </w:tc>
        <w:tc>
          <w:tcPr>
            <w:tcW w:w="802" w:type="dxa"/>
            <w:tcBorders>
              <w:top w:val="nil"/>
              <w:left w:val="nil"/>
              <w:bottom w:val="single" w:sz="8" w:space="0" w:color="BFBFBF"/>
              <w:right w:val="single" w:sz="8" w:space="0" w:color="BFBFBF"/>
            </w:tcBorders>
            <w:shd w:val="clear" w:color="auto" w:fill="auto"/>
            <w:noWrap/>
            <w:vAlign w:val="center"/>
            <w:hideMark/>
          </w:tcPr>
          <w:p w14:paraId="2A0C4CC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34E938A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722FC69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DE1AFB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864</w:t>
            </w:r>
          </w:p>
        </w:tc>
        <w:tc>
          <w:tcPr>
            <w:tcW w:w="1100" w:type="dxa"/>
            <w:tcBorders>
              <w:top w:val="nil"/>
              <w:left w:val="nil"/>
              <w:bottom w:val="single" w:sz="8" w:space="0" w:color="BFBFBF"/>
              <w:right w:val="single" w:sz="8" w:space="0" w:color="BFBFBF"/>
            </w:tcBorders>
            <w:shd w:val="clear" w:color="auto" w:fill="auto"/>
            <w:noWrap/>
            <w:vAlign w:val="center"/>
            <w:hideMark/>
          </w:tcPr>
          <w:p w14:paraId="461E25C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0D9CA65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4DA5A63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66E6E4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42D4008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460" w:type="dxa"/>
            <w:tcBorders>
              <w:top w:val="nil"/>
              <w:left w:val="nil"/>
              <w:bottom w:val="single" w:sz="8" w:space="0" w:color="BFBFBF"/>
              <w:right w:val="single" w:sz="8" w:space="0" w:color="BFBFBF"/>
            </w:tcBorders>
            <w:shd w:val="clear" w:color="auto" w:fill="auto"/>
            <w:noWrap/>
            <w:vAlign w:val="center"/>
            <w:hideMark/>
          </w:tcPr>
          <w:p w14:paraId="5A252A1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ECC6F2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63D1DB6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4D9DD6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r>
      <w:tr w:rsidR="00E729CB" w:rsidRPr="001738EC" w14:paraId="70218FD8"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9AE38C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BC41E0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DGEE</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DC0CB2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ENAFIN</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83F9F5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BD0C19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29EC6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02C02A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6F5F1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11</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2A0EB8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279380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F67E43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FAA602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6379A0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E1CBA9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F2DECB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FE02B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5EB54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2D4EA8C6"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52983AF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nil"/>
              <w:left w:val="nil"/>
              <w:bottom w:val="single" w:sz="8" w:space="0" w:color="BFBFBF"/>
              <w:right w:val="single" w:sz="8" w:space="0" w:color="BFBFBF"/>
            </w:tcBorders>
            <w:shd w:val="clear" w:color="auto" w:fill="auto"/>
            <w:noWrap/>
            <w:vAlign w:val="center"/>
            <w:hideMark/>
          </w:tcPr>
          <w:p w14:paraId="351B0C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69B5540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ENAPE</w:t>
            </w:r>
          </w:p>
        </w:tc>
        <w:tc>
          <w:tcPr>
            <w:tcW w:w="1300" w:type="dxa"/>
            <w:tcBorders>
              <w:top w:val="nil"/>
              <w:left w:val="nil"/>
              <w:bottom w:val="single" w:sz="8" w:space="0" w:color="BFBFBF"/>
              <w:right w:val="single" w:sz="8" w:space="0" w:color="BFBFBF"/>
            </w:tcBorders>
            <w:shd w:val="clear" w:color="auto" w:fill="auto"/>
            <w:noWrap/>
            <w:vAlign w:val="center"/>
            <w:hideMark/>
          </w:tcPr>
          <w:p w14:paraId="6C66468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2AAC475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E38B09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4FDB533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C1548D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nil"/>
              <w:left w:val="nil"/>
              <w:bottom w:val="single" w:sz="8" w:space="0" w:color="BFBFBF"/>
              <w:right w:val="single" w:sz="8" w:space="0" w:color="BFBFBF"/>
            </w:tcBorders>
            <w:shd w:val="clear" w:color="auto" w:fill="auto"/>
            <w:noWrap/>
            <w:vAlign w:val="center"/>
            <w:hideMark/>
          </w:tcPr>
          <w:p w14:paraId="479744D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85%</w:t>
            </w:r>
          </w:p>
        </w:tc>
        <w:tc>
          <w:tcPr>
            <w:tcW w:w="589" w:type="dxa"/>
            <w:tcBorders>
              <w:top w:val="nil"/>
              <w:left w:val="nil"/>
              <w:bottom w:val="single" w:sz="8" w:space="0" w:color="BFBFBF"/>
              <w:right w:val="single" w:sz="8" w:space="0" w:color="BFBFBF"/>
            </w:tcBorders>
            <w:shd w:val="clear" w:color="auto" w:fill="auto"/>
            <w:noWrap/>
            <w:vAlign w:val="center"/>
            <w:hideMark/>
          </w:tcPr>
          <w:p w14:paraId="1139519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5EFCB58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1FCCA6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090C234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c>
          <w:tcPr>
            <w:tcW w:w="460" w:type="dxa"/>
            <w:tcBorders>
              <w:top w:val="nil"/>
              <w:left w:val="nil"/>
              <w:bottom w:val="single" w:sz="8" w:space="0" w:color="BFBFBF"/>
              <w:right w:val="single" w:sz="8" w:space="0" w:color="BFBFBF"/>
            </w:tcBorders>
            <w:shd w:val="clear" w:color="auto" w:fill="auto"/>
            <w:noWrap/>
            <w:vAlign w:val="center"/>
            <w:hideMark/>
          </w:tcPr>
          <w:p w14:paraId="31B26F1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255C17A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9041CC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DD130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0%</w:t>
            </w:r>
          </w:p>
        </w:tc>
      </w:tr>
      <w:tr w:rsidR="00E729CB" w:rsidRPr="001738EC" w14:paraId="72DF0572"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DAD820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61448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28F5CB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ENDISEG</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0E4B89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8B3A9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553D81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C95183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ECF8CA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B53370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2741F3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BDED9A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F51810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CF2E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13%</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B3D78F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0573DD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DECBA0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DA94C4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r>
      <w:tr w:rsidR="00E729CB" w:rsidRPr="001738EC" w14:paraId="58F9613E"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70E0CA3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nil"/>
              <w:left w:val="nil"/>
              <w:bottom w:val="single" w:sz="8" w:space="0" w:color="BFBFBF"/>
              <w:right w:val="single" w:sz="8" w:space="0" w:color="BFBFBF"/>
            </w:tcBorders>
            <w:shd w:val="clear" w:color="auto" w:fill="auto"/>
            <w:noWrap/>
            <w:vAlign w:val="center"/>
            <w:hideMark/>
          </w:tcPr>
          <w:p w14:paraId="7ABA9E1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nil"/>
              <w:left w:val="nil"/>
              <w:bottom w:val="single" w:sz="8" w:space="0" w:color="BFBFBF"/>
              <w:right w:val="single" w:sz="8" w:space="0" w:color="BFBFBF"/>
            </w:tcBorders>
            <w:shd w:val="clear" w:color="auto" w:fill="auto"/>
            <w:noWrap/>
            <w:vAlign w:val="center"/>
            <w:hideMark/>
          </w:tcPr>
          <w:p w14:paraId="644F807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ENFIH</w:t>
            </w:r>
          </w:p>
        </w:tc>
        <w:tc>
          <w:tcPr>
            <w:tcW w:w="1300" w:type="dxa"/>
            <w:tcBorders>
              <w:top w:val="nil"/>
              <w:left w:val="nil"/>
              <w:bottom w:val="single" w:sz="8" w:space="0" w:color="BFBFBF"/>
              <w:right w:val="single" w:sz="8" w:space="0" w:color="BFBFBF"/>
            </w:tcBorders>
            <w:shd w:val="clear" w:color="auto" w:fill="auto"/>
            <w:noWrap/>
            <w:vAlign w:val="center"/>
            <w:hideMark/>
          </w:tcPr>
          <w:p w14:paraId="58FF4FC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55A4989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67F29D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77749AB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666" w:type="dxa"/>
            <w:tcBorders>
              <w:top w:val="nil"/>
              <w:left w:val="nil"/>
              <w:bottom w:val="single" w:sz="8" w:space="0" w:color="BFBFBF"/>
              <w:right w:val="single" w:sz="8" w:space="0" w:color="BFBFBF"/>
            </w:tcBorders>
            <w:shd w:val="clear" w:color="auto" w:fill="auto"/>
            <w:noWrap/>
            <w:vAlign w:val="center"/>
            <w:hideMark/>
          </w:tcPr>
          <w:p w14:paraId="4F5FF2C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2EF1EB8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11E6549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4C4812E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040AE1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21%</w:t>
            </w:r>
          </w:p>
        </w:tc>
        <w:tc>
          <w:tcPr>
            <w:tcW w:w="568" w:type="dxa"/>
            <w:tcBorders>
              <w:top w:val="nil"/>
              <w:left w:val="nil"/>
              <w:bottom w:val="single" w:sz="8" w:space="0" w:color="BFBFBF"/>
              <w:right w:val="single" w:sz="8" w:space="0" w:color="BFBFBF"/>
            </w:tcBorders>
            <w:shd w:val="clear" w:color="auto" w:fill="auto"/>
            <w:noWrap/>
            <w:vAlign w:val="center"/>
            <w:hideMark/>
          </w:tcPr>
          <w:p w14:paraId="30769F1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1C2DBD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3B7801A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05E4088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6%</w:t>
            </w:r>
          </w:p>
        </w:tc>
        <w:tc>
          <w:tcPr>
            <w:tcW w:w="460" w:type="dxa"/>
            <w:tcBorders>
              <w:top w:val="nil"/>
              <w:left w:val="nil"/>
              <w:bottom w:val="single" w:sz="8" w:space="0" w:color="BFBFBF"/>
              <w:right w:val="single" w:sz="8" w:space="0" w:color="BFBFBF"/>
            </w:tcBorders>
            <w:shd w:val="clear" w:color="auto" w:fill="auto"/>
            <w:noWrap/>
            <w:vAlign w:val="center"/>
            <w:hideMark/>
          </w:tcPr>
          <w:p w14:paraId="182831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2B2A28D3"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2147FC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77709F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DGES</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CC5978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ENVI</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351FCB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B59C67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E1E801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325D90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E041BD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EABE9D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436601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511A97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19F739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14%</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D22C37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9B1BB5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26CF6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930334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92BAA1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6553FBBD"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0B6CFE0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nil"/>
              <w:left w:val="nil"/>
              <w:bottom w:val="single" w:sz="8" w:space="0" w:color="BFBFBF"/>
              <w:right w:val="single" w:sz="8" w:space="0" w:color="BFBFBF"/>
            </w:tcBorders>
            <w:shd w:val="clear" w:color="auto" w:fill="auto"/>
            <w:noWrap/>
            <w:vAlign w:val="center"/>
            <w:hideMark/>
          </w:tcPr>
          <w:p w14:paraId="6F59D7B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64B54F6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ECADEFI-CHIH</w:t>
            </w:r>
          </w:p>
        </w:tc>
        <w:tc>
          <w:tcPr>
            <w:tcW w:w="1300" w:type="dxa"/>
            <w:tcBorders>
              <w:top w:val="nil"/>
              <w:left w:val="nil"/>
              <w:bottom w:val="single" w:sz="8" w:space="0" w:color="BFBFBF"/>
              <w:right w:val="single" w:sz="8" w:space="0" w:color="BFBFBF"/>
            </w:tcBorders>
            <w:shd w:val="clear" w:color="auto" w:fill="auto"/>
            <w:noWrap/>
            <w:vAlign w:val="center"/>
            <w:hideMark/>
          </w:tcPr>
          <w:p w14:paraId="1AB4575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2021</w:t>
            </w:r>
          </w:p>
        </w:tc>
        <w:tc>
          <w:tcPr>
            <w:tcW w:w="802" w:type="dxa"/>
            <w:tcBorders>
              <w:top w:val="nil"/>
              <w:left w:val="nil"/>
              <w:bottom w:val="single" w:sz="8" w:space="0" w:color="BFBFBF"/>
              <w:right w:val="single" w:sz="8" w:space="0" w:color="BFBFBF"/>
            </w:tcBorders>
            <w:shd w:val="clear" w:color="auto" w:fill="auto"/>
            <w:noWrap/>
            <w:vAlign w:val="center"/>
            <w:hideMark/>
          </w:tcPr>
          <w:p w14:paraId="1388A46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7C1751B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5A7AF7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D02CF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w:t>
            </w:r>
          </w:p>
        </w:tc>
        <w:tc>
          <w:tcPr>
            <w:tcW w:w="1100" w:type="dxa"/>
            <w:tcBorders>
              <w:top w:val="nil"/>
              <w:left w:val="nil"/>
              <w:bottom w:val="single" w:sz="8" w:space="0" w:color="BFBFBF"/>
              <w:right w:val="single" w:sz="8" w:space="0" w:color="BFBFBF"/>
            </w:tcBorders>
            <w:shd w:val="clear" w:color="auto" w:fill="auto"/>
            <w:noWrap/>
            <w:vAlign w:val="center"/>
            <w:hideMark/>
          </w:tcPr>
          <w:p w14:paraId="5FD6C45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4D37068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53019F5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0049A41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68" w:type="dxa"/>
            <w:tcBorders>
              <w:top w:val="nil"/>
              <w:left w:val="nil"/>
              <w:bottom w:val="single" w:sz="8" w:space="0" w:color="BFBFBF"/>
              <w:right w:val="single" w:sz="8" w:space="0" w:color="BFBFBF"/>
            </w:tcBorders>
            <w:shd w:val="clear" w:color="auto" w:fill="auto"/>
            <w:noWrap/>
            <w:vAlign w:val="center"/>
            <w:hideMark/>
          </w:tcPr>
          <w:p w14:paraId="2428F30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51FF2F6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45C95F1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95136A4"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1BAA0A2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w:t>
            </w:r>
          </w:p>
        </w:tc>
      </w:tr>
      <w:tr w:rsidR="00E729CB" w:rsidRPr="001738EC" w14:paraId="5E9D355B"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1ED7AB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E8AB93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AF160C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ENCRIGE</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91AA9C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EF112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16B7A6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344584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FFC5E5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FBCC7D6"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20%</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84B437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A682D8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9A88E0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25E976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11E284D0"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A0DDCD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0DE875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3FBD16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5B5BB9D9" w14:textId="77777777" w:rsidTr="003B35A6">
        <w:trPr>
          <w:trHeight w:val="228"/>
          <w:jc w:val="center"/>
        </w:trPr>
        <w:tc>
          <w:tcPr>
            <w:tcW w:w="1540" w:type="dxa"/>
            <w:tcBorders>
              <w:top w:val="nil"/>
              <w:left w:val="single" w:sz="8" w:space="0" w:color="BFBFBF"/>
              <w:bottom w:val="single" w:sz="8" w:space="0" w:color="BFBFBF"/>
              <w:right w:val="single" w:sz="8" w:space="0" w:color="BFBFBF"/>
            </w:tcBorders>
            <w:shd w:val="clear" w:color="auto" w:fill="auto"/>
            <w:noWrap/>
            <w:vAlign w:val="center"/>
            <w:hideMark/>
          </w:tcPr>
          <w:p w14:paraId="5014D53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nil"/>
              <w:left w:val="nil"/>
              <w:bottom w:val="single" w:sz="8" w:space="0" w:color="BFBFBF"/>
              <w:right w:val="single" w:sz="8" w:space="0" w:color="BFBFBF"/>
            </w:tcBorders>
            <w:shd w:val="clear" w:color="auto" w:fill="auto"/>
            <w:noWrap/>
            <w:vAlign w:val="center"/>
            <w:hideMark/>
          </w:tcPr>
          <w:p w14:paraId="4A43EA0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nil"/>
              <w:left w:val="nil"/>
              <w:bottom w:val="single" w:sz="8" w:space="0" w:color="BFBFBF"/>
              <w:right w:val="single" w:sz="8" w:space="0" w:color="BFBFBF"/>
            </w:tcBorders>
            <w:shd w:val="clear" w:color="auto" w:fill="auto"/>
            <w:noWrap/>
            <w:vAlign w:val="center"/>
            <w:hideMark/>
          </w:tcPr>
          <w:p w14:paraId="2A75187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ENCUCI</w:t>
            </w:r>
          </w:p>
        </w:tc>
        <w:tc>
          <w:tcPr>
            <w:tcW w:w="1300" w:type="dxa"/>
            <w:tcBorders>
              <w:top w:val="nil"/>
              <w:left w:val="nil"/>
              <w:bottom w:val="single" w:sz="8" w:space="0" w:color="BFBFBF"/>
              <w:right w:val="single" w:sz="8" w:space="0" w:color="BFBFBF"/>
            </w:tcBorders>
            <w:shd w:val="clear" w:color="auto" w:fill="auto"/>
            <w:noWrap/>
            <w:vAlign w:val="center"/>
            <w:hideMark/>
          </w:tcPr>
          <w:p w14:paraId="6938102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nil"/>
              <w:left w:val="nil"/>
              <w:bottom w:val="single" w:sz="8" w:space="0" w:color="BFBFBF"/>
              <w:right w:val="single" w:sz="8" w:space="0" w:color="BFBFBF"/>
            </w:tcBorders>
            <w:shd w:val="clear" w:color="auto" w:fill="auto"/>
            <w:noWrap/>
            <w:vAlign w:val="center"/>
            <w:hideMark/>
          </w:tcPr>
          <w:p w14:paraId="26D0853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2893F2D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nil"/>
              <w:left w:val="nil"/>
              <w:bottom w:val="single" w:sz="8" w:space="0" w:color="BFBFBF"/>
              <w:right w:val="single" w:sz="8" w:space="0" w:color="BFBFBF"/>
            </w:tcBorders>
            <w:shd w:val="clear" w:color="auto" w:fill="auto"/>
            <w:noWrap/>
            <w:vAlign w:val="center"/>
            <w:hideMark/>
          </w:tcPr>
          <w:p w14:paraId="4ED7E3B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666" w:type="dxa"/>
            <w:tcBorders>
              <w:top w:val="nil"/>
              <w:left w:val="nil"/>
              <w:bottom w:val="single" w:sz="8" w:space="0" w:color="BFBFBF"/>
              <w:right w:val="single" w:sz="8" w:space="0" w:color="BFBFBF"/>
            </w:tcBorders>
            <w:shd w:val="clear" w:color="auto" w:fill="auto"/>
            <w:noWrap/>
            <w:vAlign w:val="center"/>
            <w:hideMark/>
          </w:tcPr>
          <w:p w14:paraId="4B48CE5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nil"/>
              <w:left w:val="nil"/>
              <w:bottom w:val="single" w:sz="8" w:space="0" w:color="BFBFBF"/>
              <w:right w:val="single" w:sz="8" w:space="0" w:color="BFBFBF"/>
            </w:tcBorders>
            <w:shd w:val="clear" w:color="auto" w:fill="auto"/>
            <w:noWrap/>
            <w:vAlign w:val="center"/>
            <w:hideMark/>
          </w:tcPr>
          <w:p w14:paraId="43216D3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15%</w:t>
            </w:r>
          </w:p>
        </w:tc>
        <w:tc>
          <w:tcPr>
            <w:tcW w:w="589" w:type="dxa"/>
            <w:tcBorders>
              <w:top w:val="nil"/>
              <w:left w:val="nil"/>
              <w:bottom w:val="single" w:sz="8" w:space="0" w:color="BFBFBF"/>
              <w:right w:val="single" w:sz="8" w:space="0" w:color="BFBFBF"/>
            </w:tcBorders>
            <w:shd w:val="clear" w:color="auto" w:fill="auto"/>
            <w:noWrap/>
            <w:vAlign w:val="center"/>
            <w:hideMark/>
          </w:tcPr>
          <w:p w14:paraId="746705D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nil"/>
              <w:left w:val="nil"/>
              <w:bottom w:val="single" w:sz="8" w:space="0" w:color="BFBFBF"/>
              <w:right w:val="single" w:sz="8" w:space="0" w:color="BFBFBF"/>
            </w:tcBorders>
            <w:shd w:val="clear" w:color="auto" w:fill="auto"/>
            <w:noWrap/>
            <w:vAlign w:val="center"/>
            <w:hideMark/>
          </w:tcPr>
          <w:p w14:paraId="2F57A11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nil"/>
              <w:left w:val="nil"/>
              <w:bottom w:val="single" w:sz="8" w:space="0" w:color="BFBFBF"/>
              <w:right w:val="single" w:sz="8" w:space="0" w:color="BFBFBF"/>
            </w:tcBorders>
            <w:shd w:val="clear" w:color="auto" w:fill="auto"/>
            <w:noWrap/>
            <w:vAlign w:val="center"/>
            <w:hideMark/>
          </w:tcPr>
          <w:p w14:paraId="4FCB81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8%</w:t>
            </w:r>
          </w:p>
        </w:tc>
        <w:tc>
          <w:tcPr>
            <w:tcW w:w="568" w:type="dxa"/>
            <w:tcBorders>
              <w:top w:val="nil"/>
              <w:left w:val="nil"/>
              <w:bottom w:val="single" w:sz="8" w:space="0" w:color="BFBFBF"/>
              <w:right w:val="single" w:sz="8" w:space="0" w:color="BFBFBF"/>
            </w:tcBorders>
            <w:shd w:val="clear" w:color="auto" w:fill="auto"/>
            <w:noWrap/>
            <w:vAlign w:val="center"/>
            <w:hideMark/>
          </w:tcPr>
          <w:p w14:paraId="4D2AD0FD"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7EA0581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686076E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nil"/>
              <w:left w:val="nil"/>
              <w:bottom w:val="single" w:sz="8" w:space="0" w:color="BFBFBF"/>
              <w:right w:val="single" w:sz="8" w:space="0" w:color="BFBFBF"/>
            </w:tcBorders>
            <w:shd w:val="clear" w:color="auto" w:fill="auto"/>
            <w:noWrap/>
            <w:vAlign w:val="center"/>
            <w:hideMark/>
          </w:tcPr>
          <w:p w14:paraId="57BF0C4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7%</w:t>
            </w:r>
          </w:p>
        </w:tc>
        <w:tc>
          <w:tcPr>
            <w:tcW w:w="460" w:type="dxa"/>
            <w:tcBorders>
              <w:top w:val="nil"/>
              <w:left w:val="nil"/>
              <w:bottom w:val="single" w:sz="8" w:space="0" w:color="BFBFBF"/>
              <w:right w:val="single" w:sz="8" w:space="0" w:color="BFBFBF"/>
            </w:tcBorders>
            <w:shd w:val="clear" w:color="auto" w:fill="auto"/>
            <w:noWrap/>
            <w:vAlign w:val="center"/>
            <w:hideMark/>
          </w:tcPr>
          <w:p w14:paraId="57470A1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r w:rsidR="00E729CB" w:rsidRPr="001738EC" w14:paraId="75E73354" w14:textId="77777777" w:rsidTr="003B35A6">
        <w:trPr>
          <w:trHeight w:val="228"/>
          <w:jc w:val="center"/>
        </w:trPr>
        <w:tc>
          <w:tcPr>
            <w:tcW w:w="154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8F5A65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No determinado</w:t>
            </w:r>
          </w:p>
        </w:tc>
        <w:tc>
          <w:tcPr>
            <w:tcW w:w="8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2FABEF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DGEGSPJ</w:t>
            </w:r>
          </w:p>
        </w:tc>
        <w:tc>
          <w:tcPr>
            <w:tcW w:w="128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87C79B2"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ENPOL</w:t>
            </w:r>
          </w:p>
        </w:tc>
        <w:tc>
          <w:tcPr>
            <w:tcW w:w="13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A55807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 </w:t>
            </w:r>
          </w:p>
        </w:tc>
        <w:tc>
          <w:tcPr>
            <w:tcW w:w="802"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D2D8CFF"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7870EF1"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3551A9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33</w:t>
            </w:r>
          </w:p>
        </w:tc>
        <w:tc>
          <w:tcPr>
            <w:tcW w:w="66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2E9703E"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110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083B14B"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10%</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073581FC"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589"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AC85E3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94"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3D32A43"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568"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370934B7"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77382B4A"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0E1BBC8"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2EEDB1E9"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4%</w:t>
            </w:r>
          </w:p>
        </w:tc>
        <w:tc>
          <w:tcPr>
            <w:tcW w:w="460"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6FCF11B5" w14:textId="77777777" w:rsidR="00E729CB" w:rsidRPr="001738EC" w:rsidRDefault="00E729CB" w:rsidP="003B35A6">
            <w:pPr>
              <w:spacing w:after="0" w:line="240" w:lineRule="auto"/>
              <w:jc w:val="center"/>
              <w:rPr>
                <w:rFonts w:ascii="Century Gothic" w:eastAsia="Times New Roman" w:hAnsi="Century Gothic" w:cs="Calibri"/>
                <w:sz w:val="16"/>
                <w:szCs w:val="16"/>
                <w:lang w:eastAsia="es-MX"/>
              </w:rPr>
            </w:pPr>
            <w:r w:rsidRPr="001738EC">
              <w:rPr>
                <w:rFonts w:ascii="Century Gothic" w:eastAsia="Times New Roman" w:hAnsi="Century Gothic" w:cs="Calibri"/>
                <w:sz w:val="16"/>
                <w:szCs w:val="16"/>
                <w:lang w:eastAsia="es-MX"/>
              </w:rPr>
              <w:t>-</w:t>
            </w:r>
          </w:p>
        </w:tc>
      </w:tr>
    </w:tbl>
    <w:p w14:paraId="346F866D" w14:textId="0A78B55D" w:rsidR="00361920" w:rsidRPr="009A501D" w:rsidRDefault="00361920" w:rsidP="00361920">
      <w:pPr>
        <w:spacing w:after="0"/>
        <w:ind w:firstLine="1276"/>
        <w:jc w:val="both"/>
        <w:rPr>
          <w:rFonts w:ascii="Century Gothic" w:hAnsi="Century Gothic" w:cstheme="minorHAnsi"/>
          <w:sz w:val="14"/>
          <w:szCs w:val="14"/>
        </w:rPr>
      </w:pPr>
      <w:r w:rsidRPr="009A501D">
        <w:rPr>
          <w:rFonts w:ascii="Century Gothic" w:hAnsi="Century Gothic" w:cstheme="minorHAnsi"/>
          <w:sz w:val="14"/>
          <w:szCs w:val="14"/>
          <w:vertAlign w:val="superscript"/>
        </w:rPr>
        <w:t>a/</w:t>
      </w:r>
      <w:r w:rsidRPr="009A501D">
        <w:rPr>
          <w:rFonts w:ascii="Century Gothic" w:hAnsi="Century Gothic" w:cstheme="minorHAnsi"/>
          <w:sz w:val="14"/>
          <w:szCs w:val="14"/>
        </w:rPr>
        <w:t xml:space="preserve"> Incluye todos los dominios y niveles de agregación.</w:t>
      </w:r>
    </w:p>
    <w:p w14:paraId="3584C05E" w14:textId="77777777" w:rsidR="00361920" w:rsidRPr="009A501D" w:rsidRDefault="00361920" w:rsidP="00361920">
      <w:pPr>
        <w:spacing w:after="0"/>
        <w:ind w:firstLine="1276"/>
        <w:jc w:val="both"/>
        <w:rPr>
          <w:rFonts w:ascii="Century Gothic" w:hAnsi="Century Gothic" w:cstheme="minorHAnsi"/>
          <w:sz w:val="14"/>
          <w:szCs w:val="14"/>
        </w:rPr>
      </w:pPr>
      <w:r w:rsidRPr="009A501D">
        <w:rPr>
          <w:rFonts w:ascii="Century Gothic" w:hAnsi="Century Gothic" w:cstheme="minorHAnsi"/>
          <w:sz w:val="14"/>
          <w:szCs w:val="14"/>
        </w:rPr>
        <w:t>NR: no reportado.</w:t>
      </w:r>
    </w:p>
    <w:p w14:paraId="40D4958A" w14:textId="77777777" w:rsidR="00361920" w:rsidRPr="009A501D" w:rsidRDefault="00361920" w:rsidP="00361920">
      <w:pPr>
        <w:spacing w:after="0"/>
        <w:ind w:firstLine="1276"/>
        <w:jc w:val="both"/>
        <w:rPr>
          <w:rFonts w:ascii="Century Gothic" w:hAnsi="Century Gothic"/>
          <w:sz w:val="14"/>
          <w:szCs w:val="14"/>
        </w:rPr>
      </w:pPr>
      <w:r w:rsidRPr="009A501D">
        <w:rPr>
          <w:rFonts w:ascii="Century Gothic" w:hAnsi="Century Gothic"/>
          <w:sz w:val="14"/>
          <w:szCs w:val="14"/>
        </w:rPr>
        <w:t>*Estos datos son los reportados en los Informes Anuales de Resultados 2019, 2020 y 2021, respectivamente.</w:t>
      </w:r>
    </w:p>
    <w:p w14:paraId="36799C3C" w14:textId="77777777" w:rsidR="00361920" w:rsidRPr="009A501D" w:rsidRDefault="00361920" w:rsidP="00361920">
      <w:pPr>
        <w:spacing w:after="0"/>
        <w:ind w:left="1276" w:right="1217"/>
        <w:jc w:val="both"/>
        <w:rPr>
          <w:rFonts w:ascii="Century Gothic" w:hAnsi="Century Gothic"/>
          <w:sz w:val="14"/>
          <w:szCs w:val="14"/>
        </w:rPr>
      </w:pPr>
      <w:r w:rsidRPr="009A501D">
        <w:rPr>
          <w:rFonts w:ascii="Century Gothic" w:hAnsi="Century Gothic"/>
          <w:sz w:val="14"/>
          <w:szCs w:val="14"/>
        </w:rPr>
        <w:t xml:space="preserve">**Estos datos corresponden a los indicadores registrados en metadatos durante 2022. Para el cálculo en 2022 únicamente se considera el agregado Nacional por encuesta. En contraste, para los años 2019, 2020 y 2021, el </w:t>
      </w:r>
      <w:proofErr w:type="gramStart"/>
      <w:r w:rsidRPr="009A501D">
        <w:rPr>
          <w:rFonts w:ascii="Century Gothic" w:hAnsi="Century Gothic"/>
          <w:sz w:val="14"/>
          <w:szCs w:val="14"/>
        </w:rPr>
        <w:t>cálculo  considera</w:t>
      </w:r>
      <w:proofErr w:type="gramEnd"/>
      <w:r w:rsidRPr="009A501D">
        <w:rPr>
          <w:rFonts w:ascii="Century Gothic" w:hAnsi="Century Gothic"/>
          <w:sz w:val="14"/>
          <w:szCs w:val="14"/>
        </w:rPr>
        <w:t xml:space="preserve"> el total de dominios de estudio a excepción del agregado Nacional.</w:t>
      </w:r>
    </w:p>
    <w:p w14:paraId="2F5954BF" w14:textId="798D151A" w:rsidR="005A1399" w:rsidRPr="009A501D" w:rsidRDefault="005A1399" w:rsidP="00664A1D">
      <w:pPr>
        <w:spacing w:after="0"/>
        <w:ind w:left="720"/>
        <w:jc w:val="both"/>
        <w:rPr>
          <w:rFonts w:ascii="Century Gothic" w:hAnsi="Century Gothic"/>
          <w:sz w:val="14"/>
          <w:szCs w:val="14"/>
        </w:rPr>
      </w:pPr>
    </w:p>
    <w:p w14:paraId="05D2144E" w14:textId="6761A4D0" w:rsidR="007F5C1B" w:rsidRPr="009A501D" w:rsidRDefault="007F5C1B">
      <w:pPr>
        <w:rPr>
          <w:rFonts w:ascii="Century Gothic" w:hAnsi="Century Gothic"/>
          <w:sz w:val="14"/>
          <w:szCs w:val="14"/>
        </w:rPr>
      </w:pPr>
      <w:r w:rsidRPr="009A501D">
        <w:rPr>
          <w:rFonts w:ascii="Century Gothic" w:hAnsi="Century Gothic"/>
          <w:sz w:val="14"/>
          <w:szCs w:val="14"/>
        </w:rPr>
        <w:br w:type="page"/>
      </w:r>
    </w:p>
    <w:p w14:paraId="6BD93C09" w14:textId="72EBA7DC" w:rsidR="005A1399" w:rsidRPr="009A501D" w:rsidRDefault="005A1399" w:rsidP="00664A1D">
      <w:pPr>
        <w:spacing w:before="240"/>
        <w:jc w:val="center"/>
        <w:rPr>
          <w:rFonts w:ascii="Century Gothic" w:hAnsi="Century Gothic" w:cstheme="majorHAnsi"/>
          <w:b/>
          <w:sz w:val="19"/>
          <w:szCs w:val="19"/>
        </w:rPr>
      </w:pPr>
      <w:r w:rsidRPr="009A501D">
        <w:rPr>
          <w:rFonts w:ascii="Century Gothic" w:hAnsi="Century Gothic" w:cstheme="majorHAnsi"/>
          <w:b/>
          <w:sz w:val="19"/>
          <w:szCs w:val="19"/>
        </w:rPr>
        <w:lastRenderedPageBreak/>
        <w:t>A.</w:t>
      </w:r>
      <w:r w:rsidR="00AE6C80" w:rsidRPr="009A501D">
        <w:rPr>
          <w:rFonts w:ascii="Century Gothic" w:hAnsi="Century Gothic" w:cstheme="majorHAnsi"/>
          <w:b/>
          <w:sz w:val="19"/>
          <w:szCs w:val="19"/>
        </w:rPr>
        <w:t>5</w:t>
      </w:r>
      <w:r w:rsidRPr="009A501D">
        <w:rPr>
          <w:rFonts w:ascii="Century Gothic" w:hAnsi="Century Gothic" w:cstheme="majorHAnsi"/>
          <w:b/>
          <w:sz w:val="19"/>
          <w:szCs w:val="19"/>
        </w:rPr>
        <w:t>.9. Promedio de las tasas de imputación y cumplimiento de la muestra</w:t>
      </w:r>
      <w:r w:rsidR="00953F4B" w:rsidRPr="009A501D">
        <w:rPr>
          <w:rFonts w:ascii="Century Gothic" w:hAnsi="Century Gothic" w:cstheme="majorHAnsi"/>
          <w:b/>
          <w:sz w:val="19"/>
          <w:szCs w:val="19"/>
        </w:rPr>
        <w:t xml:space="preserve"> mínima</w:t>
      </w:r>
      <w:r w:rsidRPr="009A501D">
        <w:rPr>
          <w:rFonts w:ascii="Century Gothic" w:hAnsi="Century Gothic" w:cstheme="majorHAnsi"/>
          <w:b/>
          <w:sz w:val="19"/>
          <w:szCs w:val="19"/>
        </w:rPr>
        <w:t xml:space="preserve"> </w:t>
      </w:r>
    </w:p>
    <w:tbl>
      <w:tblPr>
        <w:tblW w:w="12040" w:type="dxa"/>
        <w:jc w:val="center"/>
        <w:tblCellMar>
          <w:left w:w="0" w:type="dxa"/>
          <w:right w:w="0" w:type="dxa"/>
        </w:tblCellMar>
        <w:tblLook w:val="04A0" w:firstRow="1" w:lastRow="0" w:firstColumn="1" w:lastColumn="0" w:noHBand="0" w:noVBand="1"/>
      </w:tblPr>
      <w:tblGrid>
        <w:gridCol w:w="1540"/>
        <w:gridCol w:w="880"/>
        <w:gridCol w:w="1280"/>
        <w:gridCol w:w="1300"/>
        <w:gridCol w:w="799"/>
        <w:gridCol w:w="667"/>
        <w:gridCol w:w="667"/>
        <w:gridCol w:w="667"/>
        <w:gridCol w:w="539"/>
        <w:gridCol w:w="539"/>
        <w:gridCol w:w="539"/>
        <w:gridCol w:w="623"/>
        <w:gridCol w:w="500"/>
        <w:gridCol w:w="500"/>
        <w:gridCol w:w="500"/>
        <w:gridCol w:w="500"/>
      </w:tblGrid>
      <w:tr w:rsidR="005A1399" w:rsidRPr="009A501D" w14:paraId="2A04882C" w14:textId="77777777" w:rsidTr="00A64D97">
        <w:trPr>
          <w:trHeight w:val="284"/>
          <w:tblHeader/>
          <w:jc w:val="center"/>
        </w:trPr>
        <w:tc>
          <w:tcPr>
            <w:tcW w:w="15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07E11331"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Periodicidad</w:t>
            </w:r>
          </w:p>
        </w:tc>
        <w:tc>
          <w:tcPr>
            <w:tcW w:w="8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60AA0442"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UA</w:t>
            </w:r>
          </w:p>
        </w:tc>
        <w:tc>
          <w:tcPr>
            <w:tcW w:w="12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7572406C" w14:textId="6456DBFA" w:rsidR="005A1399" w:rsidRPr="009A501D" w:rsidRDefault="00EC4113"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Proceso</w:t>
            </w:r>
          </w:p>
        </w:tc>
        <w:tc>
          <w:tcPr>
            <w:tcW w:w="13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3B1E7761"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Periodo reportado en 2022</w:t>
            </w:r>
          </w:p>
        </w:tc>
        <w:tc>
          <w:tcPr>
            <w:tcW w:w="28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AD69FBA" w14:textId="25339FED" w:rsidR="005A1399" w:rsidRPr="009A501D" w:rsidRDefault="00777F2C"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Casos totales</w:t>
            </w:r>
          </w:p>
        </w:tc>
        <w:tc>
          <w:tcPr>
            <w:tcW w:w="224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36BA7418"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Promedio de tasas reportadas</w:t>
            </w:r>
          </w:p>
        </w:tc>
      </w:tr>
      <w:tr w:rsidR="005A1399" w:rsidRPr="009A501D" w14:paraId="29CA1D79" w14:textId="77777777" w:rsidTr="00A64D97">
        <w:trPr>
          <w:trHeight w:val="284"/>
          <w:tblHeade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E8D675"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77EB25"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84BD77"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653B99"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7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79AC2D5A" w14:textId="59669C4F"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2019</w:t>
            </w:r>
            <w:r w:rsidRPr="009A501D">
              <w:rPr>
                <w:rFonts w:ascii="Century Gothic" w:hAnsi="Century Gothic" w:cs="Calibri"/>
                <w:b/>
                <w:bCs/>
                <w:color w:val="FFFFFF"/>
                <w:sz w:val="16"/>
                <w:szCs w:val="16"/>
                <w:vertAlign w:val="superscript"/>
              </w:rPr>
              <w:t>a</w:t>
            </w:r>
            <w:r w:rsidR="007F5C1B" w:rsidRPr="009A501D">
              <w:rPr>
                <w:rFonts w:ascii="Century Gothic" w:hAnsi="Century Gothic" w:cs="Calibri"/>
                <w:b/>
                <w:bCs/>
                <w:color w:val="FFFFFF"/>
                <w:sz w:val="16"/>
                <w:szCs w:val="16"/>
                <w:vertAlign w:val="superscript"/>
              </w:rPr>
              <w:t>/</w:t>
            </w:r>
            <w:r w:rsidRPr="009A501D">
              <w:rPr>
                <w:rFonts w:ascii="Century Gothic" w:hAnsi="Century Gothic" w:cs="Calibri"/>
                <w:b/>
                <w:color w:val="FFFFFF"/>
                <w:sz w:val="16"/>
                <w:szCs w:val="16"/>
              </w:rPr>
              <w:br/>
              <w:t>Línea</w:t>
            </w:r>
            <w:r w:rsidRPr="009A501D">
              <w:rPr>
                <w:rFonts w:ascii="Century Gothic" w:hAnsi="Century Gothic" w:cs="Calibri"/>
                <w:b/>
                <w:color w:val="FFFFFF"/>
                <w:sz w:val="16"/>
                <w:szCs w:val="16"/>
              </w:rPr>
              <w:br/>
              <w:t>base</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5D54CE8E" w14:textId="10D8E654"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2020</w:t>
            </w:r>
            <w:r w:rsidRPr="009A501D">
              <w:rPr>
                <w:rFonts w:ascii="Century Gothic" w:hAnsi="Century Gothic" w:cs="Calibri"/>
                <w:b/>
                <w:bCs/>
                <w:color w:val="FFFFFF"/>
                <w:sz w:val="16"/>
                <w:szCs w:val="16"/>
                <w:vertAlign w:val="superscript"/>
              </w:rPr>
              <w:t>a</w:t>
            </w:r>
            <w:r w:rsidR="007F5C1B" w:rsidRPr="009A501D">
              <w:rPr>
                <w:rFonts w:ascii="Century Gothic" w:hAnsi="Century Gothic" w:cs="Calibri"/>
                <w:b/>
                <w:bCs/>
                <w:color w:val="FFFFFF"/>
                <w:sz w:val="16"/>
                <w:szCs w:val="16"/>
                <w:vertAlign w:val="superscript"/>
              </w:rPr>
              <w:t>/</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984F6FA" w14:textId="297886C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2021</w:t>
            </w:r>
            <w:r w:rsidRPr="009A501D">
              <w:rPr>
                <w:rFonts w:ascii="Century Gothic" w:hAnsi="Century Gothic" w:cs="Calibri"/>
                <w:b/>
                <w:bCs/>
                <w:color w:val="FFFFFF"/>
                <w:sz w:val="16"/>
                <w:szCs w:val="16"/>
                <w:vertAlign w:val="superscript"/>
              </w:rPr>
              <w:t>a</w:t>
            </w:r>
            <w:r w:rsidR="007F5C1B" w:rsidRPr="009A501D">
              <w:rPr>
                <w:rFonts w:ascii="Century Gothic" w:hAnsi="Century Gothic" w:cs="Calibri"/>
                <w:b/>
                <w:bCs/>
                <w:color w:val="FFFFFF"/>
                <w:sz w:val="16"/>
                <w:szCs w:val="16"/>
                <w:vertAlign w:val="superscript"/>
              </w:rPr>
              <w:t>/</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D03A30C" w14:textId="4ECFD3E4"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bCs/>
                <w:color w:val="FFFFFF"/>
                <w:sz w:val="16"/>
                <w:szCs w:val="16"/>
              </w:rPr>
              <w:t>2022</w:t>
            </w:r>
            <w:r w:rsidRPr="009A501D">
              <w:rPr>
                <w:rFonts w:ascii="Century Gothic" w:hAnsi="Century Gothic" w:cs="Calibri"/>
                <w:b/>
                <w:bCs/>
                <w:color w:val="FFFFFF"/>
                <w:sz w:val="16"/>
                <w:szCs w:val="16"/>
                <w:vertAlign w:val="superscript"/>
              </w:rPr>
              <w:t>a</w:t>
            </w:r>
            <w:r w:rsidR="007F5C1B" w:rsidRPr="009A501D">
              <w:rPr>
                <w:rFonts w:ascii="Century Gothic" w:hAnsi="Century Gothic" w:cs="Calibri"/>
                <w:b/>
                <w:bCs/>
                <w:color w:val="FFFFFF"/>
                <w:sz w:val="16"/>
                <w:szCs w:val="16"/>
                <w:vertAlign w:val="superscript"/>
              </w:rPr>
              <w:t>/</w:t>
            </w:r>
          </w:p>
        </w:tc>
        <w:tc>
          <w:tcPr>
            <w:tcW w:w="224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2F92CF1D" w14:textId="50876561"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imputación (ponderada)</w:t>
            </w:r>
          </w:p>
        </w:tc>
        <w:tc>
          <w:tcPr>
            <w:tcW w:w="20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tcMar>
              <w:top w:w="15" w:type="dxa"/>
              <w:left w:w="15" w:type="dxa"/>
              <w:bottom w:w="0" w:type="dxa"/>
              <w:right w:w="15" w:type="dxa"/>
            </w:tcMar>
            <w:vAlign w:val="center"/>
            <w:hideMark/>
          </w:tcPr>
          <w:p w14:paraId="2E205784"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Tasa de Cumplimiento de la Muestra Mínima</w:t>
            </w:r>
          </w:p>
        </w:tc>
      </w:tr>
      <w:tr w:rsidR="005A1399" w:rsidRPr="009A501D" w14:paraId="69DBFB3C" w14:textId="77777777" w:rsidTr="00A64D97">
        <w:trPr>
          <w:trHeight w:val="284"/>
          <w:tblHeade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D97F7A"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FC40F7"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550ECF"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25F530"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3C120C"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8D2781"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317534"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6A10C0" w14:textId="77777777" w:rsidR="005A1399" w:rsidRPr="009A501D" w:rsidRDefault="005A1399" w:rsidP="007F5C1B">
            <w:pPr>
              <w:spacing w:after="0" w:line="240" w:lineRule="auto"/>
              <w:jc w:val="center"/>
              <w:rPr>
                <w:rFonts w:ascii="Century Gothic" w:hAnsi="Century Gothic" w:cs="Calibri"/>
                <w:b/>
                <w:color w:val="FFFFFF"/>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05116CD2"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08886A51"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7463577A"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221FCA0D"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38970966"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15505C22"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46EB422B"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002060"/>
            <w:noWrap/>
            <w:tcMar>
              <w:top w:w="15" w:type="dxa"/>
              <w:left w:w="15" w:type="dxa"/>
              <w:bottom w:w="0" w:type="dxa"/>
              <w:right w:w="15" w:type="dxa"/>
            </w:tcMar>
            <w:vAlign w:val="center"/>
            <w:hideMark/>
          </w:tcPr>
          <w:p w14:paraId="4A563FD7" w14:textId="77777777" w:rsidR="005A1399" w:rsidRPr="009A501D" w:rsidRDefault="005A1399" w:rsidP="007F5C1B">
            <w:pPr>
              <w:spacing w:after="0" w:line="240" w:lineRule="auto"/>
              <w:jc w:val="center"/>
              <w:rPr>
                <w:rFonts w:ascii="Century Gothic" w:hAnsi="Century Gothic" w:cs="Calibri"/>
                <w:b/>
                <w:color w:val="FFFFFF"/>
                <w:sz w:val="16"/>
                <w:szCs w:val="16"/>
              </w:rPr>
            </w:pPr>
            <w:r w:rsidRPr="009A501D">
              <w:rPr>
                <w:rFonts w:ascii="Century Gothic" w:hAnsi="Century Gothic" w:cs="Calibri"/>
                <w:b/>
                <w:color w:val="FFFFFF"/>
                <w:sz w:val="16"/>
                <w:szCs w:val="16"/>
              </w:rPr>
              <w:t>2022</w:t>
            </w:r>
          </w:p>
        </w:tc>
      </w:tr>
      <w:tr w:rsidR="005A1399" w:rsidRPr="009A501D" w14:paraId="4D3ACADE"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7422EB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Sexenal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10747B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56655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ENSANUT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07B5145" w14:textId="54AB02AA"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5E970B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794DD0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EF3A8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A4BAE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2A3582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F78E1DF" w14:textId="3C7D7791" w:rsidR="005A1399" w:rsidRPr="009A501D" w:rsidRDefault="007F5C1B"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B7E19D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B1B09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CF2FE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6E3FA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98C0DF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003D4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r>
      <w:tr w:rsidR="005A1399" w:rsidRPr="009A501D" w14:paraId="55C128CE"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38581D6"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Quinquenal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3D2CAC2"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B92A0E"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ENUT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28F09B2" w14:textId="3F92104B"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473A46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376690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0A8A73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24734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E67336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2BAA45" w14:textId="0211209A"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E2FE73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C6142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FF061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995A7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731B88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81706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63E77330"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E47526E"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Quinquenal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1323FD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C915DE"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ENDIREH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58C6E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8D3834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60223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0CA51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427384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FA6E77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10A9AB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DF550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CE880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451FC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4E0E7B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2629D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A1F756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106%</w:t>
            </w:r>
          </w:p>
        </w:tc>
      </w:tr>
      <w:tr w:rsidR="005A1399" w:rsidRPr="009A501D" w14:paraId="2F529B33"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3AEDE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CC66FB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3B9B34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ENASEM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1F69CE" w14:textId="6187F399"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E2AFAD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E5353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1373A2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BF96D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70B267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1CFE4C5" w14:textId="6AB58C09"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F883A3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2E82A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B5855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D7FF1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761AD2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3DB4E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2D53E285"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18C8B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D928D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A008C75"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ENIF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21941D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E00A18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942E8D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6EAECD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8D26F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B1C74F3" w14:textId="53B1C8C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BF4FF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6C823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CC41A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6FED2E4" w14:textId="2520EF55"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ED7C6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9C938F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79BC14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r>
      <w:tr w:rsidR="005A1399" w:rsidRPr="009A501D" w14:paraId="63B27081"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625D4A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5C817B"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BE031F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ECRIGE-CDMX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2E981F6" w14:textId="37991311"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32B7AC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61312C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C3E98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AE3CC3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01D6B5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AAAB0A" w14:textId="07C18CA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70635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9FF01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CAD3B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528C4C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121A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8CA56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0E3F6C06"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F92EA0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287D8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664C1B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ENAID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6783BD" w14:textId="067D4EE4"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35947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8CA86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124C90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B414DC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351167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D7D142" w14:textId="55FF471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83BEB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B399A3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BDD77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A322C0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1D0D0B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2E45FE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42B96DC9"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1FCC85"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F5C67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DGIAI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7CC576A"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ENBIARE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5426B94" w14:textId="104840E5"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025E01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12853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98E0F2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E872E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58E08F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FB239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191C168" w14:textId="32354F0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B5935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3E335C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9392E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7664F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F0BCCB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293B9B17"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EB581A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3C9286"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CE263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ENIGH_T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99D492D" w14:textId="3EEE5048"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20D0F7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A1783C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327359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23EF86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CD7E5C" w14:textId="0E3EF129"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75669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4EC9CAC" w14:textId="35E561F5"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4433DB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A3570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4F185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6679A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56F68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0ADADB0B"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EB98E3B"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925535"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BDBC22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ENCIG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B3005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621FF9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15673A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A0CCC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DCBDC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69E3D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57B4A9" w14:textId="5E9B3C4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BA784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A5478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1B6237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7B7E2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3A248B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3CBC1E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r>
      <w:tr w:rsidR="005A1399" w:rsidRPr="009A501D" w14:paraId="00652B7D"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911EED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Bienal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00490A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2D9196"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ENVE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136EF32"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834AD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DB401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C35D93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DA00C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E5D5D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ED2942A" w14:textId="1B82A2D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8B0CF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47E17F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69E7D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F135FF" w14:textId="678577D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9B1454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0BAFC1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124%</w:t>
            </w:r>
          </w:p>
        </w:tc>
      </w:tr>
      <w:tr w:rsidR="005A1399" w:rsidRPr="009A501D" w14:paraId="5DBE81EF"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44211E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5B6C82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296F96"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0AAAB2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E74D2F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2CDC80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B7FE29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42505E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B609EEC" w14:textId="27C37F4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4BDB76D" w14:textId="1048813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D32957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9C809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6FD3D6C" w14:textId="7CDD9E6C"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2A5704" w14:textId="54896DBA"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F58F4D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B4D0E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91%</w:t>
            </w:r>
          </w:p>
        </w:tc>
      </w:tr>
      <w:tr w:rsidR="005A1399" w:rsidRPr="009A501D" w14:paraId="3238F9AB"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8B961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0B1D7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3766852"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08D08E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9C3E9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E1A268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C451D0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77657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97D6559" w14:textId="2B7E462C"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A5C14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3F39DC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3F79F0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9B8B14" w14:textId="6D541924"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33374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0664A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50E39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7B6EAF22"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ECEE3B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202F86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701BE6B"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EAIM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F31811"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EF0E2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DFDEC8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223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168613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6586B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DED11BC" w14:textId="3F3B5999"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ACE520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82E521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40F9A3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59B03DF" w14:textId="22985C8F"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6F0531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B03B0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D437D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r>
      <w:tr w:rsidR="005A1399" w:rsidRPr="009A501D" w14:paraId="501D40DC"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041938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EC481E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3B90E3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EASPNF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62C811"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1A2129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1AFD93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22DBD5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90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FC5BE0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90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18AD8C" w14:textId="50E1412D"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DC6AFE0" w14:textId="251CF55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55D9F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97143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F08DFA" w14:textId="6E6EFA7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7838889" w14:textId="08DE002B"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C19CC0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B4333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6FA0D0EB"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D4E122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1A96DE"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21A876F"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EAT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ECA7D6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93A78B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336E91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C97F50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CA1300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EBC0C0D" w14:textId="238C305F"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F273F91" w14:textId="2CB2162D"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BE66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66C721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628872" w14:textId="55DC20B8"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41942F3" w14:textId="4A279B25"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2A2D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519F38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90%</w:t>
            </w:r>
          </w:p>
        </w:tc>
      </w:tr>
      <w:tr w:rsidR="005A1399" w:rsidRPr="009A501D" w14:paraId="132606EE"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77BB4C5"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FD2A48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FEF3B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ECIS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5D95693"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DDB391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E2A129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178ED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CF5DC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F4D009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1D942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C86A9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0ADE9F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AF56AA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09F5F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2DE86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538E7E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109%</w:t>
            </w:r>
          </w:p>
        </w:tc>
      </w:tr>
      <w:tr w:rsidR="005A1399" w:rsidRPr="009A501D" w14:paraId="7C3461DB"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4E482C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D7A97A3"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1825A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ENDUTIH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0693E8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0917A9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19DFA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3A6FFB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ACB95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550133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BFE8E3C" w14:textId="495CE808"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FA3586E" w14:textId="4F93660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8845C7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DCE9C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020E8E" w14:textId="119B72DB"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F51016" w14:textId="6074FEF9"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77062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r>
      <w:tr w:rsidR="005A1399" w:rsidRPr="009A501D" w14:paraId="5DF9A14B"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09AFE4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519BD0A"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775FAE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276627" w14:textId="578AB1BF"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686D82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E1E74C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171F93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C736CE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326C327" w14:textId="10CE6D28"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11956B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211A2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F623C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1C87F69" w14:textId="24ECC51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CCB65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7CD1C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875CA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701AF673"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CADB06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5570C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ED46AD1"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MODECULT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612BCA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7DD104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C6BFB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B6ECB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1A3D25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4CA283B" w14:textId="1AAF28C3"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A762F3B" w14:textId="50920044"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2FED56F" w14:textId="6CB4F01C"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54EC57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FB0EC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F737F6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EB5D5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C68EB6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14219F71"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56D908A"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74ED43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6308398"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MOLEC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E3545D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CC5515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8CDBF8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39B14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52C7B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AC45F91" w14:textId="7D124E1A"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931E55" w14:textId="59C0B21F"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FF88DC" w14:textId="14FE24F9"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E321B9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5853A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8D2C1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E2529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D864C1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102%</w:t>
            </w:r>
          </w:p>
        </w:tc>
      </w:tr>
      <w:tr w:rsidR="005A1399" w:rsidRPr="009A501D" w14:paraId="1C25A2FB"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8EE756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F1B224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EFF9FB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MOPRADEF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9E1A3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60DD2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2107F2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DEAC32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24E5E2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37FD377" w14:textId="5F8A6D6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E06462" w14:textId="3186C233"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077C982" w14:textId="193ACBFB"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7A6C2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992D0AD" w14:textId="20D4126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05C80E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7C8C6F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C852D3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r>
      <w:tr w:rsidR="005A1399" w:rsidRPr="009A501D" w14:paraId="7E81DC74"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EA299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44B28E1"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6C061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ENVIPE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532B61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57F5A8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1BFE6C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A05009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CF45F5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FA9FB1" w14:textId="46481A9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CD1247" w14:textId="64E4C7C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432AD9" w14:textId="43A5D822"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3CFA6D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3F6D8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C5A9AF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AF76FA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838B4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108%</w:t>
            </w:r>
          </w:p>
        </w:tc>
      </w:tr>
      <w:tr w:rsidR="005A1399" w:rsidRPr="009A501D" w14:paraId="40BA9F10"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6F355E9"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Anual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33AA94"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923CEEC"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MOCIBA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DC627C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5F1A4C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4C820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C24FE71" w14:textId="4F2E173E" w:rsidR="005A1399" w:rsidRPr="009A501D" w:rsidRDefault="007F5C1B"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241FBD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867F35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EF81A8" w14:textId="154D141C"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D4E128D" w14:textId="7F7B77E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2A834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4FA8B9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AC9E910" w14:textId="70A08A92"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FED00C" w14:textId="0C026B4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0802FE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108%</w:t>
            </w:r>
          </w:p>
        </w:tc>
      </w:tr>
      <w:tr w:rsidR="005A1399" w:rsidRPr="009A501D" w14:paraId="5A53C85A"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75031A"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E04D190"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DGIAI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9E8685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BIARE</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73F7A227" w14:textId="62CFB04A"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IV/2021</w:t>
            </w:r>
            <w:r w:rsidRPr="009A501D">
              <w:rPr>
                <w:rFonts w:ascii="Century Gothic" w:hAnsi="Century Gothic" w:cs="Calibri"/>
                <w:color w:val="000000"/>
                <w:sz w:val="16"/>
                <w:szCs w:val="16"/>
              </w:rPr>
              <w:br/>
              <w:t>I,</w:t>
            </w:r>
            <w:r w:rsidR="00FA6F62"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w:t>
            </w:r>
            <w:r w:rsidR="00FA6F62"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III/2022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E14961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6D0091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5F98B8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16986B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62E74F" w14:textId="70EB9A14"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550BC3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551167F" w14:textId="4D5CD273"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D8C6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141179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932ED7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1CC165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81DEF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r>
      <w:tr w:rsidR="005A1399" w:rsidRPr="009A501D" w14:paraId="6054464A"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B3A12FD"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lastRenderedPageBreak/>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DF75C22"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5967797" w14:textId="77777777" w:rsidR="005A1399" w:rsidRPr="009A501D" w:rsidRDefault="005A1399" w:rsidP="00FA6F62">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ENIGH_E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876C3A2" w14:textId="7ED1D32F" w:rsidR="005A1399" w:rsidRPr="009A501D" w:rsidRDefault="005A1399" w:rsidP="00FA6F62">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F3BE75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8276F2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BE087A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FC20DD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29A56C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5FF465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D3A46BB" w14:textId="5F8B1D0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B846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B78830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94715D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71D5D0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C85B3E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2A716F09"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C1971E8"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7338FC6"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01F6524"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ENOE-NE</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3F77D11F" w14:textId="3D5B58DE"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IV/2021</w:t>
            </w:r>
            <w:r w:rsidRPr="009A501D">
              <w:rPr>
                <w:rFonts w:ascii="Century Gothic" w:hAnsi="Century Gothic" w:cs="Calibri"/>
                <w:color w:val="000000"/>
                <w:sz w:val="16"/>
                <w:szCs w:val="16"/>
              </w:rPr>
              <w:br/>
              <w:t>I,</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III/2022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29E713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546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696A5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20C00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288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972B5A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0AF0EC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6D7871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677007" w14:textId="59C9A17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C41861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C33B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4C8378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07BF8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4AF3A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2D4F8E54"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BD764C"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Trimestral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B702D21"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9803DE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ENSU</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15" w:type="dxa"/>
              <w:left w:w="15" w:type="dxa"/>
              <w:bottom w:w="0" w:type="dxa"/>
              <w:right w:w="15" w:type="dxa"/>
            </w:tcMar>
            <w:vAlign w:val="center"/>
            <w:hideMark/>
          </w:tcPr>
          <w:p w14:paraId="57D49F83" w14:textId="158C2789"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IV/2021</w:t>
            </w:r>
            <w:r w:rsidRPr="009A501D">
              <w:rPr>
                <w:rFonts w:ascii="Century Gothic" w:hAnsi="Century Gothic" w:cs="Calibri"/>
                <w:color w:val="000000"/>
                <w:sz w:val="16"/>
                <w:szCs w:val="16"/>
              </w:rPr>
              <w:br/>
              <w:t>I,</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III/2022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2F84C7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A995B7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255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5620C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349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B34F9A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365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A5ADA82" w14:textId="7D0B03D4"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A7D6857" w14:textId="2B6D625A"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18DDDF" w14:textId="5129122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D048F0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2F0B3C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2E7D4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D89541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6C499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105%</w:t>
            </w:r>
          </w:p>
        </w:tc>
      </w:tr>
      <w:tr w:rsidR="005A1399" w:rsidRPr="009A501D" w14:paraId="1533DA41"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0140501"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B10E50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30474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EMEC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212BCFCE" w14:textId="6558272C"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…,10/2022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CFD73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656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8060D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520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00F648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991769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492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C80A63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74E45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568DA7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290C5B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6FCEA5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FB62F8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B49D21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0D8F0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r>
      <w:tr w:rsidR="005A1399" w:rsidRPr="009A501D" w14:paraId="64217878"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148AEA2"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60271C"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FC94818"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EMIM</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15" w:type="dxa"/>
              <w:left w:w="15" w:type="dxa"/>
              <w:bottom w:w="0" w:type="dxa"/>
              <w:right w:w="15" w:type="dxa"/>
            </w:tcMar>
            <w:vAlign w:val="center"/>
            <w:hideMark/>
          </w:tcPr>
          <w:p w14:paraId="17DFADBE" w14:textId="178AB3B8"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…,10/2022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B19109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3584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B9E3E0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2676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BE965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2688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A9A74D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2688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281A29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2475B1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67D575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18C9F5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C9944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24B946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8884CD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FF8BAC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541F7423"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17852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5D43F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068B71"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EMOE COM</w:t>
            </w:r>
          </w:p>
        </w:tc>
        <w:tc>
          <w:tcPr>
            <w:tcW w:w="130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5F2046EA" w14:textId="63A79A64"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…,11/2022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4D692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C8F24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004B06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EF0CC0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D08D4D" w14:textId="580B466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9C98B8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F9A71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15%</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B8CAF8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F364CB2" w14:textId="57E2EC4F"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129182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90D26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EE3CC4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94%</w:t>
            </w:r>
          </w:p>
        </w:tc>
      </w:tr>
      <w:tr w:rsidR="005A1399" w:rsidRPr="009A501D" w14:paraId="75C44DEF"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5B74818"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3559157"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4B5A187"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EMOE CONS</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0299AD" w14:textId="77777777"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9CE4F5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AC5F5F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793A2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B9B487" w14:textId="77777777" w:rsidR="005A1399" w:rsidRPr="009A501D" w:rsidRDefault="005A1399" w:rsidP="007F5C1B">
            <w:pPr>
              <w:spacing w:after="0" w:line="240" w:lineRule="auto"/>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F4F7344" w14:textId="397E68D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05B17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3764A8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22%</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15A8F4" w14:textId="77777777" w:rsidR="005A1399" w:rsidRPr="009A501D" w:rsidRDefault="005A1399" w:rsidP="007F5C1B">
            <w:pPr>
              <w:spacing w:after="0" w:line="240" w:lineRule="auto"/>
              <w:rPr>
                <w:rFonts w:ascii="Century Gothic" w:hAnsi="Century Gothic" w:cs="Calibri"/>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FF9445" w14:textId="616D85D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8E810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9C18AE2"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93%</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F9AF3C" w14:textId="77777777" w:rsidR="005A1399" w:rsidRPr="009A501D" w:rsidRDefault="005A1399" w:rsidP="007F5C1B">
            <w:pPr>
              <w:spacing w:after="0" w:line="240" w:lineRule="auto"/>
              <w:rPr>
                <w:rFonts w:ascii="Century Gothic" w:hAnsi="Century Gothic" w:cs="Calibri"/>
                <w:sz w:val="16"/>
                <w:szCs w:val="16"/>
              </w:rPr>
            </w:pPr>
          </w:p>
        </w:tc>
      </w:tr>
      <w:tr w:rsidR="005A1399" w:rsidRPr="009A501D" w14:paraId="0B3AF936"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6EED26C"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0B31C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F828AF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EMOE MAN</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1B2656" w14:textId="77777777"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29A98F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FEA3E5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867C72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96</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04F50AD" w14:textId="77777777" w:rsidR="005A1399" w:rsidRPr="009A501D" w:rsidRDefault="005A1399" w:rsidP="007F5C1B">
            <w:pPr>
              <w:spacing w:after="0" w:line="240" w:lineRule="auto"/>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D6B0D9" w14:textId="1D39633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04B50E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46C2A4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49EB6A4" w14:textId="77777777" w:rsidR="005A1399" w:rsidRPr="009A501D" w:rsidRDefault="005A1399" w:rsidP="007F5C1B">
            <w:pPr>
              <w:spacing w:after="0" w:line="240" w:lineRule="auto"/>
              <w:rPr>
                <w:rFonts w:ascii="Century Gothic" w:hAnsi="Century Gothic" w:cs="Calibri"/>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7D18B0B" w14:textId="3C18717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CCFFA3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1BDF1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EE3FBAC" w14:textId="77777777" w:rsidR="005A1399" w:rsidRPr="009A501D" w:rsidRDefault="005A1399" w:rsidP="007F5C1B">
            <w:pPr>
              <w:spacing w:after="0" w:line="240" w:lineRule="auto"/>
              <w:rPr>
                <w:rFonts w:ascii="Century Gothic" w:hAnsi="Century Gothic" w:cs="Calibri"/>
                <w:sz w:val="16"/>
                <w:szCs w:val="16"/>
              </w:rPr>
            </w:pPr>
          </w:p>
        </w:tc>
      </w:tr>
      <w:tr w:rsidR="005A1399" w:rsidRPr="009A501D" w14:paraId="28A9C87E"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0774CA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BC594A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5E5157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EMOE SER</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769DE0" w14:textId="77777777"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193741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D873E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AE3934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84</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95D846" w14:textId="77777777" w:rsidR="005A1399" w:rsidRPr="009A501D" w:rsidRDefault="005A1399" w:rsidP="007F5C1B">
            <w:pPr>
              <w:spacing w:after="0" w:line="240" w:lineRule="auto"/>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96A1DC" w14:textId="35CB980B"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FCC6A1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0F914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24%</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465513" w14:textId="77777777" w:rsidR="005A1399" w:rsidRPr="009A501D" w:rsidRDefault="005A1399" w:rsidP="007F5C1B">
            <w:pPr>
              <w:spacing w:after="0" w:line="240" w:lineRule="auto"/>
              <w:rPr>
                <w:rFonts w:ascii="Century Gothic" w:hAnsi="Century Gothic" w:cs="Calibri"/>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53A776C" w14:textId="0929CC41"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04229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CAF86C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91%</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D208D6" w14:textId="77777777" w:rsidR="005A1399" w:rsidRPr="009A501D" w:rsidRDefault="005A1399" w:rsidP="007F5C1B">
            <w:pPr>
              <w:spacing w:after="0" w:line="240" w:lineRule="auto"/>
              <w:rPr>
                <w:rFonts w:ascii="Century Gothic" w:hAnsi="Century Gothic" w:cs="Calibri"/>
                <w:sz w:val="16"/>
                <w:szCs w:val="16"/>
              </w:rPr>
            </w:pPr>
          </w:p>
        </w:tc>
      </w:tr>
      <w:tr w:rsidR="005A1399" w:rsidRPr="009A501D" w14:paraId="067CE30F"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47D5FF2"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8D6760C"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67B6780"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EMS</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073E7BBC" w14:textId="7A882566"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…,10/2022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31D93C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1648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BBAAF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A998B0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2328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F76CA0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2328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B325E5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65B097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D8752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B6885D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31%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3E3DF8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03F8A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B6786C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AB0F7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95%</w:t>
            </w:r>
          </w:p>
        </w:tc>
      </w:tr>
      <w:tr w:rsidR="005A1399" w:rsidRPr="009A501D" w14:paraId="46DDF961"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01F6AF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57B8F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05F7B6D"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ENEC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15" w:type="dxa"/>
              <w:left w:w="15" w:type="dxa"/>
              <w:bottom w:w="0" w:type="dxa"/>
              <w:right w:w="15" w:type="dxa"/>
            </w:tcMar>
            <w:vAlign w:val="center"/>
            <w:hideMark/>
          </w:tcPr>
          <w:p w14:paraId="7A0EE673" w14:textId="779D87FF"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…,10/2022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8ABD28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576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2B8252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D77795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B77668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432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EA469E3" w14:textId="0B307D1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47EE93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3C6460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878C95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CCFF54D" w14:textId="2AC15722"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10272C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5F8F9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B7C33D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100%</w:t>
            </w:r>
          </w:p>
        </w:tc>
      </w:tr>
      <w:tr w:rsidR="005A1399" w:rsidRPr="009A501D" w14:paraId="51BD6A48"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CB4C72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E48A62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41B7D49"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ENCO</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15" w:type="dxa"/>
              <w:left w:w="15" w:type="dxa"/>
              <w:bottom w:w="0" w:type="dxa"/>
              <w:right w:w="15" w:type="dxa"/>
            </w:tcMar>
            <w:vAlign w:val="center"/>
            <w:hideMark/>
          </w:tcPr>
          <w:p w14:paraId="3DA2462B" w14:textId="07B84056"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…,11/2022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56AA1A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C79EA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31EBF4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9D6A6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B08AAB1" w14:textId="52510530"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6893313" w14:textId="19B6B14D"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793385" w14:textId="2F512A5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CBA6A6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691D43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386AB5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687B3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99%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4C509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6B8EDDA6"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AA31E80"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Mensual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D6063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3BA4806"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ENOE</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15" w:type="dxa"/>
              <w:left w:w="15" w:type="dxa"/>
              <w:bottom w:w="0" w:type="dxa"/>
              <w:right w:w="15" w:type="dxa"/>
            </w:tcMar>
            <w:vAlign w:val="center"/>
            <w:hideMark/>
          </w:tcPr>
          <w:p w14:paraId="5C69DD4D" w14:textId="15EA2ACC"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12/2021</w:t>
            </w:r>
            <w:r w:rsidRPr="009A501D">
              <w:rPr>
                <w:rFonts w:ascii="Century Gothic" w:hAnsi="Century Gothic" w:cs="Calibri"/>
                <w:color w:val="000000"/>
                <w:sz w:val="16"/>
                <w:szCs w:val="16"/>
              </w:rPr>
              <w:br/>
              <w:t>1,</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2,</w:t>
            </w:r>
            <w:r w:rsidR="00224E0F" w:rsidRPr="009A501D">
              <w:rPr>
                <w:rFonts w:ascii="Century Gothic" w:hAnsi="Century Gothic" w:cs="Calibri"/>
                <w:color w:val="000000"/>
                <w:sz w:val="16"/>
                <w:szCs w:val="16"/>
              </w:rPr>
              <w:t xml:space="preserve"> </w:t>
            </w:r>
            <w:r w:rsidRPr="009A501D">
              <w:rPr>
                <w:rFonts w:ascii="Century Gothic" w:hAnsi="Century Gothic" w:cs="Calibri"/>
                <w:color w:val="000000"/>
                <w:sz w:val="16"/>
                <w:szCs w:val="16"/>
              </w:rPr>
              <w:t>…,11/2022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5BCBF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0AD437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200DEB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66C700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864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9120E04" w14:textId="295CB20B"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4B081A7" w14:textId="4963979E"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26AA11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B386E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54B8D6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E7BD94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04BF34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CC0CD3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r>
      <w:tr w:rsidR="005A1399" w:rsidRPr="009A501D" w14:paraId="25A17860"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2DA1B7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5DAA1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52C463"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ENAFIN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450539"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4E62DE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7BDAB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382C2F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A7DB2B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3E6A3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C7E190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C93C35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BBAB71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50F451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5D9C1A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E6A55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460EE4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122%</w:t>
            </w:r>
          </w:p>
        </w:tc>
      </w:tr>
      <w:tr w:rsidR="005A1399" w:rsidRPr="009A501D" w14:paraId="6EC78C41"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93D444"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4302E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DD43037"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ENAPE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04A79F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4358CE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56AB4F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9ADFD30"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2D70BE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EEF90B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7900F2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CA33FD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DD5C73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D478EB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D3A321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CA02D4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7F64BD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18%</w:t>
            </w:r>
          </w:p>
        </w:tc>
      </w:tr>
      <w:tr w:rsidR="005A1399" w:rsidRPr="009A501D" w14:paraId="66F1B7E0"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85C9910"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68F9F8"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D4A5C03"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ENDISEG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8B8AC6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BB49BC"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08620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A47664"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35E8C6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D3C4BF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3B1DB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FEEFCC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E63F9F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C786D5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308685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496DBF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A818C5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102%</w:t>
            </w:r>
          </w:p>
        </w:tc>
      </w:tr>
      <w:tr w:rsidR="005A1399" w:rsidRPr="009A501D" w14:paraId="249A0D79"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227F72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41406D"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C51645A"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ENFIH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838080" w14:textId="36952C4F"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4E583F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058AC7"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3A9D68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597B18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782D35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0F1E8F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B837FC9" w14:textId="3333E2C5"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ECA0801"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7A1DAD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7563B9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238A12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88%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8BA08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4E164E53"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50397CC"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E359D5"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DFA095B"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ENVI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C45E51E" w14:textId="13D1A14D"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073698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6A3E0F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7F95E4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4A2DD1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7090C5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12AE33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55B494A" w14:textId="63FD7345"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A17580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C99BF18"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144C36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609FFE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8ABB39C"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22712640"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8C79A26"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C716F09"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6BD6DD6"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ECADEFI-CHIH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C2B5BBE"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66B8049"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525388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FF65BD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92F6922"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AE0FF3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4ABADDB"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939925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0AFB6A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FFFBE9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40C74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D2AF62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431B81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0BC7C6B2"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9D5266F"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1307194"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A81FAE8"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ENCRIGE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7835C57" w14:textId="6C25CF33"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57A4913"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F524515"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230EEA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413798"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2FE866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977028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A79D40" w14:textId="52B61907"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A48754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8C89E4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36DEB1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AE048D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95638A4"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33490473" w14:textId="77777777" w:rsidTr="00A64D9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A1E4959"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6F09507"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16920224"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ENCUCI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A68D553" w14:textId="018ADBA1"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2CCBE7A"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3B4026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BCCBFBF"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08E4E12D"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F9F263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27899533"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642D861D" w14:textId="086448A6"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417EF66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3EBFAE8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5A97341A"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5B6B916"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108%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top w:w="15" w:type="dxa"/>
              <w:left w:w="15" w:type="dxa"/>
              <w:bottom w:w="0" w:type="dxa"/>
              <w:right w:w="15" w:type="dxa"/>
            </w:tcMar>
            <w:vAlign w:val="center"/>
            <w:hideMark/>
          </w:tcPr>
          <w:p w14:paraId="7DE7738E"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r w:rsidR="005A1399" w:rsidRPr="009A501D" w14:paraId="68C96865" w14:textId="77777777" w:rsidTr="009D02D7">
        <w:trPr>
          <w:trHeight w:val="284"/>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3C7EFB"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No determinado</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2E01670"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DGEGSPJ</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9C98374" w14:textId="77777777" w:rsidR="005A1399" w:rsidRPr="009A501D" w:rsidRDefault="005A1399" w:rsidP="008222D3">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ENPOL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02C4DEE6" w14:textId="47186BF5" w:rsidR="005A1399" w:rsidRPr="009A501D" w:rsidRDefault="005A1399" w:rsidP="008222D3">
            <w:pPr>
              <w:spacing w:after="0" w:line="240" w:lineRule="auto"/>
              <w:jc w:val="center"/>
              <w:rPr>
                <w:rFonts w:ascii="Century Gothic" w:hAnsi="Century Gothic"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5A7C44B"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20224791"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E2059BE"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A1FC696" w14:textId="77777777" w:rsidR="005A1399" w:rsidRPr="009A501D" w:rsidRDefault="005A1399" w:rsidP="007F5C1B">
            <w:pPr>
              <w:spacing w:after="0" w:line="240" w:lineRule="auto"/>
              <w:jc w:val="center"/>
              <w:rPr>
                <w:rFonts w:ascii="Century Gothic" w:hAnsi="Century Gothic" w:cs="Calibri"/>
                <w:color w:val="000000"/>
                <w:sz w:val="16"/>
                <w:szCs w:val="16"/>
              </w:rPr>
            </w:pPr>
            <w:r w:rsidRPr="009A501D">
              <w:rPr>
                <w:rFonts w:ascii="Century Gothic" w:hAnsi="Century Gothic" w:cs="Calibri"/>
                <w:color w:val="000000"/>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501225EF"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3461990"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134F9E0E" w14:textId="6185307A" w:rsidR="005A1399" w:rsidRPr="009A501D" w:rsidRDefault="007F5C1B"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NR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06F3269"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74EDD03D"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625ABC27"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4DF1181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112%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15" w:type="dxa"/>
              <w:left w:w="15" w:type="dxa"/>
              <w:bottom w:w="0" w:type="dxa"/>
              <w:right w:w="15" w:type="dxa"/>
            </w:tcMar>
            <w:vAlign w:val="center"/>
            <w:hideMark/>
          </w:tcPr>
          <w:p w14:paraId="3535B765" w14:textId="77777777" w:rsidR="005A1399" w:rsidRPr="009A501D" w:rsidRDefault="005A1399" w:rsidP="007F5C1B">
            <w:pPr>
              <w:spacing w:after="0" w:line="240" w:lineRule="auto"/>
              <w:jc w:val="center"/>
              <w:rPr>
                <w:rFonts w:ascii="Century Gothic" w:hAnsi="Century Gothic" w:cs="Calibri"/>
                <w:sz w:val="16"/>
                <w:szCs w:val="16"/>
              </w:rPr>
            </w:pPr>
            <w:r w:rsidRPr="009A501D">
              <w:rPr>
                <w:rFonts w:ascii="Century Gothic" w:hAnsi="Century Gothic" w:cs="Calibri"/>
                <w:sz w:val="16"/>
                <w:szCs w:val="16"/>
              </w:rPr>
              <w:t>-</w:t>
            </w:r>
          </w:p>
        </w:tc>
      </w:tr>
    </w:tbl>
    <w:p w14:paraId="11B6C834" w14:textId="77777777" w:rsidR="005A1399" w:rsidRPr="009A501D" w:rsidRDefault="005A1399" w:rsidP="00224E0F">
      <w:pPr>
        <w:spacing w:after="0"/>
        <w:ind w:firstLine="1276"/>
        <w:jc w:val="both"/>
        <w:rPr>
          <w:rFonts w:ascii="Century Gothic" w:hAnsi="Century Gothic" w:cstheme="minorHAnsi"/>
          <w:sz w:val="14"/>
          <w:szCs w:val="14"/>
        </w:rPr>
      </w:pPr>
      <w:r w:rsidRPr="009A501D">
        <w:rPr>
          <w:rFonts w:ascii="Century Gothic" w:hAnsi="Century Gothic" w:cstheme="minorHAnsi"/>
          <w:sz w:val="14"/>
          <w:szCs w:val="14"/>
          <w:vertAlign w:val="superscript"/>
        </w:rPr>
        <w:t>a/</w:t>
      </w:r>
      <w:r w:rsidRPr="009A501D">
        <w:rPr>
          <w:rFonts w:ascii="Century Gothic" w:hAnsi="Century Gothic" w:cstheme="minorHAnsi"/>
          <w:sz w:val="14"/>
          <w:szCs w:val="14"/>
        </w:rPr>
        <w:t xml:space="preserve"> Incluye todos los dominios y niveles de agregación.</w:t>
      </w:r>
    </w:p>
    <w:p w14:paraId="2C2B40BE" w14:textId="016EC05A" w:rsidR="005A1399" w:rsidRPr="009A501D" w:rsidRDefault="00224E0F" w:rsidP="00224E0F">
      <w:pPr>
        <w:spacing w:after="0"/>
        <w:ind w:firstLine="1276"/>
        <w:jc w:val="both"/>
        <w:rPr>
          <w:rFonts w:ascii="Century Gothic" w:hAnsi="Century Gothic" w:cstheme="minorHAnsi"/>
          <w:sz w:val="14"/>
          <w:szCs w:val="14"/>
        </w:rPr>
      </w:pPr>
      <w:r w:rsidRPr="009A501D">
        <w:rPr>
          <w:rFonts w:ascii="Century Gothic" w:hAnsi="Century Gothic" w:cstheme="minorHAnsi"/>
          <w:sz w:val="14"/>
          <w:szCs w:val="14"/>
        </w:rPr>
        <w:t>NR</w:t>
      </w:r>
      <w:r w:rsidR="005A1399" w:rsidRPr="009A501D">
        <w:rPr>
          <w:rFonts w:ascii="Century Gothic" w:hAnsi="Century Gothic" w:cstheme="minorHAnsi"/>
          <w:sz w:val="14"/>
          <w:szCs w:val="14"/>
        </w:rPr>
        <w:t>: no reportado.</w:t>
      </w:r>
    </w:p>
    <w:p w14:paraId="125F884D" w14:textId="7C0E9EAE" w:rsidR="005A1399" w:rsidRPr="009A501D" w:rsidRDefault="005A1399" w:rsidP="00224E0F">
      <w:pPr>
        <w:spacing w:after="0"/>
        <w:ind w:firstLine="1276"/>
        <w:jc w:val="both"/>
        <w:rPr>
          <w:rFonts w:ascii="Century Gothic" w:hAnsi="Century Gothic"/>
          <w:sz w:val="14"/>
          <w:szCs w:val="14"/>
        </w:rPr>
      </w:pPr>
      <w:r w:rsidRPr="009A501D">
        <w:rPr>
          <w:rFonts w:ascii="Century Gothic" w:hAnsi="Century Gothic"/>
          <w:sz w:val="14"/>
          <w:szCs w:val="14"/>
        </w:rPr>
        <w:t>*Estos datos son los reportados en los Informes Anuales de Resultados 2019, 2020 y 2021, respectivamente.</w:t>
      </w:r>
    </w:p>
    <w:p w14:paraId="75FCAC30" w14:textId="57EA6E66" w:rsidR="005A1399" w:rsidRPr="009A501D" w:rsidRDefault="005A1399" w:rsidP="00224E0F">
      <w:pPr>
        <w:spacing w:after="0"/>
        <w:ind w:firstLine="1276"/>
        <w:jc w:val="both"/>
        <w:rPr>
          <w:rFonts w:ascii="Century Gothic" w:hAnsi="Century Gothic"/>
          <w:sz w:val="14"/>
          <w:szCs w:val="14"/>
        </w:rPr>
      </w:pPr>
      <w:r w:rsidRPr="009A501D">
        <w:rPr>
          <w:rFonts w:ascii="Century Gothic" w:hAnsi="Century Gothic"/>
          <w:sz w:val="14"/>
          <w:szCs w:val="14"/>
        </w:rPr>
        <w:t>**Estos datos corresponden a los indicadores registrados en metadatos durante 2022.</w:t>
      </w:r>
    </w:p>
    <w:p w14:paraId="73E69553" w14:textId="07498BE5" w:rsidR="005A1399" w:rsidRPr="009A501D" w:rsidRDefault="004D51CC"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lastRenderedPageBreak/>
        <w:t xml:space="preserve">Resalta el caso de </w:t>
      </w:r>
      <w:r w:rsidR="005A1399" w:rsidRPr="009A501D">
        <w:rPr>
          <w:rFonts w:ascii="Century Gothic" w:hAnsi="Century Gothic" w:cstheme="minorHAnsi"/>
          <w:sz w:val="19"/>
          <w:szCs w:val="19"/>
        </w:rPr>
        <w:t>la ENAPE</w:t>
      </w:r>
      <w:r w:rsidR="0045500C" w:rsidRPr="009A501D">
        <w:rPr>
          <w:rFonts w:ascii="Century Gothic" w:hAnsi="Century Gothic" w:cstheme="minorHAnsi"/>
          <w:sz w:val="19"/>
          <w:szCs w:val="19"/>
        </w:rPr>
        <w:t xml:space="preserve"> con una </w:t>
      </w:r>
      <w:r w:rsidR="005A1399" w:rsidRPr="009A501D">
        <w:rPr>
          <w:rFonts w:ascii="Century Gothic" w:hAnsi="Century Gothic" w:cstheme="minorHAnsi"/>
          <w:i/>
          <w:iCs/>
          <w:sz w:val="19"/>
          <w:szCs w:val="19"/>
        </w:rPr>
        <w:t>tasa de cumplimiento de la muestra mínima</w:t>
      </w:r>
      <w:r w:rsidR="005A1399" w:rsidRPr="009A501D">
        <w:rPr>
          <w:rFonts w:ascii="Century Gothic" w:hAnsi="Century Gothic" w:cstheme="minorHAnsi"/>
          <w:sz w:val="19"/>
          <w:szCs w:val="19"/>
        </w:rPr>
        <w:t xml:space="preserve"> de 18%. En general, se observa una recuperación en las </w:t>
      </w:r>
      <w:r w:rsidR="005A1399" w:rsidRPr="009A501D">
        <w:rPr>
          <w:rFonts w:ascii="Century Gothic" w:hAnsi="Century Gothic" w:cstheme="minorHAnsi"/>
          <w:i/>
          <w:iCs/>
          <w:sz w:val="19"/>
          <w:szCs w:val="19"/>
        </w:rPr>
        <w:t>tasas de cumplimiento de la muestra mínima</w:t>
      </w:r>
      <w:r w:rsidR="005A1399" w:rsidRPr="009A501D">
        <w:rPr>
          <w:rFonts w:ascii="Century Gothic" w:hAnsi="Century Gothic" w:cstheme="minorHAnsi"/>
          <w:sz w:val="19"/>
          <w:szCs w:val="19"/>
        </w:rPr>
        <w:t>, iniciada en 2021 y reafirmada en 2022</w:t>
      </w:r>
      <w:r w:rsidR="00D1256D" w:rsidRPr="009A501D">
        <w:rPr>
          <w:rFonts w:ascii="Century Gothic" w:hAnsi="Century Gothic" w:cstheme="minorHAnsi"/>
          <w:sz w:val="19"/>
          <w:szCs w:val="19"/>
        </w:rPr>
        <w:t>.</w:t>
      </w:r>
    </w:p>
    <w:p w14:paraId="3FBB607C" w14:textId="77777777" w:rsidR="00E729CB" w:rsidRDefault="00E729CB" w:rsidP="00664A1D">
      <w:pPr>
        <w:spacing w:before="240"/>
        <w:jc w:val="both"/>
        <w:rPr>
          <w:rFonts w:ascii="Century Gothic" w:hAnsi="Century Gothic" w:cstheme="minorHAnsi"/>
          <w:sz w:val="19"/>
          <w:szCs w:val="19"/>
        </w:rPr>
      </w:pPr>
      <w:r w:rsidRPr="00AC3CF7">
        <w:rPr>
          <w:rFonts w:ascii="Century Gothic" w:hAnsi="Century Gothic" w:cstheme="minorHAnsi"/>
          <w:sz w:val="19"/>
          <w:szCs w:val="19"/>
        </w:rPr>
        <w:t>En este mismo sentido, en 2022 se observa que un 1</w:t>
      </w:r>
      <w:r>
        <w:rPr>
          <w:rFonts w:ascii="Century Gothic" w:hAnsi="Century Gothic" w:cstheme="minorHAnsi"/>
          <w:sz w:val="19"/>
          <w:szCs w:val="19"/>
        </w:rPr>
        <w:t>3</w:t>
      </w:r>
      <w:r w:rsidRPr="00AC3CF7">
        <w:rPr>
          <w:rFonts w:ascii="Century Gothic" w:hAnsi="Century Gothic" w:cstheme="minorHAnsi"/>
          <w:sz w:val="19"/>
          <w:szCs w:val="19"/>
        </w:rPr>
        <w:t xml:space="preserve">% de los procesos de producción registraron una tasa de no respuesta </w:t>
      </w:r>
      <w:r>
        <w:rPr>
          <w:rFonts w:ascii="Century Gothic" w:hAnsi="Century Gothic" w:cstheme="minorHAnsi"/>
          <w:sz w:val="19"/>
          <w:szCs w:val="19"/>
        </w:rPr>
        <w:t>superior a</w:t>
      </w:r>
      <w:r w:rsidRPr="00AC3CF7">
        <w:rPr>
          <w:rFonts w:ascii="Century Gothic" w:hAnsi="Century Gothic" w:cstheme="minorHAnsi"/>
          <w:sz w:val="19"/>
          <w:szCs w:val="19"/>
        </w:rPr>
        <w:t xml:space="preserve"> la tasa de no respuesta máxima esperada en su diseño estadístico, una disminución significativa comparad</w:t>
      </w:r>
      <w:r>
        <w:rPr>
          <w:rFonts w:ascii="Century Gothic" w:hAnsi="Century Gothic" w:cstheme="minorHAnsi"/>
          <w:sz w:val="19"/>
          <w:szCs w:val="19"/>
        </w:rPr>
        <w:t>a</w:t>
      </w:r>
      <w:r w:rsidRPr="00AC3CF7">
        <w:rPr>
          <w:rFonts w:ascii="Century Gothic" w:hAnsi="Century Gothic" w:cstheme="minorHAnsi"/>
          <w:sz w:val="19"/>
          <w:szCs w:val="19"/>
        </w:rPr>
        <w:t xml:space="preserve"> con el 37%</w:t>
      </w:r>
      <w:r w:rsidRPr="00AC3CF7">
        <w:rPr>
          <w:rFonts w:ascii="Century Gothic" w:hAnsi="Century Gothic" w:cstheme="minorHAnsi"/>
          <w:color w:val="FF0000"/>
          <w:sz w:val="19"/>
          <w:szCs w:val="19"/>
        </w:rPr>
        <w:t xml:space="preserve"> </w:t>
      </w:r>
      <w:r w:rsidRPr="00AC3CF7">
        <w:rPr>
          <w:rFonts w:ascii="Century Gothic" w:hAnsi="Century Gothic" w:cstheme="minorHAnsi"/>
          <w:sz w:val="19"/>
          <w:szCs w:val="19"/>
        </w:rPr>
        <w:t xml:space="preserve">registrado en 2021. Destacan los procesos </w:t>
      </w:r>
      <w:r w:rsidRPr="00435576">
        <w:rPr>
          <w:rFonts w:ascii="Century Gothic" w:hAnsi="Century Gothic" w:cstheme="minorHAnsi"/>
          <w:sz w:val="19"/>
          <w:szCs w:val="19"/>
        </w:rPr>
        <w:t>Encuesta Anual de Transportes</w:t>
      </w:r>
      <w:r>
        <w:rPr>
          <w:rFonts w:ascii="Century Gothic" w:hAnsi="Century Gothic" w:cstheme="minorHAnsi"/>
          <w:sz w:val="19"/>
          <w:szCs w:val="19"/>
        </w:rPr>
        <w:t xml:space="preserve"> (EAT), </w:t>
      </w:r>
      <w:r w:rsidRPr="00435576">
        <w:rPr>
          <w:rFonts w:ascii="Century Gothic" w:hAnsi="Century Gothic" w:cstheme="minorHAnsi"/>
          <w:sz w:val="19"/>
          <w:szCs w:val="19"/>
        </w:rPr>
        <w:t>Módulo de Práctica Deportiva y Ejercicio Físico</w:t>
      </w:r>
      <w:r>
        <w:rPr>
          <w:rFonts w:ascii="Century Gothic" w:hAnsi="Century Gothic" w:cstheme="minorHAnsi"/>
          <w:sz w:val="19"/>
          <w:szCs w:val="19"/>
        </w:rPr>
        <w:t xml:space="preserve"> (MOPRADEF), </w:t>
      </w:r>
      <w:r w:rsidRPr="00435576">
        <w:rPr>
          <w:rFonts w:ascii="Century Gothic" w:hAnsi="Century Gothic" w:cstheme="minorHAnsi"/>
          <w:sz w:val="19"/>
          <w:szCs w:val="19"/>
        </w:rPr>
        <w:t xml:space="preserve">Bienestar </w:t>
      </w:r>
      <w:proofErr w:type="spellStart"/>
      <w:r w:rsidRPr="00435576">
        <w:rPr>
          <w:rFonts w:ascii="Century Gothic" w:hAnsi="Century Gothic" w:cstheme="minorHAnsi"/>
          <w:sz w:val="19"/>
          <w:szCs w:val="19"/>
        </w:rPr>
        <w:t>Autorreportado</w:t>
      </w:r>
      <w:proofErr w:type="spellEnd"/>
      <w:r>
        <w:rPr>
          <w:rFonts w:ascii="Century Gothic" w:hAnsi="Century Gothic" w:cstheme="minorHAnsi"/>
          <w:sz w:val="19"/>
          <w:szCs w:val="19"/>
        </w:rPr>
        <w:t xml:space="preserve"> (BIARE) y </w:t>
      </w:r>
      <w:r w:rsidRPr="00435576">
        <w:rPr>
          <w:rFonts w:ascii="Century Gothic" w:hAnsi="Century Gothic" w:cstheme="minorHAnsi"/>
          <w:sz w:val="19"/>
          <w:szCs w:val="19"/>
        </w:rPr>
        <w:t>Encuesta Mensual de Opinión Empresarial</w:t>
      </w:r>
      <w:r>
        <w:rPr>
          <w:rFonts w:ascii="Century Gothic" w:hAnsi="Century Gothic" w:cstheme="minorHAnsi"/>
          <w:sz w:val="19"/>
          <w:szCs w:val="19"/>
        </w:rPr>
        <w:t xml:space="preserve"> (EMOE) </w:t>
      </w:r>
      <w:r w:rsidRPr="00AC3CF7">
        <w:rPr>
          <w:rFonts w:ascii="Century Gothic" w:hAnsi="Century Gothic" w:cstheme="minorHAnsi"/>
          <w:sz w:val="19"/>
          <w:szCs w:val="19"/>
        </w:rPr>
        <w:t>como los únicos cuyas tasas de no respuesta antes de imputación promedio (ponderadas) superan a la tasa de no respuesta considerada en su diseño muestral.</w:t>
      </w:r>
    </w:p>
    <w:p w14:paraId="3636D6E9" w14:textId="4B48B7AE" w:rsidR="00361920" w:rsidRPr="009A501D" w:rsidRDefault="00361920"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Por otra parte, se mantienen elevadas las </w:t>
      </w:r>
      <w:r w:rsidRPr="009A501D">
        <w:rPr>
          <w:rFonts w:ascii="Century Gothic" w:hAnsi="Century Gothic" w:cstheme="minorHAnsi"/>
          <w:i/>
          <w:iCs/>
          <w:sz w:val="19"/>
          <w:szCs w:val="19"/>
        </w:rPr>
        <w:t>tasas de imputación</w:t>
      </w:r>
      <w:r w:rsidRPr="009A501D">
        <w:rPr>
          <w:rFonts w:ascii="Century Gothic" w:hAnsi="Century Gothic" w:cstheme="minorHAnsi"/>
          <w:sz w:val="19"/>
          <w:szCs w:val="19"/>
        </w:rPr>
        <w:t xml:space="preserve"> para los procesos de producción en unidades económicas (alza ocurrida a partir del 2020), siendo las tasas (promedio ponderadas) más altas en 2022 las correspondientes a la Encuesta Mensual de Servicios (EMS), Encuesta Anual de Transportes (EAT), Encuesta Anual de Servicios Privados no Financieros (EASPNF) y Encuesta Anual de Comercio (EAC), con un promedio de 33% para las dos primeras y 20% para las dos restantes.</w:t>
      </w:r>
    </w:p>
    <w:p w14:paraId="227F0E09" w14:textId="261607D2" w:rsidR="005A1399" w:rsidRPr="009A501D" w:rsidRDefault="005A1399"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t xml:space="preserve">Finalmente, se observa que el Módulo de Práctica Deportiva y Ejercicio Físico (MOPRADEF) y el Módulo sobre Eventos Culturales Seleccionados (MODECULT), reportan las </w:t>
      </w:r>
      <w:r w:rsidRPr="009A501D">
        <w:rPr>
          <w:rFonts w:ascii="Century Gothic" w:hAnsi="Century Gothic" w:cstheme="minorHAnsi"/>
          <w:i/>
          <w:iCs/>
          <w:sz w:val="19"/>
          <w:szCs w:val="19"/>
        </w:rPr>
        <w:t xml:space="preserve">tasas de </w:t>
      </w:r>
      <w:proofErr w:type="spellStart"/>
      <w:r w:rsidRPr="009A501D">
        <w:rPr>
          <w:rFonts w:ascii="Century Gothic" w:hAnsi="Century Gothic" w:cstheme="minorHAnsi"/>
          <w:i/>
          <w:iCs/>
          <w:sz w:val="19"/>
          <w:szCs w:val="19"/>
        </w:rPr>
        <w:t>sobrecobertura</w:t>
      </w:r>
      <w:proofErr w:type="spellEnd"/>
      <w:r w:rsidRPr="009A501D">
        <w:rPr>
          <w:rFonts w:ascii="Century Gothic" w:hAnsi="Century Gothic" w:cstheme="minorHAnsi"/>
          <w:i/>
          <w:iCs/>
          <w:sz w:val="19"/>
          <w:szCs w:val="19"/>
        </w:rPr>
        <w:t xml:space="preserve"> (ponderadas)</w:t>
      </w:r>
      <w:r w:rsidRPr="009A501D">
        <w:rPr>
          <w:rFonts w:ascii="Century Gothic" w:hAnsi="Century Gothic" w:cstheme="minorHAnsi"/>
          <w:sz w:val="19"/>
          <w:szCs w:val="19"/>
        </w:rPr>
        <w:t xml:space="preserve"> más elevada</w:t>
      </w:r>
      <w:r w:rsidR="00C04083" w:rsidRPr="009A501D">
        <w:rPr>
          <w:rFonts w:ascii="Century Gothic" w:hAnsi="Century Gothic" w:cstheme="minorHAnsi"/>
          <w:sz w:val="19"/>
          <w:szCs w:val="19"/>
        </w:rPr>
        <w:t>s</w:t>
      </w:r>
      <w:r w:rsidRPr="009A501D">
        <w:rPr>
          <w:rFonts w:ascii="Century Gothic" w:hAnsi="Century Gothic" w:cstheme="minorHAnsi"/>
          <w:sz w:val="19"/>
          <w:szCs w:val="19"/>
        </w:rPr>
        <w:t xml:space="preserve"> en 2022, con 9% cada una. En adición, </w:t>
      </w:r>
      <w:r w:rsidR="00B2558A" w:rsidRPr="009A501D">
        <w:rPr>
          <w:rFonts w:ascii="Century Gothic" w:hAnsi="Century Gothic" w:cstheme="minorHAnsi"/>
          <w:sz w:val="19"/>
          <w:szCs w:val="19"/>
        </w:rPr>
        <w:t>se observa</w:t>
      </w:r>
      <w:r w:rsidRPr="009A501D">
        <w:rPr>
          <w:rFonts w:ascii="Century Gothic" w:hAnsi="Century Gothic" w:cstheme="minorHAnsi"/>
          <w:sz w:val="19"/>
          <w:szCs w:val="19"/>
        </w:rPr>
        <w:t xml:space="preserve"> que, para los </w:t>
      </w:r>
      <w:r w:rsidR="00EC4113" w:rsidRPr="009A501D">
        <w:rPr>
          <w:rFonts w:ascii="Century Gothic" w:hAnsi="Century Gothic" w:cstheme="minorHAnsi"/>
          <w:sz w:val="19"/>
          <w:szCs w:val="19"/>
        </w:rPr>
        <w:t>procesos de producción</w:t>
      </w:r>
      <w:r w:rsidRPr="009A501D">
        <w:rPr>
          <w:rFonts w:ascii="Century Gothic" w:hAnsi="Century Gothic" w:cstheme="minorHAnsi"/>
          <w:sz w:val="19"/>
          <w:szCs w:val="19"/>
        </w:rPr>
        <w:t xml:space="preserve"> en unidades económicas, las </w:t>
      </w:r>
      <w:r w:rsidRPr="009A501D">
        <w:rPr>
          <w:rFonts w:ascii="Century Gothic" w:hAnsi="Century Gothic" w:cstheme="minorHAnsi"/>
          <w:i/>
          <w:iCs/>
          <w:sz w:val="19"/>
          <w:szCs w:val="19"/>
        </w:rPr>
        <w:t xml:space="preserve">tasas de </w:t>
      </w:r>
      <w:proofErr w:type="spellStart"/>
      <w:r w:rsidRPr="009A501D">
        <w:rPr>
          <w:rFonts w:ascii="Century Gothic" w:hAnsi="Century Gothic" w:cstheme="minorHAnsi"/>
          <w:i/>
          <w:iCs/>
          <w:sz w:val="19"/>
          <w:szCs w:val="19"/>
        </w:rPr>
        <w:t>sobrecobertura</w:t>
      </w:r>
      <w:proofErr w:type="spellEnd"/>
      <w:r w:rsidRPr="009A501D">
        <w:rPr>
          <w:rFonts w:ascii="Century Gothic" w:hAnsi="Century Gothic" w:cstheme="minorHAnsi"/>
          <w:sz w:val="19"/>
          <w:szCs w:val="19"/>
        </w:rPr>
        <w:t xml:space="preserve"> se mantienen con un porcentaje de cero, en tanto que la Encuesta Nacional de Victimización de Empresas (ENVE), que considera unidades de observación similares, reporta una tasa distinta a este valor.</w:t>
      </w:r>
    </w:p>
    <w:p w14:paraId="4D43A5C1" w14:textId="09C53226" w:rsidR="00704337" w:rsidRPr="009A501D" w:rsidRDefault="00704337" w:rsidP="00664A1D">
      <w:pPr>
        <w:spacing w:before="240"/>
        <w:jc w:val="both"/>
        <w:rPr>
          <w:rFonts w:ascii="Century Gothic" w:hAnsi="Century Gothic" w:cstheme="minorHAnsi"/>
          <w:sz w:val="19"/>
          <w:szCs w:val="19"/>
        </w:rPr>
      </w:pPr>
      <w:r w:rsidRPr="009A501D">
        <w:rPr>
          <w:rFonts w:ascii="Century Gothic" w:hAnsi="Century Gothic" w:cstheme="minorHAnsi"/>
          <w:sz w:val="19"/>
          <w:szCs w:val="19"/>
        </w:rPr>
        <w:br w:type="page"/>
      </w:r>
    </w:p>
    <w:p w14:paraId="3B05F196" w14:textId="3B111764" w:rsidR="00514E11" w:rsidRPr="009A501D" w:rsidRDefault="00514E11" w:rsidP="00664A1D">
      <w:pPr>
        <w:pStyle w:val="Ttulo2"/>
        <w:rPr>
          <w:rFonts w:ascii="Century Gothic" w:eastAsiaTheme="minorHAnsi" w:hAnsi="Century Gothic" w:cstheme="minorBidi"/>
          <w:bCs/>
          <w:color w:val="0079BF"/>
          <w:sz w:val="24"/>
          <w:szCs w:val="24"/>
        </w:rPr>
      </w:pPr>
      <w:bookmarkStart w:id="38" w:name="_Toc131161817"/>
      <w:bookmarkStart w:id="39" w:name="_Toc90036410"/>
      <w:r w:rsidRPr="009A501D">
        <w:rPr>
          <w:rFonts w:ascii="Century Gothic" w:eastAsiaTheme="minorHAnsi" w:hAnsi="Century Gothic" w:cstheme="minorBidi"/>
          <w:bCs/>
          <w:color w:val="0079BF"/>
          <w:sz w:val="24"/>
          <w:szCs w:val="24"/>
        </w:rPr>
        <w:lastRenderedPageBreak/>
        <w:t xml:space="preserve">Anexo </w:t>
      </w:r>
      <w:r w:rsidR="00C01F9C" w:rsidRPr="009A501D">
        <w:rPr>
          <w:rFonts w:ascii="Century Gothic" w:eastAsiaTheme="minorHAnsi" w:hAnsi="Century Gothic" w:cstheme="minorBidi"/>
          <w:bCs/>
          <w:color w:val="0079BF"/>
          <w:sz w:val="24"/>
          <w:szCs w:val="24"/>
        </w:rPr>
        <w:t>6</w:t>
      </w:r>
      <w:r w:rsidRPr="009A501D">
        <w:rPr>
          <w:rFonts w:ascii="Century Gothic" w:eastAsiaTheme="minorHAnsi" w:hAnsi="Century Gothic" w:cstheme="minorBidi"/>
          <w:bCs/>
          <w:color w:val="0079BF"/>
          <w:sz w:val="24"/>
          <w:szCs w:val="24"/>
        </w:rPr>
        <w:t xml:space="preserve">: </w:t>
      </w:r>
      <w:r w:rsidR="0084254E" w:rsidRPr="009A501D">
        <w:rPr>
          <w:rFonts w:ascii="Century Gothic" w:eastAsiaTheme="minorHAnsi" w:hAnsi="Century Gothic" w:cstheme="minorBidi"/>
          <w:bCs/>
          <w:color w:val="0079BF"/>
          <w:sz w:val="24"/>
          <w:szCs w:val="24"/>
        </w:rPr>
        <w:t>Indicadores</w:t>
      </w:r>
      <w:r w:rsidR="00C11608" w:rsidRPr="009A501D">
        <w:rPr>
          <w:rFonts w:ascii="Century Gothic" w:eastAsiaTheme="minorHAnsi" w:hAnsi="Century Gothic" w:cstheme="minorBidi"/>
          <w:bCs/>
          <w:color w:val="0079BF"/>
          <w:sz w:val="24"/>
          <w:szCs w:val="24"/>
        </w:rPr>
        <w:t>-</w:t>
      </w:r>
      <w:r w:rsidR="0084254E" w:rsidRPr="009A501D">
        <w:rPr>
          <w:rFonts w:ascii="Century Gothic" w:eastAsiaTheme="minorHAnsi" w:hAnsi="Century Gothic" w:cstheme="minorBidi"/>
          <w:bCs/>
          <w:color w:val="0079BF"/>
          <w:sz w:val="24"/>
          <w:szCs w:val="24"/>
        </w:rPr>
        <w:t>Objetivo</w:t>
      </w:r>
      <w:bookmarkEnd w:id="38"/>
    </w:p>
    <w:p w14:paraId="35114E48" w14:textId="60FC751B" w:rsidR="00CA5DA0" w:rsidRPr="009A501D" w:rsidRDefault="00CA5DA0" w:rsidP="00664A1D">
      <w:pPr>
        <w:spacing w:before="240"/>
        <w:jc w:val="both"/>
        <w:rPr>
          <w:rFonts w:ascii="Century Gothic" w:hAnsi="Century Gothic"/>
          <w:sz w:val="19"/>
          <w:szCs w:val="19"/>
        </w:rPr>
      </w:pPr>
      <w:r w:rsidRPr="009A501D">
        <w:rPr>
          <w:rFonts w:ascii="Century Gothic" w:hAnsi="Century Gothic"/>
          <w:sz w:val="19"/>
          <w:szCs w:val="19"/>
        </w:rPr>
        <w:t xml:space="preserve">En 2021 se incluyó en la </w:t>
      </w:r>
      <w:r w:rsidRPr="009A501D">
        <w:rPr>
          <w:rFonts w:ascii="Century Gothic" w:hAnsi="Century Gothic"/>
          <w:i/>
          <w:sz w:val="19"/>
          <w:szCs w:val="19"/>
        </w:rPr>
        <w:t>Norma Técnica del Proceso de Producción de Información Estadística y Geográfica</w:t>
      </w:r>
      <w:r w:rsidRPr="009A501D">
        <w:rPr>
          <w:rFonts w:ascii="Century Gothic" w:hAnsi="Century Gothic"/>
          <w:sz w:val="19"/>
          <w:szCs w:val="19"/>
        </w:rPr>
        <w:t xml:space="preserve"> (NTPPIEG) la siguiente definición de Indicador</w:t>
      </w:r>
      <w:r w:rsidR="00C11608" w:rsidRPr="009A501D">
        <w:rPr>
          <w:rFonts w:ascii="Century Gothic" w:hAnsi="Century Gothic"/>
          <w:sz w:val="19"/>
          <w:szCs w:val="19"/>
        </w:rPr>
        <w:t>-</w:t>
      </w:r>
      <w:r w:rsidRPr="009A501D">
        <w:rPr>
          <w:rFonts w:ascii="Century Gothic" w:hAnsi="Century Gothic"/>
          <w:sz w:val="19"/>
          <w:szCs w:val="19"/>
        </w:rPr>
        <w:t>Objetivo:</w:t>
      </w:r>
    </w:p>
    <w:p w14:paraId="780D1EE4" w14:textId="622C53C4" w:rsidR="00CA5DA0" w:rsidRPr="009A501D" w:rsidRDefault="00CA5DA0" w:rsidP="00664A1D">
      <w:pPr>
        <w:spacing w:before="240"/>
        <w:ind w:left="1440" w:right="1500"/>
        <w:jc w:val="both"/>
        <w:rPr>
          <w:rFonts w:ascii="Century Gothic" w:hAnsi="Century Gothic"/>
          <w:sz w:val="19"/>
          <w:szCs w:val="19"/>
        </w:rPr>
      </w:pPr>
      <w:r w:rsidRPr="009A501D">
        <w:rPr>
          <w:rFonts w:ascii="Century Gothic" w:hAnsi="Century Gothic"/>
          <w:sz w:val="19"/>
          <w:szCs w:val="19"/>
        </w:rPr>
        <w:t>Indicador asociado a un dominio de estudio y fenómeno de interés que permite hacer mediciones directamente relacionadas con los objetivos del programa de información. El indicador deberá cumplir al menos uno de los siguientes criterios: que derive del cumplimiento de una Ley o Reglamento; que atienda un compromiso o recomendación internacional; que sea de utilidad para las políticas públicas; que forme parte de un conjunto de indicadores clave; o que contribuya a que la información sea comparable y coherente a través del tiempo y con los componentes que lo conforman.</w:t>
      </w:r>
    </w:p>
    <w:p w14:paraId="4B1D109F" w14:textId="565CFF8C" w:rsidR="00CA5DA0" w:rsidRPr="009A501D" w:rsidRDefault="00CA5DA0" w:rsidP="00664A1D">
      <w:pPr>
        <w:spacing w:before="240"/>
        <w:jc w:val="both"/>
        <w:rPr>
          <w:rFonts w:ascii="Century Gothic" w:hAnsi="Century Gothic"/>
          <w:sz w:val="19"/>
          <w:szCs w:val="19"/>
        </w:rPr>
      </w:pPr>
      <w:r w:rsidRPr="009A501D">
        <w:rPr>
          <w:rFonts w:ascii="Century Gothic" w:hAnsi="Century Gothic"/>
          <w:sz w:val="19"/>
          <w:szCs w:val="19"/>
        </w:rPr>
        <w:t>Los indicadores</w:t>
      </w:r>
      <w:r w:rsidR="00C11608" w:rsidRPr="009A501D">
        <w:rPr>
          <w:rFonts w:ascii="Century Gothic" w:hAnsi="Century Gothic"/>
          <w:sz w:val="19"/>
          <w:szCs w:val="19"/>
        </w:rPr>
        <w:t>-</w:t>
      </w:r>
      <w:r w:rsidRPr="009A501D">
        <w:rPr>
          <w:rFonts w:ascii="Century Gothic" w:hAnsi="Century Gothic"/>
          <w:sz w:val="19"/>
          <w:szCs w:val="19"/>
        </w:rPr>
        <w:t>objetivo</w:t>
      </w:r>
      <w:r w:rsidR="00427998" w:rsidRPr="009A501D">
        <w:rPr>
          <w:rFonts w:ascii="Century Gothic" w:hAnsi="Century Gothic"/>
          <w:sz w:val="19"/>
          <w:szCs w:val="19"/>
        </w:rPr>
        <w:t>,</w:t>
      </w:r>
      <w:r w:rsidRPr="009A501D">
        <w:rPr>
          <w:rFonts w:ascii="Century Gothic" w:hAnsi="Century Gothic"/>
          <w:sz w:val="19"/>
          <w:szCs w:val="19"/>
        </w:rPr>
        <w:t xml:space="preserve"> con sus respectivos dominios de estudio</w:t>
      </w:r>
      <w:r w:rsidR="00427998" w:rsidRPr="009A501D">
        <w:rPr>
          <w:rFonts w:ascii="Century Gothic" w:hAnsi="Century Gothic"/>
          <w:sz w:val="19"/>
          <w:szCs w:val="19"/>
        </w:rPr>
        <w:t>,</w:t>
      </w:r>
      <w:r w:rsidRPr="009A501D">
        <w:rPr>
          <w:rFonts w:ascii="Century Gothic" w:hAnsi="Century Gothic"/>
          <w:sz w:val="19"/>
          <w:szCs w:val="19"/>
        </w:rPr>
        <w:t xml:space="preserve"> son la base para el reporte de los indicadores de precisión.  </w:t>
      </w:r>
      <w:r w:rsidR="00744B3B" w:rsidRPr="009A501D">
        <w:rPr>
          <w:rFonts w:ascii="Century Gothic" w:hAnsi="Century Gothic"/>
          <w:sz w:val="19"/>
          <w:szCs w:val="19"/>
        </w:rPr>
        <w:t xml:space="preserve">En </w:t>
      </w:r>
      <w:r w:rsidR="00814D42" w:rsidRPr="009A501D">
        <w:rPr>
          <w:rFonts w:ascii="Century Gothic" w:hAnsi="Century Gothic"/>
          <w:sz w:val="19"/>
          <w:szCs w:val="19"/>
        </w:rPr>
        <w:t>e</w:t>
      </w:r>
      <w:r w:rsidR="00744B3B" w:rsidRPr="009A501D">
        <w:rPr>
          <w:rFonts w:ascii="Century Gothic" w:hAnsi="Century Gothic"/>
          <w:sz w:val="19"/>
          <w:szCs w:val="19"/>
        </w:rPr>
        <w:t>l</w:t>
      </w:r>
      <w:r w:rsidR="00814D42" w:rsidRPr="009A501D">
        <w:rPr>
          <w:rFonts w:ascii="Century Gothic" w:hAnsi="Century Gothic"/>
          <w:sz w:val="19"/>
          <w:szCs w:val="19"/>
        </w:rPr>
        <w:t xml:space="preserve"> c</w:t>
      </w:r>
      <w:r w:rsidR="00744B3B" w:rsidRPr="009A501D">
        <w:rPr>
          <w:rFonts w:ascii="Century Gothic" w:hAnsi="Century Gothic"/>
          <w:sz w:val="19"/>
          <w:szCs w:val="19"/>
        </w:rPr>
        <w:t>uadro A.6.1</w:t>
      </w:r>
      <w:r w:rsidRPr="009A501D">
        <w:rPr>
          <w:rFonts w:ascii="Century Gothic" w:hAnsi="Century Gothic"/>
          <w:sz w:val="19"/>
          <w:szCs w:val="19"/>
        </w:rPr>
        <w:t xml:space="preserve"> se </w:t>
      </w:r>
      <w:r w:rsidR="00B75E0E" w:rsidRPr="009A501D">
        <w:rPr>
          <w:rFonts w:ascii="Century Gothic" w:hAnsi="Century Gothic"/>
          <w:sz w:val="19"/>
          <w:szCs w:val="19"/>
        </w:rPr>
        <w:t>enlistan</w:t>
      </w:r>
      <w:r w:rsidRPr="009A501D">
        <w:rPr>
          <w:rFonts w:ascii="Century Gothic" w:hAnsi="Century Gothic"/>
          <w:sz w:val="19"/>
          <w:szCs w:val="19"/>
        </w:rPr>
        <w:t xml:space="preserve"> los indicadores</w:t>
      </w:r>
      <w:r w:rsidR="00C11608" w:rsidRPr="009A501D">
        <w:rPr>
          <w:rFonts w:ascii="Century Gothic" w:hAnsi="Century Gothic"/>
          <w:sz w:val="19"/>
          <w:szCs w:val="19"/>
        </w:rPr>
        <w:t>-</w:t>
      </w:r>
      <w:r w:rsidRPr="009A501D">
        <w:rPr>
          <w:rFonts w:ascii="Century Gothic" w:hAnsi="Century Gothic"/>
          <w:sz w:val="19"/>
          <w:szCs w:val="19"/>
        </w:rPr>
        <w:t>objetivo y los dominios de estudio que han sido reportados como parte de los indicadores de precisión de</w:t>
      </w:r>
      <w:r w:rsidR="00744B3B" w:rsidRPr="009A501D">
        <w:rPr>
          <w:rFonts w:ascii="Century Gothic" w:hAnsi="Century Gothic"/>
          <w:sz w:val="19"/>
          <w:szCs w:val="19"/>
        </w:rPr>
        <w:t xml:space="preserve"> </w:t>
      </w:r>
      <w:r w:rsidRPr="009A501D">
        <w:rPr>
          <w:rFonts w:ascii="Century Gothic" w:hAnsi="Century Gothic"/>
          <w:sz w:val="19"/>
          <w:szCs w:val="19"/>
        </w:rPr>
        <w:t>encuestas.</w:t>
      </w:r>
      <w:r w:rsidR="00785F20" w:rsidRPr="009A501D">
        <w:rPr>
          <w:rFonts w:ascii="Century Gothic" w:hAnsi="Century Gothic"/>
          <w:sz w:val="19"/>
          <w:szCs w:val="19"/>
        </w:rPr>
        <w:t xml:space="preserve"> Es necesario continuar sumando esfuerzos para la identificación de los </w:t>
      </w:r>
      <w:r w:rsidR="0066049C" w:rsidRPr="009A501D">
        <w:rPr>
          <w:rFonts w:ascii="Century Gothic" w:hAnsi="Century Gothic"/>
          <w:sz w:val="19"/>
          <w:szCs w:val="19"/>
        </w:rPr>
        <w:t>i</w:t>
      </w:r>
      <w:r w:rsidR="00785F20" w:rsidRPr="009A501D">
        <w:rPr>
          <w:rFonts w:ascii="Century Gothic" w:hAnsi="Century Gothic"/>
          <w:sz w:val="19"/>
          <w:szCs w:val="19"/>
        </w:rPr>
        <w:t>ndicadores</w:t>
      </w:r>
      <w:r w:rsidR="00EA5C0F" w:rsidRPr="009A501D">
        <w:rPr>
          <w:rFonts w:ascii="Century Gothic" w:hAnsi="Century Gothic"/>
          <w:sz w:val="19"/>
          <w:szCs w:val="19"/>
        </w:rPr>
        <w:t>-</w:t>
      </w:r>
      <w:r w:rsidR="00785F20" w:rsidRPr="009A501D">
        <w:rPr>
          <w:rFonts w:ascii="Century Gothic" w:hAnsi="Century Gothic"/>
          <w:sz w:val="19"/>
          <w:szCs w:val="19"/>
        </w:rPr>
        <w:t>objetivo de los diversos programas</w:t>
      </w:r>
      <w:r w:rsidR="0066049C" w:rsidRPr="009A501D">
        <w:rPr>
          <w:rFonts w:ascii="Century Gothic" w:hAnsi="Century Gothic"/>
          <w:sz w:val="19"/>
          <w:szCs w:val="19"/>
        </w:rPr>
        <w:t xml:space="preserve"> de información</w:t>
      </w:r>
      <w:r w:rsidR="00F30171" w:rsidRPr="009A501D">
        <w:rPr>
          <w:rFonts w:ascii="Century Gothic" w:hAnsi="Century Gothic"/>
          <w:sz w:val="19"/>
          <w:szCs w:val="19"/>
        </w:rPr>
        <w:t xml:space="preserve">, </w:t>
      </w:r>
      <w:r w:rsidR="00785F20" w:rsidRPr="009A501D">
        <w:rPr>
          <w:rFonts w:ascii="Century Gothic" w:hAnsi="Century Gothic"/>
          <w:sz w:val="19"/>
          <w:szCs w:val="19"/>
        </w:rPr>
        <w:t xml:space="preserve">procesos de </w:t>
      </w:r>
      <w:r w:rsidR="0066049C" w:rsidRPr="009A501D">
        <w:rPr>
          <w:rFonts w:ascii="Century Gothic" w:hAnsi="Century Gothic"/>
          <w:sz w:val="19"/>
          <w:szCs w:val="19"/>
        </w:rPr>
        <w:t>producción</w:t>
      </w:r>
      <w:r w:rsidR="00785F20" w:rsidRPr="009A501D">
        <w:rPr>
          <w:rFonts w:ascii="Century Gothic" w:hAnsi="Century Gothic"/>
          <w:sz w:val="19"/>
          <w:szCs w:val="19"/>
        </w:rPr>
        <w:t xml:space="preserve"> y métodos de generación de información.</w:t>
      </w:r>
    </w:p>
    <w:p w14:paraId="5DB9A985" w14:textId="495DEC4F" w:rsidR="00744B3B" w:rsidRPr="009A501D" w:rsidRDefault="00744B3B" w:rsidP="00664A1D">
      <w:pPr>
        <w:spacing w:before="240"/>
        <w:jc w:val="center"/>
        <w:rPr>
          <w:rFonts w:ascii="Century Gothic" w:hAnsi="Century Gothic"/>
          <w:b/>
          <w:bCs/>
          <w:sz w:val="19"/>
          <w:szCs w:val="19"/>
        </w:rPr>
      </w:pPr>
      <w:r w:rsidRPr="009A501D">
        <w:rPr>
          <w:rFonts w:ascii="Century Gothic" w:hAnsi="Century Gothic"/>
          <w:b/>
          <w:bCs/>
          <w:sz w:val="19"/>
          <w:szCs w:val="19"/>
        </w:rPr>
        <w:t>A.6.1. Indicadores</w:t>
      </w:r>
      <w:r w:rsidR="007F0FBE" w:rsidRPr="009A501D">
        <w:rPr>
          <w:rFonts w:ascii="Century Gothic" w:hAnsi="Century Gothic"/>
          <w:b/>
          <w:bCs/>
          <w:sz w:val="19"/>
          <w:szCs w:val="19"/>
        </w:rPr>
        <w:t>-</w:t>
      </w:r>
      <w:r w:rsidRPr="009A501D">
        <w:rPr>
          <w:rFonts w:ascii="Century Gothic" w:hAnsi="Century Gothic"/>
          <w:b/>
          <w:bCs/>
          <w:sz w:val="19"/>
          <w:szCs w:val="19"/>
        </w:rPr>
        <w:t>objetivo de encuestas</w:t>
      </w:r>
      <w:r w:rsidR="00AF1B67" w:rsidRPr="009A501D">
        <w:rPr>
          <w:rFonts w:ascii="Century Gothic" w:hAnsi="Century Gothic"/>
          <w:b/>
          <w:bCs/>
          <w:sz w:val="19"/>
          <w:szCs w:val="19"/>
        </w:rPr>
        <w:t xml:space="preserve"> que reportan indicadores de precisión</w:t>
      </w:r>
    </w:p>
    <w:tbl>
      <w:tblPr>
        <w:tblW w:w="5000" w:type="pct"/>
        <w:tblCellMar>
          <w:left w:w="70" w:type="dxa"/>
          <w:right w:w="70" w:type="dxa"/>
        </w:tblCellMar>
        <w:tblLook w:val="04A0" w:firstRow="1" w:lastRow="0" w:firstColumn="1" w:lastColumn="0" w:noHBand="0" w:noVBand="1"/>
      </w:tblPr>
      <w:tblGrid>
        <w:gridCol w:w="1069"/>
        <w:gridCol w:w="1231"/>
        <w:gridCol w:w="5761"/>
        <w:gridCol w:w="1231"/>
        <w:gridCol w:w="1372"/>
        <w:gridCol w:w="3716"/>
      </w:tblGrid>
      <w:tr w:rsidR="002752B5" w:rsidRPr="009A501D" w14:paraId="62859982" w14:textId="77777777" w:rsidTr="00430123">
        <w:trPr>
          <w:trHeight w:val="20"/>
          <w:tblHeader/>
        </w:trPr>
        <w:tc>
          <w:tcPr>
            <w:tcW w:w="372" w:type="pct"/>
            <w:tcBorders>
              <w:top w:val="single" w:sz="8" w:space="0" w:color="BFBFBF"/>
              <w:left w:val="single" w:sz="8" w:space="0" w:color="BFBFBF"/>
              <w:bottom w:val="single" w:sz="8" w:space="0" w:color="BFBFBF"/>
              <w:right w:val="single" w:sz="8" w:space="0" w:color="BFBFBF"/>
            </w:tcBorders>
            <w:shd w:val="clear" w:color="000000" w:fill="002060"/>
            <w:noWrap/>
            <w:vAlign w:val="center"/>
            <w:hideMark/>
          </w:tcPr>
          <w:p w14:paraId="02270ABB"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UA</w:t>
            </w:r>
          </w:p>
        </w:tc>
        <w:tc>
          <w:tcPr>
            <w:tcW w:w="428" w:type="pct"/>
            <w:tcBorders>
              <w:top w:val="single" w:sz="8" w:space="0" w:color="BFBFBF"/>
              <w:left w:val="nil"/>
              <w:bottom w:val="single" w:sz="8" w:space="0" w:color="BFBFBF"/>
              <w:right w:val="single" w:sz="8" w:space="0" w:color="BFBFBF"/>
            </w:tcBorders>
            <w:shd w:val="clear" w:color="000000" w:fill="002060"/>
            <w:noWrap/>
            <w:vAlign w:val="center"/>
            <w:hideMark/>
          </w:tcPr>
          <w:p w14:paraId="2ED34B14"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Proceso</w:t>
            </w:r>
          </w:p>
        </w:tc>
        <w:tc>
          <w:tcPr>
            <w:tcW w:w="2003" w:type="pct"/>
            <w:tcBorders>
              <w:top w:val="single" w:sz="8" w:space="0" w:color="BFBFBF"/>
              <w:left w:val="nil"/>
              <w:bottom w:val="single" w:sz="8" w:space="0" w:color="BFBFBF"/>
              <w:right w:val="single" w:sz="8" w:space="0" w:color="BFBFBF"/>
            </w:tcBorders>
            <w:shd w:val="clear" w:color="000000" w:fill="002060"/>
            <w:vAlign w:val="center"/>
            <w:hideMark/>
          </w:tcPr>
          <w:p w14:paraId="7AF3F902"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Indicador-objetivo</w:t>
            </w:r>
          </w:p>
        </w:tc>
        <w:tc>
          <w:tcPr>
            <w:tcW w:w="428" w:type="pct"/>
            <w:tcBorders>
              <w:top w:val="single" w:sz="8" w:space="0" w:color="BFBFBF"/>
              <w:left w:val="nil"/>
              <w:bottom w:val="single" w:sz="8" w:space="0" w:color="BFBFBF"/>
              <w:right w:val="single" w:sz="8" w:space="0" w:color="BFBFBF"/>
            </w:tcBorders>
            <w:shd w:val="clear" w:color="000000" w:fill="002060"/>
            <w:vAlign w:val="center"/>
            <w:hideMark/>
          </w:tcPr>
          <w:p w14:paraId="7CA4C226"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Casos totales × IO</w:t>
            </w:r>
          </w:p>
        </w:tc>
        <w:tc>
          <w:tcPr>
            <w:tcW w:w="477" w:type="pct"/>
            <w:tcBorders>
              <w:top w:val="single" w:sz="8" w:space="0" w:color="BFBFBF"/>
              <w:left w:val="nil"/>
              <w:bottom w:val="single" w:sz="8" w:space="0" w:color="BFBFBF"/>
              <w:right w:val="single" w:sz="8" w:space="0" w:color="BFBFBF"/>
            </w:tcBorders>
            <w:shd w:val="clear" w:color="000000" w:fill="002060"/>
            <w:vAlign w:val="center"/>
            <w:hideMark/>
          </w:tcPr>
          <w:p w14:paraId="57B938E5"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Casos totales x proceso</w:t>
            </w:r>
          </w:p>
        </w:tc>
        <w:tc>
          <w:tcPr>
            <w:tcW w:w="1292" w:type="pct"/>
            <w:tcBorders>
              <w:top w:val="single" w:sz="8" w:space="0" w:color="BFBFBF"/>
              <w:left w:val="nil"/>
              <w:bottom w:val="single" w:sz="8" w:space="0" w:color="BFBFBF"/>
              <w:right w:val="single" w:sz="8" w:space="0" w:color="BFBFBF"/>
            </w:tcBorders>
            <w:shd w:val="clear" w:color="000000" w:fill="002060"/>
            <w:vAlign w:val="center"/>
            <w:hideMark/>
          </w:tcPr>
          <w:p w14:paraId="77C8843A" w14:textId="77777777" w:rsidR="002752B5" w:rsidRPr="009A501D" w:rsidRDefault="002752B5" w:rsidP="00430123">
            <w:pPr>
              <w:spacing w:after="0" w:line="240" w:lineRule="auto"/>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Dominios de estudio</w:t>
            </w:r>
          </w:p>
        </w:tc>
      </w:tr>
      <w:tr w:rsidR="002752B5" w:rsidRPr="009A501D" w14:paraId="7373C9AD"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3A5EF48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DGIAI</w:t>
            </w:r>
          </w:p>
        </w:tc>
        <w:tc>
          <w:tcPr>
            <w:tcW w:w="428" w:type="pct"/>
            <w:tcBorders>
              <w:top w:val="nil"/>
              <w:left w:val="nil"/>
              <w:bottom w:val="single" w:sz="8" w:space="0" w:color="BFBFBF"/>
              <w:right w:val="single" w:sz="8" w:space="0" w:color="BFBFBF"/>
            </w:tcBorders>
            <w:shd w:val="clear" w:color="000000" w:fill="F2F2F2"/>
            <w:noWrap/>
            <w:vAlign w:val="center"/>
            <w:hideMark/>
          </w:tcPr>
          <w:p w14:paraId="67D8CDB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BIARE</w:t>
            </w:r>
          </w:p>
        </w:tc>
        <w:tc>
          <w:tcPr>
            <w:tcW w:w="2003" w:type="pct"/>
            <w:tcBorders>
              <w:top w:val="nil"/>
              <w:left w:val="nil"/>
              <w:bottom w:val="single" w:sz="8" w:space="0" w:color="BFBFBF"/>
              <w:right w:val="single" w:sz="8" w:space="0" w:color="BFBFBF"/>
            </w:tcBorders>
            <w:shd w:val="clear" w:color="000000" w:fill="F2F2F2"/>
            <w:vAlign w:val="center"/>
            <w:hideMark/>
          </w:tcPr>
          <w:p w14:paraId="0359C9E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Índice de Bienestar </w:t>
            </w:r>
            <w:proofErr w:type="spellStart"/>
            <w:r w:rsidRPr="009A501D">
              <w:rPr>
                <w:rFonts w:ascii="Century Gothic" w:eastAsia="Times New Roman" w:hAnsi="Century Gothic" w:cs="Calibri"/>
                <w:color w:val="000000"/>
                <w:sz w:val="16"/>
                <w:szCs w:val="16"/>
                <w:lang w:eastAsia="es-MX"/>
              </w:rPr>
              <w:t>Autorreportado</w:t>
            </w:r>
            <w:proofErr w:type="spellEnd"/>
          </w:p>
        </w:tc>
        <w:tc>
          <w:tcPr>
            <w:tcW w:w="428" w:type="pct"/>
            <w:tcBorders>
              <w:top w:val="nil"/>
              <w:left w:val="nil"/>
              <w:bottom w:val="single" w:sz="8" w:space="0" w:color="BFBFBF"/>
              <w:right w:val="single" w:sz="8" w:space="0" w:color="BFBFBF"/>
            </w:tcBorders>
            <w:shd w:val="clear" w:color="000000" w:fill="F2F2F2"/>
            <w:noWrap/>
            <w:vAlign w:val="center"/>
            <w:hideMark/>
          </w:tcPr>
          <w:p w14:paraId="26A3F25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tcBorders>
              <w:top w:val="nil"/>
              <w:left w:val="nil"/>
              <w:bottom w:val="single" w:sz="8" w:space="0" w:color="BFBFBF"/>
              <w:right w:val="single" w:sz="8" w:space="0" w:color="BFBFBF"/>
            </w:tcBorders>
            <w:shd w:val="clear" w:color="000000" w:fill="F2F2F2"/>
            <w:noWrap/>
            <w:vAlign w:val="center"/>
            <w:hideMark/>
          </w:tcPr>
          <w:p w14:paraId="7A94053C"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4</w:t>
            </w:r>
          </w:p>
        </w:tc>
        <w:tc>
          <w:tcPr>
            <w:tcW w:w="1292" w:type="pct"/>
            <w:tcBorders>
              <w:top w:val="nil"/>
              <w:left w:val="nil"/>
              <w:bottom w:val="single" w:sz="8" w:space="0" w:color="BFBFBF"/>
              <w:right w:val="single" w:sz="8" w:space="0" w:color="BFBFBF"/>
            </w:tcBorders>
            <w:shd w:val="clear" w:color="000000" w:fill="F2F2F2"/>
            <w:vAlign w:val="center"/>
            <w:hideMark/>
          </w:tcPr>
          <w:p w14:paraId="1B99B9A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de las 32 áreas urbanas de interés.</w:t>
            </w:r>
          </w:p>
        </w:tc>
      </w:tr>
      <w:tr w:rsidR="002752B5" w:rsidRPr="009A501D" w14:paraId="0EEDFEC8" w14:textId="77777777" w:rsidTr="00430123">
        <w:trPr>
          <w:trHeight w:val="274"/>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C0CF0C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77DD0B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EAC</w:t>
            </w:r>
          </w:p>
        </w:tc>
        <w:tc>
          <w:tcPr>
            <w:tcW w:w="2003" w:type="pct"/>
            <w:tcBorders>
              <w:top w:val="nil"/>
              <w:left w:val="nil"/>
              <w:bottom w:val="single" w:sz="8" w:space="0" w:color="BFBFBF"/>
              <w:right w:val="single" w:sz="8" w:space="0" w:color="BFBFBF"/>
            </w:tcBorders>
            <w:shd w:val="clear" w:color="auto" w:fill="auto"/>
            <w:vAlign w:val="center"/>
            <w:hideMark/>
          </w:tcPr>
          <w:p w14:paraId="10BDE9A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auto" w:fill="auto"/>
            <w:noWrap/>
            <w:vAlign w:val="center"/>
            <w:hideMark/>
          </w:tcPr>
          <w:p w14:paraId="60BA9E3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2537971"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62</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766D45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rama de comercio al por menor; Nacional por rama de comercio al por mayor.</w:t>
            </w:r>
          </w:p>
        </w:tc>
      </w:tr>
      <w:tr w:rsidR="002752B5" w:rsidRPr="009A501D" w14:paraId="3E1748D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B53EFF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E2977C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FFFFF"/>
            <w:vAlign w:val="center"/>
            <w:hideMark/>
          </w:tcPr>
          <w:p w14:paraId="57E4C4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 por Suministro de Bienes y Servicios</w:t>
            </w:r>
          </w:p>
        </w:tc>
        <w:tc>
          <w:tcPr>
            <w:tcW w:w="428" w:type="pct"/>
            <w:tcBorders>
              <w:top w:val="nil"/>
              <w:left w:val="nil"/>
              <w:bottom w:val="single" w:sz="8" w:space="0" w:color="BFBFBF"/>
              <w:right w:val="single" w:sz="8" w:space="0" w:color="BFBFBF"/>
            </w:tcBorders>
            <w:shd w:val="clear" w:color="000000" w:fill="FFFFFF"/>
            <w:noWrap/>
            <w:vAlign w:val="center"/>
            <w:hideMark/>
          </w:tcPr>
          <w:p w14:paraId="7E5C706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477" w:type="pct"/>
            <w:vMerge/>
            <w:tcBorders>
              <w:top w:val="nil"/>
              <w:left w:val="single" w:sz="8" w:space="0" w:color="BFBFBF"/>
              <w:bottom w:val="single" w:sz="8" w:space="0" w:color="BFBFBF"/>
              <w:right w:val="single" w:sz="8" w:space="0" w:color="BFBFBF"/>
            </w:tcBorders>
            <w:vAlign w:val="center"/>
            <w:hideMark/>
          </w:tcPr>
          <w:p w14:paraId="3B5044C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16A825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35FE03C"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1E51C53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207541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EAEC</w:t>
            </w:r>
          </w:p>
        </w:tc>
        <w:tc>
          <w:tcPr>
            <w:tcW w:w="2003" w:type="pct"/>
            <w:tcBorders>
              <w:top w:val="nil"/>
              <w:left w:val="nil"/>
              <w:bottom w:val="single" w:sz="8" w:space="0" w:color="BFBFBF"/>
              <w:right w:val="single" w:sz="8" w:space="0" w:color="BFBFBF"/>
            </w:tcBorders>
            <w:shd w:val="clear" w:color="000000" w:fill="F2F2F2"/>
            <w:vAlign w:val="center"/>
            <w:hideMark/>
          </w:tcPr>
          <w:p w14:paraId="2E31443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000000" w:fill="F2F2F2"/>
            <w:noWrap/>
            <w:vAlign w:val="center"/>
            <w:hideMark/>
          </w:tcPr>
          <w:p w14:paraId="3313516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727426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72</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082A21D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por subsector; Por entidad federativa.</w:t>
            </w:r>
          </w:p>
        </w:tc>
      </w:tr>
      <w:tr w:rsidR="002752B5" w:rsidRPr="009A501D" w14:paraId="502223E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02A361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E68DC9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7E3E32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Valor de la Producción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2C8E158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w:t>
            </w:r>
          </w:p>
        </w:tc>
        <w:tc>
          <w:tcPr>
            <w:tcW w:w="477" w:type="pct"/>
            <w:vMerge/>
            <w:tcBorders>
              <w:top w:val="nil"/>
              <w:left w:val="single" w:sz="8" w:space="0" w:color="BFBFBF"/>
              <w:bottom w:val="single" w:sz="8" w:space="0" w:color="BFBFBF"/>
              <w:right w:val="single" w:sz="8" w:space="0" w:color="BFBFBF"/>
            </w:tcBorders>
            <w:vAlign w:val="center"/>
            <w:hideMark/>
          </w:tcPr>
          <w:p w14:paraId="61DCA50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8B3ADD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AEB7CEF"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8C8DB6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C95702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EAIM</w:t>
            </w:r>
          </w:p>
        </w:tc>
        <w:tc>
          <w:tcPr>
            <w:tcW w:w="2003" w:type="pct"/>
            <w:tcBorders>
              <w:top w:val="nil"/>
              <w:left w:val="nil"/>
              <w:bottom w:val="single" w:sz="8" w:space="0" w:color="BFBFBF"/>
              <w:right w:val="single" w:sz="8" w:space="0" w:color="BFBFBF"/>
            </w:tcBorders>
            <w:shd w:val="clear" w:color="auto" w:fill="auto"/>
            <w:vAlign w:val="center"/>
            <w:hideMark/>
          </w:tcPr>
          <w:p w14:paraId="6BFD814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auto" w:fill="auto"/>
            <w:noWrap/>
            <w:vAlign w:val="center"/>
            <w:hideMark/>
          </w:tcPr>
          <w:p w14:paraId="7755888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764DB4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223</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633BDF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clase.</w:t>
            </w:r>
          </w:p>
        </w:tc>
      </w:tr>
      <w:tr w:rsidR="002752B5" w:rsidRPr="009A501D" w14:paraId="682E43D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7249A0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2365AD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A47781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w:t>
            </w:r>
          </w:p>
        </w:tc>
        <w:tc>
          <w:tcPr>
            <w:tcW w:w="428" w:type="pct"/>
            <w:tcBorders>
              <w:top w:val="nil"/>
              <w:left w:val="nil"/>
              <w:bottom w:val="single" w:sz="8" w:space="0" w:color="BFBFBF"/>
              <w:right w:val="single" w:sz="8" w:space="0" w:color="BFBFBF"/>
            </w:tcBorders>
            <w:shd w:val="clear" w:color="auto" w:fill="auto"/>
            <w:noWrap/>
            <w:vAlign w:val="center"/>
            <w:hideMark/>
          </w:tcPr>
          <w:p w14:paraId="42D7EF7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219</w:t>
            </w:r>
          </w:p>
        </w:tc>
        <w:tc>
          <w:tcPr>
            <w:tcW w:w="477" w:type="pct"/>
            <w:vMerge/>
            <w:tcBorders>
              <w:top w:val="nil"/>
              <w:left w:val="single" w:sz="8" w:space="0" w:color="BFBFBF"/>
              <w:bottom w:val="single" w:sz="8" w:space="0" w:color="BFBFBF"/>
              <w:right w:val="single" w:sz="8" w:space="0" w:color="BFBFBF"/>
            </w:tcBorders>
            <w:vAlign w:val="center"/>
            <w:hideMark/>
          </w:tcPr>
          <w:p w14:paraId="710A768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972122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187864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51ED96B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2BC2E9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EASPNF</w:t>
            </w:r>
          </w:p>
        </w:tc>
        <w:tc>
          <w:tcPr>
            <w:tcW w:w="2003" w:type="pct"/>
            <w:tcBorders>
              <w:top w:val="nil"/>
              <w:left w:val="nil"/>
              <w:bottom w:val="single" w:sz="8" w:space="0" w:color="BFBFBF"/>
              <w:right w:val="single" w:sz="8" w:space="0" w:color="BFBFBF"/>
            </w:tcBorders>
            <w:shd w:val="clear" w:color="000000" w:fill="F2F2F2"/>
            <w:vAlign w:val="center"/>
            <w:hideMark/>
          </w:tcPr>
          <w:p w14:paraId="2853581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000000" w:fill="F2F2F2"/>
            <w:noWrap/>
            <w:vAlign w:val="center"/>
            <w:hideMark/>
          </w:tcPr>
          <w:p w14:paraId="2066C43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18260BA"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129</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21C584E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clase; Nacional por rama.</w:t>
            </w:r>
          </w:p>
        </w:tc>
      </w:tr>
      <w:tr w:rsidR="002752B5" w:rsidRPr="009A501D" w14:paraId="5DD3E2D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7362F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4C06B1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4D9495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 por Suministro de Bienes y Servicios</w:t>
            </w:r>
          </w:p>
        </w:tc>
        <w:tc>
          <w:tcPr>
            <w:tcW w:w="428" w:type="pct"/>
            <w:tcBorders>
              <w:top w:val="nil"/>
              <w:left w:val="nil"/>
              <w:bottom w:val="single" w:sz="8" w:space="0" w:color="BFBFBF"/>
              <w:right w:val="single" w:sz="8" w:space="0" w:color="BFBFBF"/>
            </w:tcBorders>
            <w:shd w:val="clear" w:color="000000" w:fill="F2F2F2"/>
            <w:noWrap/>
            <w:vAlign w:val="center"/>
            <w:hideMark/>
          </w:tcPr>
          <w:p w14:paraId="2EDE7AD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89</w:t>
            </w:r>
          </w:p>
        </w:tc>
        <w:tc>
          <w:tcPr>
            <w:tcW w:w="477" w:type="pct"/>
            <w:vMerge/>
            <w:tcBorders>
              <w:top w:val="nil"/>
              <w:left w:val="single" w:sz="8" w:space="0" w:color="BFBFBF"/>
              <w:bottom w:val="single" w:sz="8" w:space="0" w:color="BFBFBF"/>
              <w:right w:val="single" w:sz="8" w:space="0" w:color="BFBFBF"/>
            </w:tcBorders>
            <w:vAlign w:val="center"/>
            <w:hideMark/>
          </w:tcPr>
          <w:p w14:paraId="281BA92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83615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DAA7987"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4B2BAA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7B09E3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EAT</w:t>
            </w:r>
          </w:p>
        </w:tc>
        <w:tc>
          <w:tcPr>
            <w:tcW w:w="2003" w:type="pct"/>
            <w:tcBorders>
              <w:top w:val="nil"/>
              <w:left w:val="nil"/>
              <w:bottom w:val="single" w:sz="8" w:space="0" w:color="BFBFBF"/>
              <w:right w:val="single" w:sz="8" w:space="0" w:color="BFBFBF"/>
            </w:tcBorders>
            <w:shd w:val="clear" w:color="auto" w:fill="auto"/>
            <w:vAlign w:val="center"/>
            <w:hideMark/>
          </w:tcPr>
          <w:p w14:paraId="4DB2B19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auto" w:fill="auto"/>
            <w:noWrap/>
            <w:vAlign w:val="center"/>
            <w:hideMark/>
          </w:tcPr>
          <w:p w14:paraId="5B53F9B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FA0F2F2"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15</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C9510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clase; Nacional por subsector.</w:t>
            </w:r>
          </w:p>
        </w:tc>
      </w:tr>
      <w:tr w:rsidR="002752B5" w:rsidRPr="009A501D" w14:paraId="723A68F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004EF8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86522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AE18F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 por Suministro de Bienes y Servicios</w:t>
            </w:r>
          </w:p>
        </w:tc>
        <w:tc>
          <w:tcPr>
            <w:tcW w:w="428" w:type="pct"/>
            <w:tcBorders>
              <w:top w:val="nil"/>
              <w:left w:val="nil"/>
              <w:bottom w:val="single" w:sz="8" w:space="0" w:color="BFBFBF"/>
              <w:right w:val="single" w:sz="8" w:space="0" w:color="BFBFBF"/>
            </w:tcBorders>
            <w:shd w:val="clear" w:color="auto" w:fill="auto"/>
            <w:noWrap/>
            <w:vAlign w:val="center"/>
            <w:hideMark/>
          </w:tcPr>
          <w:p w14:paraId="6A56B5A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477" w:type="pct"/>
            <w:vMerge/>
            <w:tcBorders>
              <w:top w:val="nil"/>
              <w:left w:val="single" w:sz="8" w:space="0" w:color="BFBFBF"/>
              <w:bottom w:val="single" w:sz="8" w:space="0" w:color="BFBFBF"/>
              <w:right w:val="single" w:sz="8" w:space="0" w:color="BFBFBF"/>
            </w:tcBorders>
            <w:vAlign w:val="center"/>
            <w:hideMark/>
          </w:tcPr>
          <w:p w14:paraId="1B832C5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24814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4D0938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5D8F60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F62B2B9" w14:textId="7A5F5748"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ECIS</w:t>
            </w:r>
            <w:r w:rsidR="00460EC4">
              <w:rPr>
                <w:rStyle w:val="Refdenotaalpie"/>
                <w:rFonts w:ascii="Century Gothic" w:eastAsia="Times New Roman" w:hAnsi="Century Gothic" w:cs="Calibri"/>
                <w:color w:val="000000"/>
                <w:sz w:val="16"/>
                <w:szCs w:val="16"/>
                <w:lang w:eastAsia="es-MX"/>
              </w:rPr>
              <w:footnoteReference w:id="20"/>
            </w:r>
          </w:p>
        </w:tc>
        <w:tc>
          <w:tcPr>
            <w:tcW w:w="2003" w:type="pct"/>
            <w:tcBorders>
              <w:top w:val="nil"/>
              <w:left w:val="nil"/>
              <w:bottom w:val="single" w:sz="8" w:space="0" w:color="BFBFBF"/>
              <w:right w:val="single" w:sz="8" w:space="0" w:color="BFBFBF"/>
            </w:tcBorders>
            <w:shd w:val="clear" w:color="000000" w:fill="F2F2F2"/>
            <w:vAlign w:val="center"/>
            <w:hideMark/>
          </w:tcPr>
          <w:p w14:paraId="786F30A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y porcentaje) Empresas 2021 (al momento de la entrevista) </w:t>
            </w:r>
          </w:p>
        </w:tc>
        <w:tc>
          <w:tcPr>
            <w:tcW w:w="428" w:type="pct"/>
            <w:tcBorders>
              <w:top w:val="nil"/>
              <w:left w:val="nil"/>
              <w:bottom w:val="single" w:sz="8" w:space="0" w:color="BFBFBF"/>
              <w:right w:val="single" w:sz="8" w:space="0" w:color="BFBFBF"/>
            </w:tcBorders>
            <w:shd w:val="clear" w:color="000000" w:fill="F2F2F2"/>
            <w:noWrap/>
            <w:vAlign w:val="center"/>
            <w:hideMark/>
          </w:tcPr>
          <w:p w14:paraId="5CAB7C5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9CF1769"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2,836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58C1FB3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w:t>
            </w:r>
          </w:p>
        </w:tc>
      </w:tr>
      <w:tr w:rsidR="002752B5" w:rsidRPr="009A501D" w14:paraId="3F4EA47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0B779C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9C6BC4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832B20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porcentaje grupo, porcentaje del total de empresas) Empresas que no forman parte de una multinacional </w:t>
            </w:r>
          </w:p>
        </w:tc>
        <w:tc>
          <w:tcPr>
            <w:tcW w:w="428" w:type="pct"/>
            <w:tcBorders>
              <w:top w:val="nil"/>
              <w:left w:val="nil"/>
              <w:bottom w:val="single" w:sz="8" w:space="0" w:color="BFBFBF"/>
              <w:right w:val="single" w:sz="8" w:space="0" w:color="BFBFBF"/>
            </w:tcBorders>
            <w:shd w:val="clear" w:color="000000" w:fill="F2F2F2"/>
            <w:noWrap/>
            <w:vAlign w:val="center"/>
            <w:hideMark/>
          </w:tcPr>
          <w:p w14:paraId="7BE5CC5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w:t>
            </w:r>
          </w:p>
        </w:tc>
        <w:tc>
          <w:tcPr>
            <w:tcW w:w="477" w:type="pct"/>
            <w:vMerge/>
            <w:tcBorders>
              <w:top w:val="nil"/>
              <w:left w:val="single" w:sz="8" w:space="0" w:color="BFBFBF"/>
              <w:bottom w:val="single" w:sz="8" w:space="0" w:color="BFBFBF"/>
              <w:right w:val="single" w:sz="8" w:space="0" w:color="BFBFBF"/>
            </w:tcBorders>
            <w:vAlign w:val="center"/>
            <w:hideMark/>
          </w:tcPr>
          <w:p w14:paraId="39DD8FE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3E690D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FD199B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707B9A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E6A086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4D0E48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Transacciones de servicios en el extranjero </w:t>
            </w:r>
          </w:p>
        </w:tc>
        <w:tc>
          <w:tcPr>
            <w:tcW w:w="428" w:type="pct"/>
            <w:tcBorders>
              <w:top w:val="nil"/>
              <w:left w:val="nil"/>
              <w:bottom w:val="single" w:sz="8" w:space="0" w:color="BFBFBF"/>
              <w:right w:val="single" w:sz="8" w:space="0" w:color="BFBFBF"/>
            </w:tcBorders>
            <w:shd w:val="clear" w:color="000000" w:fill="F2F2F2"/>
            <w:noWrap/>
            <w:vAlign w:val="center"/>
            <w:hideMark/>
          </w:tcPr>
          <w:p w14:paraId="2CDC071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477" w:type="pct"/>
            <w:vMerge/>
            <w:tcBorders>
              <w:top w:val="nil"/>
              <w:left w:val="single" w:sz="8" w:space="0" w:color="BFBFBF"/>
              <w:bottom w:val="single" w:sz="8" w:space="0" w:color="BFBFBF"/>
              <w:right w:val="single" w:sz="8" w:space="0" w:color="BFBFBF"/>
            </w:tcBorders>
            <w:vAlign w:val="center"/>
            <w:hideMark/>
          </w:tcPr>
          <w:p w14:paraId="100863A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CE3F24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AE9730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70366E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88FD98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198E49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porcentaje del total de empresas) Empresas que han realizado comercio internacional según otro tipo de servicio</w:t>
            </w:r>
          </w:p>
        </w:tc>
        <w:tc>
          <w:tcPr>
            <w:tcW w:w="428" w:type="pct"/>
            <w:tcBorders>
              <w:top w:val="nil"/>
              <w:left w:val="nil"/>
              <w:bottom w:val="single" w:sz="8" w:space="0" w:color="BFBFBF"/>
              <w:right w:val="single" w:sz="8" w:space="0" w:color="BFBFBF"/>
            </w:tcBorders>
            <w:shd w:val="clear" w:color="000000" w:fill="F2F2F2"/>
            <w:noWrap/>
            <w:vAlign w:val="center"/>
            <w:hideMark/>
          </w:tcPr>
          <w:p w14:paraId="31853DF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w:t>
            </w:r>
          </w:p>
        </w:tc>
        <w:tc>
          <w:tcPr>
            <w:tcW w:w="477" w:type="pct"/>
            <w:vMerge/>
            <w:tcBorders>
              <w:top w:val="nil"/>
              <w:left w:val="single" w:sz="8" w:space="0" w:color="BFBFBF"/>
              <w:bottom w:val="single" w:sz="8" w:space="0" w:color="BFBFBF"/>
              <w:right w:val="single" w:sz="8" w:space="0" w:color="BFBFBF"/>
            </w:tcBorders>
            <w:vAlign w:val="center"/>
            <w:hideMark/>
          </w:tcPr>
          <w:p w14:paraId="5FA6AB1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17FE1E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w:t>
            </w:r>
          </w:p>
        </w:tc>
      </w:tr>
      <w:tr w:rsidR="002752B5" w:rsidRPr="009A501D" w14:paraId="3F05D95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8EDE4E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972345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D4F25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Empresas que no han realizado comercio internacional según otro tipo de servicio</w:t>
            </w:r>
          </w:p>
        </w:tc>
        <w:tc>
          <w:tcPr>
            <w:tcW w:w="428" w:type="pct"/>
            <w:tcBorders>
              <w:top w:val="nil"/>
              <w:left w:val="nil"/>
              <w:bottom w:val="single" w:sz="8" w:space="0" w:color="BFBFBF"/>
              <w:right w:val="single" w:sz="8" w:space="0" w:color="BFBFBF"/>
            </w:tcBorders>
            <w:shd w:val="clear" w:color="000000" w:fill="F2F2F2"/>
            <w:noWrap/>
            <w:vAlign w:val="center"/>
            <w:hideMark/>
          </w:tcPr>
          <w:p w14:paraId="705ACFE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477" w:type="pct"/>
            <w:vMerge/>
            <w:tcBorders>
              <w:top w:val="nil"/>
              <w:left w:val="single" w:sz="8" w:space="0" w:color="BFBFBF"/>
              <w:bottom w:val="single" w:sz="8" w:space="0" w:color="BFBFBF"/>
              <w:right w:val="single" w:sz="8" w:space="0" w:color="BFBFBF"/>
            </w:tcBorders>
            <w:vAlign w:val="center"/>
            <w:hideMark/>
          </w:tcPr>
          <w:p w14:paraId="66E7024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74F0F2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F2AB67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E70781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BBCB4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15C9CB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del total de empresas) Empresas que realizaron algún servicio  </w:t>
            </w:r>
          </w:p>
        </w:tc>
        <w:tc>
          <w:tcPr>
            <w:tcW w:w="428" w:type="pct"/>
            <w:tcBorders>
              <w:top w:val="nil"/>
              <w:left w:val="nil"/>
              <w:bottom w:val="single" w:sz="8" w:space="0" w:color="BFBFBF"/>
              <w:right w:val="single" w:sz="8" w:space="0" w:color="BFBFBF"/>
            </w:tcBorders>
            <w:shd w:val="clear" w:color="000000" w:fill="F2F2F2"/>
            <w:noWrap/>
            <w:vAlign w:val="center"/>
            <w:hideMark/>
          </w:tcPr>
          <w:p w14:paraId="48F44C8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477" w:type="pct"/>
            <w:vMerge/>
            <w:tcBorders>
              <w:top w:val="nil"/>
              <w:left w:val="single" w:sz="8" w:space="0" w:color="BFBFBF"/>
              <w:bottom w:val="single" w:sz="8" w:space="0" w:color="BFBFBF"/>
              <w:right w:val="single" w:sz="8" w:space="0" w:color="BFBFBF"/>
            </w:tcBorders>
            <w:vAlign w:val="center"/>
            <w:hideMark/>
          </w:tcPr>
          <w:p w14:paraId="5F27C3A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389F9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AEE19E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4A75E0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3D022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2DA3C7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(Monto, porcentaje del grupo, porcentaje del total de empresas) Gastos de las empresas que realizan Comercio Internacional de Servicios</w:t>
            </w:r>
          </w:p>
        </w:tc>
        <w:tc>
          <w:tcPr>
            <w:tcW w:w="428" w:type="pct"/>
            <w:tcBorders>
              <w:top w:val="nil"/>
              <w:left w:val="nil"/>
              <w:bottom w:val="single" w:sz="8" w:space="0" w:color="BFBFBF"/>
              <w:right w:val="single" w:sz="8" w:space="0" w:color="BFBFBF"/>
            </w:tcBorders>
            <w:shd w:val="clear" w:color="000000" w:fill="F2F2F2"/>
            <w:noWrap/>
            <w:vAlign w:val="center"/>
            <w:hideMark/>
          </w:tcPr>
          <w:p w14:paraId="594D854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78</w:t>
            </w:r>
          </w:p>
        </w:tc>
        <w:tc>
          <w:tcPr>
            <w:tcW w:w="477" w:type="pct"/>
            <w:vMerge/>
            <w:tcBorders>
              <w:top w:val="nil"/>
              <w:left w:val="single" w:sz="8" w:space="0" w:color="BFBFBF"/>
              <w:bottom w:val="single" w:sz="8" w:space="0" w:color="BFBFBF"/>
              <w:right w:val="single" w:sz="8" w:space="0" w:color="BFBFBF"/>
            </w:tcBorders>
            <w:vAlign w:val="center"/>
            <w:hideMark/>
          </w:tcPr>
          <w:p w14:paraId="0DFFDB6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2B90BEA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modo de suministro; Por destino de gastos</w:t>
            </w:r>
          </w:p>
        </w:tc>
      </w:tr>
      <w:tr w:rsidR="002752B5" w:rsidRPr="009A501D" w14:paraId="621E23D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B639C1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767DF9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6FA924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(Monto, porcentaje del grupo) Ingresos de las empresas que realizan Comercio Internacional de Servicios </w:t>
            </w:r>
          </w:p>
        </w:tc>
        <w:tc>
          <w:tcPr>
            <w:tcW w:w="428" w:type="pct"/>
            <w:tcBorders>
              <w:top w:val="nil"/>
              <w:left w:val="nil"/>
              <w:bottom w:val="single" w:sz="8" w:space="0" w:color="BFBFBF"/>
              <w:right w:val="single" w:sz="8" w:space="0" w:color="BFBFBF"/>
            </w:tcBorders>
            <w:shd w:val="clear" w:color="000000" w:fill="F2F2F2"/>
            <w:noWrap/>
            <w:vAlign w:val="center"/>
            <w:hideMark/>
          </w:tcPr>
          <w:p w14:paraId="05C9A9F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56</w:t>
            </w:r>
          </w:p>
        </w:tc>
        <w:tc>
          <w:tcPr>
            <w:tcW w:w="477" w:type="pct"/>
            <w:vMerge/>
            <w:tcBorders>
              <w:top w:val="nil"/>
              <w:left w:val="single" w:sz="8" w:space="0" w:color="BFBFBF"/>
              <w:bottom w:val="single" w:sz="8" w:space="0" w:color="BFBFBF"/>
              <w:right w:val="single" w:sz="8" w:space="0" w:color="BFBFBF"/>
            </w:tcBorders>
            <w:vAlign w:val="center"/>
            <w:hideMark/>
          </w:tcPr>
          <w:p w14:paraId="248B622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240FC5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077787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95302A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09A401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899E11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porcentaje de grupo) Empresas que presentan gastos  </w:t>
            </w:r>
          </w:p>
        </w:tc>
        <w:tc>
          <w:tcPr>
            <w:tcW w:w="428" w:type="pct"/>
            <w:tcBorders>
              <w:top w:val="nil"/>
              <w:left w:val="nil"/>
              <w:bottom w:val="single" w:sz="8" w:space="0" w:color="BFBFBF"/>
              <w:right w:val="single" w:sz="8" w:space="0" w:color="BFBFBF"/>
            </w:tcBorders>
            <w:shd w:val="clear" w:color="000000" w:fill="F2F2F2"/>
            <w:noWrap/>
            <w:vAlign w:val="center"/>
            <w:hideMark/>
          </w:tcPr>
          <w:p w14:paraId="425CF94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546</w:t>
            </w:r>
          </w:p>
        </w:tc>
        <w:tc>
          <w:tcPr>
            <w:tcW w:w="477" w:type="pct"/>
            <w:vMerge/>
            <w:tcBorders>
              <w:top w:val="nil"/>
              <w:left w:val="single" w:sz="8" w:space="0" w:color="BFBFBF"/>
              <w:bottom w:val="single" w:sz="8" w:space="0" w:color="BFBFBF"/>
              <w:right w:val="single" w:sz="8" w:space="0" w:color="BFBFBF"/>
            </w:tcBorders>
            <w:vAlign w:val="center"/>
            <w:hideMark/>
          </w:tcPr>
          <w:p w14:paraId="03D5305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24ABDE2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modo de suministro; Por destino de gastos; Por tipo de servicio</w:t>
            </w:r>
          </w:p>
        </w:tc>
      </w:tr>
      <w:tr w:rsidR="002752B5" w:rsidRPr="009A501D" w14:paraId="458C9D8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255E47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42B9F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892B04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del total de empresas) Gastos de las empresas que realizan algún tipo de servicio </w:t>
            </w:r>
          </w:p>
        </w:tc>
        <w:tc>
          <w:tcPr>
            <w:tcW w:w="428" w:type="pct"/>
            <w:tcBorders>
              <w:top w:val="nil"/>
              <w:left w:val="nil"/>
              <w:bottom w:val="single" w:sz="8" w:space="0" w:color="BFBFBF"/>
              <w:right w:val="single" w:sz="8" w:space="0" w:color="BFBFBF"/>
            </w:tcBorders>
            <w:shd w:val="clear" w:color="000000" w:fill="F2F2F2"/>
            <w:noWrap/>
            <w:vAlign w:val="center"/>
            <w:hideMark/>
          </w:tcPr>
          <w:p w14:paraId="6E81E8F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80</w:t>
            </w:r>
          </w:p>
        </w:tc>
        <w:tc>
          <w:tcPr>
            <w:tcW w:w="477" w:type="pct"/>
            <w:vMerge/>
            <w:tcBorders>
              <w:top w:val="nil"/>
              <w:left w:val="single" w:sz="8" w:space="0" w:color="BFBFBF"/>
              <w:bottom w:val="single" w:sz="8" w:space="0" w:color="BFBFBF"/>
              <w:right w:val="single" w:sz="8" w:space="0" w:color="BFBFBF"/>
            </w:tcBorders>
            <w:vAlign w:val="center"/>
            <w:hideMark/>
          </w:tcPr>
          <w:p w14:paraId="08D31CA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5FF131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D20506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E83BF5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F4F9B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C1FDB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del total de empresas) Ingresos de las empresas </w:t>
            </w:r>
          </w:p>
        </w:tc>
        <w:tc>
          <w:tcPr>
            <w:tcW w:w="428" w:type="pct"/>
            <w:tcBorders>
              <w:top w:val="nil"/>
              <w:left w:val="nil"/>
              <w:bottom w:val="single" w:sz="8" w:space="0" w:color="BFBFBF"/>
              <w:right w:val="single" w:sz="8" w:space="0" w:color="BFBFBF"/>
            </w:tcBorders>
            <w:shd w:val="clear" w:color="000000" w:fill="F2F2F2"/>
            <w:noWrap/>
            <w:vAlign w:val="center"/>
            <w:hideMark/>
          </w:tcPr>
          <w:p w14:paraId="3D2D012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0290EE8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0D1BC3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modo de suministro; Por origen de ingresos</w:t>
            </w:r>
          </w:p>
        </w:tc>
      </w:tr>
      <w:tr w:rsidR="002752B5" w:rsidRPr="009A501D" w14:paraId="511D7B8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BB900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367870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5B5172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porcentaje del grupo) Empresas que presentan ingresos </w:t>
            </w:r>
          </w:p>
        </w:tc>
        <w:tc>
          <w:tcPr>
            <w:tcW w:w="428" w:type="pct"/>
            <w:tcBorders>
              <w:top w:val="nil"/>
              <w:left w:val="nil"/>
              <w:bottom w:val="single" w:sz="8" w:space="0" w:color="BFBFBF"/>
              <w:right w:val="single" w:sz="8" w:space="0" w:color="BFBFBF"/>
            </w:tcBorders>
            <w:shd w:val="clear" w:color="000000" w:fill="F2F2F2"/>
            <w:noWrap/>
            <w:vAlign w:val="center"/>
            <w:hideMark/>
          </w:tcPr>
          <w:p w14:paraId="5F46F32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514</w:t>
            </w:r>
          </w:p>
        </w:tc>
        <w:tc>
          <w:tcPr>
            <w:tcW w:w="477" w:type="pct"/>
            <w:vMerge/>
            <w:tcBorders>
              <w:top w:val="nil"/>
              <w:left w:val="single" w:sz="8" w:space="0" w:color="BFBFBF"/>
              <w:bottom w:val="single" w:sz="8" w:space="0" w:color="BFBFBF"/>
              <w:right w:val="single" w:sz="8" w:space="0" w:color="BFBFBF"/>
            </w:tcBorders>
            <w:vAlign w:val="center"/>
            <w:hideMark/>
          </w:tcPr>
          <w:p w14:paraId="3FEC4A1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6E3ED8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modo de suministro; Por origen de ingresos; Por tipo de servicio</w:t>
            </w:r>
          </w:p>
        </w:tc>
      </w:tr>
      <w:tr w:rsidR="002752B5" w:rsidRPr="009A501D" w14:paraId="0B55484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31928E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742587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747C81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del total de empresas con ingresos) Ingresos de las empresas que realizan algún tipo de servicio </w:t>
            </w:r>
          </w:p>
        </w:tc>
        <w:tc>
          <w:tcPr>
            <w:tcW w:w="428" w:type="pct"/>
            <w:tcBorders>
              <w:top w:val="nil"/>
              <w:left w:val="nil"/>
              <w:bottom w:val="single" w:sz="8" w:space="0" w:color="BFBFBF"/>
              <w:right w:val="single" w:sz="8" w:space="0" w:color="BFBFBF"/>
            </w:tcBorders>
            <w:shd w:val="clear" w:color="000000" w:fill="F2F2F2"/>
            <w:noWrap/>
            <w:vAlign w:val="center"/>
            <w:hideMark/>
          </w:tcPr>
          <w:p w14:paraId="57D3B01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170</w:t>
            </w:r>
          </w:p>
        </w:tc>
        <w:tc>
          <w:tcPr>
            <w:tcW w:w="477" w:type="pct"/>
            <w:vMerge/>
            <w:tcBorders>
              <w:top w:val="nil"/>
              <w:left w:val="single" w:sz="8" w:space="0" w:color="BFBFBF"/>
              <w:bottom w:val="single" w:sz="8" w:space="0" w:color="BFBFBF"/>
              <w:right w:val="single" w:sz="8" w:space="0" w:color="BFBFBF"/>
            </w:tcBorders>
            <w:vAlign w:val="center"/>
            <w:hideMark/>
          </w:tcPr>
          <w:p w14:paraId="6F17096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1D0338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DBADED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1C20F1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CCA2D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33A34B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porcentaje del total de empresas) Empresas que no han realizado algún tipo de servicio</w:t>
            </w:r>
          </w:p>
        </w:tc>
        <w:tc>
          <w:tcPr>
            <w:tcW w:w="428" w:type="pct"/>
            <w:tcBorders>
              <w:top w:val="nil"/>
              <w:left w:val="nil"/>
              <w:bottom w:val="single" w:sz="8" w:space="0" w:color="BFBFBF"/>
              <w:right w:val="single" w:sz="8" w:space="0" w:color="BFBFBF"/>
            </w:tcBorders>
            <w:shd w:val="clear" w:color="000000" w:fill="F2F2F2"/>
            <w:noWrap/>
            <w:vAlign w:val="center"/>
            <w:hideMark/>
          </w:tcPr>
          <w:p w14:paraId="0B05A06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240</w:t>
            </w:r>
          </w:p>
        </w:tc>
        <w:tc>
          <w:tcPr>
            <w:tcW w:w="477" w:type="pct"/>
            <w:vMerge/>
            <w:tcBorders>
              <w:top w:val="nil"/>
              <w:left w:val="single" w:sz="8" w:space="0" w:color="BFBFBF"/>
              <w:bottom w:val="single" w:sz="8" w:space="0" w:color="BFBFBF"/>
              <w:right w:val="single" w:sz="8" w:space="0" w:color="BFBFBF"/>
            </w:tcBorders>
            <w:vAlign w:val="center"/>
            <w:hideMark/>
          </w:tcPr>
          <w:p w14:paraId="71E791A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5BCB34F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tipo de servicio</w:t>
            </w:r>
          </w:p>
        </w:tc>
      </w:tr>
      <w:tr w:rsidR="002752B5" w:rsidRPr="009A501D" w14:paraId="2880E74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503970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5C6A95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15C0DE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porcentaje del total de empresas) Empresas que han realizado algún tipo de servicio</w:t>
            </w:r>
          </w:p>
        </w:tc>
        <w:tc>
          <w:tcPr>
            <w:tcW w:w="428" w:type="pct"/>
            <w:tcBorders>
              <w:top w:val="nil"/>
              <w:left w:val="nil"/>
              <w:bottom w:val="single" w:sz="8" w:space="0" w:color="BFBFBF"/>
              <w:right w:val="single" w:sz="8" w:space="0" w:color="BFBFBF"/>
            </w:tcBorders>
            <w:shd w:val="clear" w:color="000000" w:fill="F2F2F2"/>
            <w:noWrap/>
            <w:vAlign w:val="center"/>
            <w:hideMark/>
          </w:tcPr>
          <w:p w14:paraId="438D5A5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208</w:t>
            </w:r>
          </w:p>
        </w:tc>
        <w:tc>
          <w:tcPr>
            <w:tcW w:w="477" w:type="pct"/>
            <w:vMerge/>
            <w:tcBorders>
              <w:top w:val="nil"/>
              <w:left w:val="single" w:sz="8" w:space="0" w:color="BFBFBF"/>
              <w:bottom w:val="single" w:sz="8" w:space="0" w:color="BFBFBF"/>
              <w:right w:val="single" w:sz="8" w:space="0" w:color="BFBFBF"/>
            </w:tcBorders>
            <w:vAlign w:val="center"/>
            <w:hideMark/>
          </w:tcPr>
          <w:p w14:paraId="20CE864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E02479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1868F6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435B24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B05816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D41E8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(Monto) Ingresos de las empresas </w:t>
            </w:r>
          </w:p>
        </w:tc>
        <w:tc>
          <w:tcPr>
            <w:tcW w:w="428" w:type="pct"/>
            <w:tcBorders>
              <w:top w:val="nil"/>
              <w:left w:val="nil"/>
              <w:bottom w:val="single" w:sz="8" w:space="0" w:color="BFBFBF"/>
              <w:right w:val="single" w:sz="8" w:space="0" w:color="BFBFBF"/>
            </w:tcBorders>
            <w:shd w:val="clear" w:color="000000" w:fill="F2F2F2"/>
            <w:noWrap/>
            <w:vAlign w:val="center"/>
            <w:hideMark/>
          </w:tcPr>
          <w:p w14:paraId="5487ADF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176</w:t>
            </w:r>
          </w:p>
        </w:tc>
        <w:tc>
          <w:tcPr>
            <w:tcW w:w="477" w:type="pct"/>
            <w:vMerge/>
            <w:tcBorders>
              <w:top w:val="nil"/>
              <w:left w:val="single" w:sz="8" w:space="0" w:color="BFBFBF"/>
              <w:bottom w:val="single" w:sz="8" w:space="0" w:color="BFBFBF"/>
              <w:right w:val="single" w:sz="8" w:space="0" w:color="BFBFBF"/>
            </w:tcBorders>
            <w:vAlign w:val="center"/>
            <w:hideMark/>
          </w:tcPr>
          <w:p w14:paraId="74294E9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FB8043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año; Por tipo de servicio; Por modo de suministro</w:t>
            </w:r>
          </w:p>
        </w:tc>
      </w:tr>
      <w:tr w:rsidR="002752B5" w:rsidRPr="009A501D" w14:paraId="56883B8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238C2D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697196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DB585D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(Monto, Porcentaje del total de empresas) Gastos de las empresas </w:t>
            </w:r>
          </w:p>
        </w:tc>
        <w:tc>
          <w:tcPr>
            <w:tcW w:w="428" w:type="pct"/>
            <w:tcBorders>
              <w:top w:val="nil"/>
              <w:left w:val="nil"/>
              <w:bottom w:val="single" w:sz="8" w:space="0" w:color="BFBFBF"/>
              <w:right w:val="single" w:sz="8" w:space="0" w:color="BFBFBF"/>
            </w:tcBorders>
            <w:shd w:val="clear" w:color="000000" w:fill="F2F2F2"/>
            <w:noWrap/>
            <w:vAlign w:val="center"/>
            <w:hideMark/>
          </w:tcPr>
          <w:p w14:paraId="57DBE15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344</w:t>
            </w:r>
          </w:p>
        </w:tc>
        <w:tc>
          <w:tcPr>
            <w:tcW w:w="477" w:type="pct"/>
            <w:vMerge/>
            <w:tcBorders>
              <w:top w:val="nil"/>
              <w:left w:val="single" w:sz="8" w:space="0" w:color="BFBFBF"/>
              <w:bottom w:val="single" w:sz="8" w:space="0" w:color="BFBFBF"/>
              <w:right w:val="single" w:sz="8" w:space="0" w:color="BFBFBF"/>
            </w:tcBorders>
            <w:vAlign w:val="center"/>
            <w:hideMark/>
          </w:tcPr>
          <w:p w14:paraId="295FCF5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BA1500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FF069A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36107E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C7922E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E3CC6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y porcentaje) Empresas que forman parte de una multinacional con matriz </w:t>
            </w:r>
          </w:p>
        </w:tc>
        <w:tc>
          <w:tcPr>
            <w:tcW w:w="428" w:type="pct"/>
            <w:tcBorders>
              <w:top w:val="nil"/>
              <w:left w:val="nil"/>
              <w:bottom w:val="single" w:sz="8" w:space="0" w:color="BFBFBF"/>
              <w:right w:val="single" w:sz="8" w:space="0" w:color="BFBFBF"/>
            </w:tcBorders>
            <w:shd w:val="clear" w:color="000000" w:fill="F2F2F2"/>
            <w:noWrap/>
            <w:vAlign w:val="center"/>
            <w:hideMark/>
          </w:tcPr>
          <w:p w14:paraId="0C9E645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120</w:t>
            </w:r>
          </w:p>
        </w:tc>
        <w:tc>
          <w:tcPr>
            <w:tcW w:w="477" w:type="pct"/>
            <w:vMerge/>
            <w:tcBorders>
              <w:top w:val="nil"/>
              <w:left w:val="single" w:sz="8" w:space="0" w:color="BFBFBF"/>
              <w:bottom w:val="single" w:sz="8" w:space="0" w:color="BFBFBF"/>
              <w:right w:val="single" w:sz="8" w:space="0" w:color="BFBFBF"/>
            </w:tcBorders>
            <w:vAlign w:val="center"/>
            <w:hideMark/>
          </w:tcPr>
          <w:p w14:paraId="337D203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624AF04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país</w:t>
            </w:r>
          </w:p>
        </w:tc>
      </w:tr>
      <w:tr w:rsidR="002752B5" w:rsidRPr="009A501D" w14:paraId="730D366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512C6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C62504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2AFE7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(Número, porcentaje del grupo, porcentaje del total de empresas) Empresas que contratan o suministran algún servicio con el exterior </w:t>
            </w:r>
          </w:p>
        </w:tc>
        <w:tc>
          <w:tcPr>
            <w:tcW w:w="428" w:type="pct"/>
            <w:tcBorders>
              <w:top w:val="nil"/>
              <w:left w:val="nil"/>
              <w:bottom w:val="single" w:sz="8" w:space="0" w:color="BFBFBF"/>
              <w:right w:val="single" w:sz="8" w:space="0" w:color="BFBFBF"/>
            </w:tcBorders>
            <w:shd w:val="clear" w:color="000000" w:fill="F2F2F2"/>
            <w:noWrap/>
            <w:vAlign w:val="center"/>
            <w:hideMark/>
          </w:tcPr>
          <w:p w14:paraId="015C7C1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96</w:t>
            </w:r>
          </w:p>
        </w:tc>
        <w:tc>
          <w:tcPr>
            <w:tcW w:w="477" w:type="pct"/>
            <w:vMerge/>
            <w:tcBorders>
              <w:top w:val="nil"/>
              <w:left w:val="single" w:sz="8" w:space="0" w:color="BFBFBF"/>
              <w:bottom w:val="single" w:sz="8" w:space="0" w:color="BFBFBF"/>
              <w:right w:val="single" w:sz="8" w:space="0" w:color="BFBFBF"/>
            </w:tcBorders>
            <w:vAlign w:val="center"/>
            <w:hideMark/>
          </w:tcPr>
          <w:p w14:paraId="541239CD"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5A40627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gran sector; Por tamaño de empresa; Por periodicidad</w:t>
            </w:r>
          </w:p>
        </w:tc>
      </w:tr>
      <w:tr w:rsidR="002752B5" w:rsidRPr="009A501D" w14:paraId="372E69C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CEC235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A13D2D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58C319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del total de empresas con ingresos) Ingresos de las empresas </w:t>
            </w:r>
          </w:p>
        </w:tc>
        <w:tc>
          <w:tcPr>
            <w:tcW w:w="428" w:type="pct"/>
            <w:tcBorders>
              <w:top w:val="nil"/>
              <w:left w:val="nil"/>
              <w:bottom w:val="single" w:sz="8" w:space="0" w:color="BFBFBF"/>
              <w:right w:val="single" w:sz="8" w:space="0" w:color="BFBFBF"/>
            </w:tcBorders>
            <w:shd w:val="clear" w:color="000000" w:fill="F2F2F2"/>
            <w:noWrap/>
            <w:vAlign w:val="center"/>
            <w:hideMark/>
          </w:tcPr>
          <w:p w14:paraId="3E580DA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477" w:type="pct"/>
            <w:vMerge/>
            <w:tcBorders>
              <w:top w:val="nil"/>
              <w:left w:val="single" w:sz="8" w:space="0" w:color="BFBFBF"/>
              <w:bottom w:val="single" w:sz="8" w:space="0" w:color="BFBFBF"/>
              <w:right w:val="single" w:sz="8" w:space="0" w:color="BFBFBF"/>
            </w:tcBorders>
            <w:vAlign w:val="center"/>
            <w:hideMark/>
          </w:tcPr>
          <w:p w14:paraId="5310B3A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42C914C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año; Por origen de ingresos</w:t>
            </w:r>
          </w:p>
        </w:tc>
      </w:tr>
      <w:tr w:rsidR="002752B5" w:rsidRPr="009A501D" w14:paraId="2942223E"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A9D21E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92A8B9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CPV (C.A.)</w:t>
            </w:r>
          </w:p>
        </w:tc>
        <w:tc>
          <w:tcPr>
            <w:tcW w:w="2003" w:type="pct"/>
            <w:tcBorders>
              <w:top w:val="nil"/>
              <w:left w:val="nil"/>
              <w:bottom w:val="single" w:sz="8" w:space="0" w:color="BFBFBF"/>
              <w:right w:val="single" w:sz="8" w:space="0" w:color="BFBFBF"/>
            </w:tcBorders>
            <w:shd w:val="clear" w:color="auto" w:fill="auto"/>
            <w:vAlign w:val="center"/>
            <w:hideMark/>
          </w:tcPr>
          <w:p w14:paraId="003AC0B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Hombres</w:t>
            </w:r>
          </w:p>
        </w:tc>
        <w:tc>
          <w:tcPr>
            <w:tcW w:w="428" w:type="pct"/>
            <w:tcBorders>
              <w:top w:val="nil"/>
              <w:left w:val="nil"/>
              <w:bottom w:val="single" w:sz="8" w:space="0" w:color="BFBFBF"/>
              <w:right w:val="single" w:sz="8" w:space="0" w:color="BFBFBF"/>
            </w:tcBorders>
            <w:shd w:val="clear" w:color="auto" w:fill="auto"/>
            <w:noWrap/>
            <w:vAlign w:val="center"/>
            <w:hideMark/>
          </w:tcPr>
          <w:p w14:paraId="68FF9BD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10AA13C"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21,891</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7FD855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municipio; Por tamaño de localidad.</w:t>
            </w:r>
          </w:p>
        </w:tc>
      </w:tr>
      <w:tr w:rsidR="002752B5" w:rsidRPr="009A501D" w14:paraId="7B14A3F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928696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E5FAB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7499B8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Mujeres</w:t>
            </w:r>
          </w:p>
        </w:tc>
        <w:tc>
          <w:tcPr>
            <w:tcW w:w="428" w:type="pct"/>
            <w:tcBorders>
              <w:top w:val="nil"/>
              <w:left w:val="nil"/>
              <w:bottom w:val="single" w:sz="8" w:space="0" w:color="BFBFBF"/>
              <w:right w:val="single" w:sz="8" w:space="0" w:color="BFBFBF"/>
            </w:tcBorders>
            <w:shd w:val="clear" w:color="auto" w:fill="auto"/>
            <w:noWrap/>
            <w:vAlign w:val="center"/>
            <w:hideMark/>
          </w:tcPr>
          <w:p w14:paraId="6DDFA2A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376F544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5020F6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F25466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1E2857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A26ADC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8E6523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0 a 17 años</w:t>
            </w:r>
          </w:p>
        </w:tc>
        <w:tc>
          <w:tcPr>
            <w:tcW w:w="428" w:type="pct"/>
            <w:tcBorders>
              <w:top w:val="nil"/>
              <w:left w:val="nil"/>
              <w:bottom w:val="single" w:sz="8" w:space="0" w:color="BFBFBF"/>
              <w:right w:val="single" w:sz="8" w:space="0" w:color="BFBFBF"/>
            </w:tcBorders>
            <w:shd w:val="clear" w:color="auto" w:fill="auto"/>
            <w:noWrap/>
            <w:vAlign w:val="center"/>
            <w:hideMark/>
          </w:tcPr>
          <w:p w14:paraId="46ECB90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02844D5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896E03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BE1F5F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40A976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55F87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CE25E2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 39 años</w:t>
            </w:r>
          </w:p>
        </w:tc>
        <w:tc>
          <w:tcPr>
            <w:tcW w:w="428" w:type="pct"/>
            <w:tcBorders>
              <w:top w:val="nil"/>
              <w:left w:val="nil"/>
              <w:bottom w:val="single" w:sz="8" w:space="0" w:color="BFBFBF"/>
              <w:right w:val="single" w:sz="8" w:space="0" w:color="BFBFBF"/>
            </w:tcBorders>
            <w:shd w:val="clear" w:color="auto" w:fill="auto"/>
            <w:noWrap/>
            <w:vAlign w:val="center"/>
            <w:hideMark/>
          </w:tcPr>
          <w:p w14:paraId="434339B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0509EDD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8F5E1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6B0F62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6A4CFB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BC10C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7FECC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40 a 59 años</w:t>
            </w:r>
          </w:p>
        </w:tc>
        <w:tc>
          <w:tcPr>
            <w:tcW w:w="428" w:type="pct"/>
            <w:tcBorders>
              <w:top w:val="nil"/>
              <w:left w:val="nil"/>
              <w:bottom w:val="single" w:sz="8" w:space="0" w:color="BFBFBF"/>
              <w:right w:val="single" w:sz="8" w:space="0" w:color="BFBFBF"/>
            </w:tcBorders>
            <w:shd w:val="clear" w:color="auto" w:fill="auto"/>
            <w:noWrap/>
            <w:vAlign w:val="center"/>
            <w:hideMark/>
          </w:tcPr>
          <w:p w14:paraId="2502177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5C4A82F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18F6F6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F8C8C6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DDFA05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717EF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C3C475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60 y más años</w:t>
            </w:r>
          </w:p>
        </w:tc>
        <w:tc>
          <w:tcPr>
            <w:tcW w:w="428" w:type="pct"/>
            <w:tcBorders>
              <w:top w:val="nil"/>
              <w:left w:val="nil"/>
              <w:bottom w:val="single" w:sz="8" w:space="0" w:color="BFBFBF"/>
              <w:right w:val="single" w:sz="8" w:space="0" w:color="BFBFBF"/>
            </w:tcBorders>
            <w:shd w:val="clear" w:color="auto" w:fill="auto"/>
            <w:noWrap/>
            <w:vAlign w:val="center"/>
            <w:hideMark/>
          </w:tcPr>
          <w:p w14:paraId="5F8A4D9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57CF8A7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0001E0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044531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DF2CB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67E213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FCC3C5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edad no especificado</w:t>
            </w:r>
          </w:p>
        </w:tc>
        <w:tc>
          <w:tcPr>
            <w:tcW w:w="428" w:type="pct"/>
            <w:tcBorders>
              <w:top w:val="nil"/>
              <w:left w:val="nil"/>
              <w:bottom w:val="single" w:sz="8" w:space="0" w:color="BFBFBF"/>
              <w:right w:val="single" w:sz="8" w:space="0" w:color="BFBFBF"/>
            </w:tcBorders>
            <w:shd w:val="clear" w:color="auto" w:fill="auto"/>
            <w:noWrap/>
            <w:vAlign w:val="center"/>
            <w:hideMark/>
          </w:tcPr>
          <w:p w14:paraId="6934239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355</w:t>
            </w:r>
          </w:p>
        </w:tc>
        <w:tc>
          <w:tcPr>
            <w:tcW w:w="477" w:type="pct"/>
            <w:vMerge/>
            <w:tcBorders>
              <w:top w:val="nil"/>
              <w:left w:val="single" w:sz="8" w:space="0" w:color="BFBFBF"/>
              <w:bottom w:val="single" w:sz="8" w:space="0" w:color="BFBFBF"/>
              <w:right w:val="single" w:sz="8" w:space="0" w:color="BFBFBF"/>
            </w:tcBorders>
            <w:vAlign w:val="center"/>
            <w:hideMark/>
          </w:tcPr>
          <w:p w14:paraId="1045F1A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65399E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4F45E1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83566B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3B232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64939C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Total</w:t>
            </w:r>
          </w:p>
        </w:tc>
        <w:tc>
          <w:tcPr>
            <w:tcW w:w="428" w:type="pct"/>
            <w:tcBorders>
              <w:top w:val="nil"/>
              <w:left w:val="nil"/>
              <w:bottom w:val="single" w:sz="8" w:space="0" w:color="BFBFBF"/>
              <w:right w:val="single" w:sz="8" w:space="0" w:color="BFBFBF"/>
            </w:tcBorders>
            <w:shd w:val="clear" w:color="auto" w:fill="auto"/>
            <w:noWrap/>
            <w:vAlign w:val="center"/>
            <w:hideMark/>
          </w:tcPr>
          <w:p w14:paraId="623ABE9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02ADA5C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ABCB83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731E41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DCB759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16B3A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9A121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viviendas</w:t>
            </w:r>
          </w:p>
        </w:tc>
        <w:tc>
          <w:tcPr>
            <w:tcW w:w="428" w:type="pct"/>
            <w:tcBorders>
              <w:top w:val="nil"/>
              <w:left w:val="nil"/>
              <w:bottom w:val="single" w:sz="8" w:space="0" w:color="BFBFBF"/>
              <w:right w:val="single" w:sz="8" w:space="0" w:color="BFBFBF"/>
            </w:tcBorders>
            <w:shd w:val="clear" w:color="auto" w:fill="auto"/>
            <w:noWrap/>
            <w:vAlign w:val="center"/>
            <w:hideMark/>
          </w:tcPr>
          <w:p w14:paraId="0593248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2692</w:t>
            </w:r>
          </w:p>
        </w:tc>
        <w:tc>
          <w:tcPr>
            <w:tcW w:w="477" w:type="pct"/>
            <w:vMerge/>
            <w:tcBorders>
              <w:top w:val="nil"/>
              <w:left w:val="single" w:sz="8" w:space="0" w:color="BFBFBF"/>
              <w:bottom w:val="single" w:sz="8" w:space="0" w:color="BFBFBF"/>
              <w:right w:val="single" w:sz="8" w:space="0" w:color="BFBFBF"/>
            </w:tcBorders>
            <w:vAlign w:val="center"/>
            <w:hideMark/>
          </w:tcPr>
          <w:p w14:paraId="78EE3A7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6466F8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6926373"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009045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tcBorders>
              <w:top w:val="nil"/>
              <w:left w:val="nil"/>
              <w:bottom w:val="nil"/>
              <w:right w:val="single" w:sz="8" w:space="0" w:color="BFBFBF"/>
            </w:tcBorders>
            <w:shd w:val="clear" w:color="000000" w:fill="F2F2F2"/>
            <w:vAlign w:val="center"/>
            <w:hideMark/>
          </w:tcPr>
          <w:p w14:paraId="44F8C60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ECRIGE</w:t>
            </w:r>
          </w:p>
        </w:tc>
        <w:tc>
          <w:tcPr>
            <w:tcW w:w="2003"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16D2433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que realizaron al menos un trámite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B68E60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24C6C1D"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17</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8DC4D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Entidad federativa CDMX; Por demarcación territorial de la CDMX.</w:t>
            </w:r>
          </w:p>
        </w:tc>
      </w:tr>
      <w:tr w:rsidR="002752B5" w:rsidRPr="009A501D" w14:paraId="7D8237C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8FE16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single" w:sz="8" w:space="0" w:color="BFBFBF"/>
              <w:right w:val="single" w:sz="8" w:space="0" w:color="BFBFBF"/>
            </w:tcBorders>
            <w:shd w:val="clear" w:color="000000" w:fill="F2F2F2"/>
            <w:vAlign w:val="center"/>
            <w:hideMark/>
          </w:tcPr>
          <w:p w14:paraId="66AC8A4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-CDMX</w:t>
            </w:r>
          </w:p>
        </w:tc>
        <w:tc>
          <w:tcPr>
            <w:tcW w:w="2003" w:type="pct"/>
            <w:vMerge/>
            <w:tcBorders>
              <w:top w:val="nil"/>
              <w:left w:val="single" w:sz="8" w:space="0" w:color="BFBFBF"/>
              <w:bottom w:val="single" w:sz="8" w:space="0" w:color="BFBFBF"/>
              <w:right w:val="single" w:sz="8" w:space="0" w:color="BFBFBF"/>
            </w:tcBorders>
            <w:vAlign w:val="center"/>
            <w:hideMark/>
          </w:tcPr>
          <w:p w14:paraId="0440E0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7F9A50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77" w:type="pct"/>
            <w:vMerge/>
            <w:tcBorders>
              <w:top w:val="nil"/>
              <w:left w:val="single" w:sz="8" w:space="0" w:color="BFBFBF"/>
              <w:bottom w:val="single" w:sz="8" w:space="0" w:color="BFBFBF"/>
              <w:right w:val="single" w:sz="8" w:space="0" w:color="BFBFBF"/>
            </w:tcBorders>
            <w:vAlign w:val="center"/>
            <w:hideMark/>
          </w:tcPr>
          <w:p w14:paraId="4F3D8BA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723A51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FFBF54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07A1C86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490B5A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EDER</w:t>
            </w:r>
          </w:p>
        </w:tc>
        <w:tc>
          <w:tcPr>
            <w:tcW w:w="2003" w:type="pct"/>
            <w:tcBorders>
              <w:top w:val="nil"/>
              <w:left w:val="nil"/>
              <w:bottom w:val="single" w:sz="8" w:space="0" w:color="BFBFBF"/>
              <w:right w:val="single" w:sz="8" w:space="0" w:color="BFBFBF"/>
            </w:tcBorders>
            <w:shd w:val="clear" w:color="auto" w:fill="auto"/>
            <w:vAlign w:val="center"/>
            <w:hideMark/>
          </w:tcPr>
          <w:p w14:paraId="1E95E35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Proporción acumulada de personas nacidas en México, que migraron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7740783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F50EBD5"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1,320</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E74555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total; Nacional por cohorte en rango de años; Por entidad federativa.</w:t>
            </w:r>
          </w:p>
        </w:tc>
      </w:tr>
      <w:tr w:rsidR="002752B5" w:rsidRPr="009A501D" w14:paraId="72DD0B2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FFC8CF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6B99F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5A2C9AC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Salida de la escuela.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7C39C6B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tcBorders>
              <w:top w:val="nil"/>
              <w:left w:val="single" w:sz="8" w:space="0" w:color="BFBFBF"/>
              <w:bottom w:val="single" w:sz="8" w:space="0" w:color="BFBFBF"/>
              <w:right w:val="single" w:sz="8" w:space="0" w:color="BFBFBF"/>
            </w:tcBorders>
            <w:vAlign w:val="center"/>
            <w:hideMark/>
          </w:tcPr>
          <w:p w14:paraId="4F8923D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B309BF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8596AD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502CE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7B83E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24BD4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Primer empleo.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622D4F1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tcBorders>
              <w:top w:val="nil"/>
              <w:left w:val="single" w:sz="8" w:space="0" w:color="BFBFBF"/>
              <w:bottom w:val="single" w:sz="8" w:space="0" w:color="BFBFBF"/>
              <w:right w:val="single" w:sz="8" w:space="0" w:color="BFBFBF"/>
            </w:tcBorders>
            <w:vAlign w:val="center"/>
            <w:hideMark/>
          </w:tcPr>
          <w:p w14:paraId="7F3F3B7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7D9C4A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606B02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965B5B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DF828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435E71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Sostén económico.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42EEAF6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tcBorders>
              <w:top w:val="nil"/>
              <w:left w:val="single" w:sz="8" w:space="0" w:color="BFBFBF"/>
              <w:bottom w:val="single" w:sz="8" w:space="0" w:color="BFBFBF"/>
              <w:right w:val="single" w:sz="8" w:space="0" w:color="BFBFBF"/>
            </w:tcBorders>
            <w:vAlign w:val="center"/>
            <w:hideMark/>
          </w:tcPr>
          <w:p w14:paraId="59CCB52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D4F4B4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E66451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9A113E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38533D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821F44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Primera salida del hogar.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79A429D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tcBorders>
              <w:top w:val="nil"/>
              <w:left w:val="single" w:sz="8" w:space="0" w:color="BFBFBF"/>
              <w:bottom w:val="single" w:sz="8" w:space="0" w:color="BFBFBF"/>
              <w:right w:val="single" w:sz="8" w:space="0" w:color="BFBFBF"/>
            </w:tcBorders>
            <w:vAlign w:val="center"/>
            <w:hideMark/>
          </w:tcPr>
          <w:p w14:paraId="29E6213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C94AA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DE828F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4753A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05AD46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7933D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Primera unión.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26A36A3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330</w:t>
            </w:r>
          </w:p>
        </w:tc>
        <w:tc>
          <w:tcPr>
            <w:tcW w:w="477" w:type="pct"/>
            <w:vMerge/>
            <w:tcBorders>
              <w:top w:val="nil"/>
              <w:left w:val="single" w:sz="8" w:space="0" w:color="BFBFBF"/>
              <w:bottom w:val="single" w:sz="8" w:space="0" w:color="BFBFBF"/>
              <w:right w:val="single" w:sz="8" w:space="0" w:color="BFBFBF"/>
            </w:tcBorders>
            <w:vAlign w:val="center"/>
            <w:hideMark/>
          </w:tcPr>
          <w:p w14:paraId="662DE35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97879D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51A30B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E796E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3A2D9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9870F2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Primer uso de anticonceptivo. Proporción acumulada de personas en sus primeros 20 años de vida.</w:t>
            </w:r>
          </w:p>
        </w:tc>
        <w:tc>
          <w:tcPr>
            <w:tcW w:w="428" w:type="pct"/>
            <w:tcBorders>
              <w:top w:val="nil"/>
              <w:left w:val="nil"/>
              <w:bottom w:val="single" w:sz="8" w:space="0" w:color="BFBFBF"/>
              <w:right w:val="single" w:sz="8" w:space="0" w:color="BFBFBF"/>
            </w:tcBorders>
            <w:shd w:val="clear" w:color="auto" w:fill="auto"/>
            <w:noWrap/>
            <w:vAlign w:val="center"/>
            <w:hideMark/>
          </w:tcPr>
          <w:p w14:paraId="7D5E3F6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165</w:t>
            </w:r>
          </w:p>
        </w:tc>
        <w:tc>
          <w:tcPr>
            <w:tcW w:w="477" w:type="pct"/>
            <w:vMerge/>
            <w:tcBorders>
              <w:top w:val="nil"/>
              <w:left w:val="single" w:sz="8" w:space="0" w:color="BFBFBF"/>
              <w:bottom w:val="single" w:sz="8" w:space="0" w:color="BFBFBF"/>
              <w:right w:val="single" w:sz="8" w:space="0" w:color="BFBFBF"/>
            </w:tcBorders>
            <w:vAlign w:val="center"/>
            <w:hideMark/>
          </w:tcPr>
          <w:p w14:paraId="23B387F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974136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47EAC9A"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8CC8AF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9FC0A6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EMEC</w:t>
            </w:r>
          </w:p>
        </w:tc>
        <w:tc>
          <w:tcPr>
            <w:tcW w:w="2003" w:type="pct"/>
            <w:tcBorders>
              <w:top w:val="nil"/>
              <w:left w:val="nil"/>
              <w:bottom w:val="single" w:sz="8" w:space="0" w:color="BFBFBF"/>
              <w:right w:val="single" w:sz="8" w:space="0" w:color="BFBFBF"/>
            </w:tcBorders>
            <w:shd w:val="clear" w:color="000000" w:fill="F2F2F2"/>
            <w:vAlign w:val="center"/>
            <w:hideMark/>
          </w:tcPr>
          <w:p w14:paraId="052922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de Personal Ocupado Total</w:t>
            </w:r>
          </w:p>
        </w:tc>
        <w:tc>
          <w:tcPr>
            <w:tcW w:w="428" w:type="pct"/>
            <w:tcBorders>
              <w:top w:val="nil"/>
              <w:left w:val="nil"/>
              <w:bottom w:val="single" w:sz="8" w:space="0" w:color="BFBFBF"/>
              <w:right w:val="single" w:sz="8" w:space="0" w:color="BFBFBF"/>
            </w:tcBorders>
            <w:shd w:val="clear" w:color="000000" w:fill="F2F2F2"/>
            <w:noWrap/>
            <w:vAlign w:val="center"/>
            <w:hideMark/>
          </w:tcPr>
          <w:p w14:paraId="162EFAA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264</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352B6DB"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546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373DAF6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rama de comercio al por menor; Nacional por rama de comercio al por mayor.</w:t>
            </w:r>
          </w:p>
        </w:tc>
      </w:tr>
      <w:tr w:rsidR="002752B5" w:rsidRPr="009A501D" w14:paraId="265F01B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AB073E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E5B243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989D7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de Ingresos Totales por Suministro de Bienes y Servicios</w:t>
            </w:r>
          </w:p>
        </w:tc>
        <w:tc>
          <w:tcPr>
            <w:tcW w:w="428" w:type="pct"/>
            <w:tcBorders>
              <w:top w:val="nil"/>
              <w:left w:val="nil"/>
              <w:bottom w:val="single" w:sz="8" w:space="0" w:color="BFBFBF"/>
              <w:right w:val="single" w:sz="8" w:space="0" w:color="BFBFBF"/>
            </w:tcBorders>
            <w:shd w:val="clear" w:color="000000" w:fill="F2F2F2"/>
            <w:noWrap/>
            <w:vAlign w:val="center"/>
            <w:hideMark/>
          </w:tcPr>
          <w:p w14:paraId="082D9FE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282</w:t>
            </w:r>
          </w:p>
        </w:tc>
        <w:tc>
          <w:tcPr>
            <w:tcW w:w="477" w:type="pct"/>
            <w:vMerge/>
            <w:tcBorders>
              <w:top w:val="nil"/>
              <w:left w:val="single" w:sz="8" w:space="0" w:color="BFBFBF"/>
              <w:bottom w:val="single" w:sz="8" w:space="0" w:color="BFBFBF"/>
              <w:right w:val="single" w:sz="8" w:space="0" w:color="BFBFBF"/>
            </w:tcBorders>
            <w:vAlign w:val="center"/>
            <w:hideMark/>
          </w:tcPr>
          <w:p w14:paraId="595C1D9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DE8C87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1A00C6C"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5D2128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071D128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EMIM</w:t>
            </w:r>
          </w:p>
        </w:tc>
        <w:tc>
          <w:tcPr>
            <w:tcW w:w="2003" w:type="pct"/>
            <w:tcBorders>
              <w:top w:val="nil"/>
              <w:left w:val="nil"/>
              <w:bottom w:val="single" w:sz="8" w:space="0" w:color="BFBFBF"/>
              <w:right w:val="single" w:sz="8" w:space="0" w:color="BFBFBF"/>
            </w:tcBorders>
            <w:shd w:val="clear" w:color="auto" w:fill="auto"/>
            <w:vAlign w:val="center"/>
            <w:hideMark/>
          </w:tcPr>
          <w:p w14:paraId="015D280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auto" w:fill="auto"/>
            <w:noWrap/>
            <w:vAlign w:val="center"/>
            <w:hideMark/>
          </w:tcPr>
          <w:p w14:paraId="6DD4691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08D11A3D"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267</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8E844B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clase.</w:t>
            </w:r>
          </w:p>
        </w:tc>
      </w:tr>
      <w:tr w:rsidR="002752B5" w:rsidRPr="009A501D" w14:paraId="64FA5D4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409681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7EA566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4017B6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w:t>
            </w:r>
          </w:p>
        </w:tc>
        <w:tc>
          <w:tcPr>
            <w:tcW w:w="428" w:type="pct"/>
            <w:tcBorders>
              <w:top w:val="nil"/>
              <w:left w:val="nil"/>
              <w:bottom w:val="single" w:sz="8" w:space="0" w:color="BFBFBF"/>
              <w:right w:val="single" w:sz="8" w:space="0" w:color="BFBFBF"/>
            </w:tcBorders>
            <w:shd w:val="clear" w:color="auto" w:fill="auto"/>
            <w:noWrap/>
            <w:vAlign w:val="center"/>
            <w:hideMark/>
          </w:tcPr>
          <w:p w14:paraId="07E8951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219</w:t>
            </w:r>
          </w:p>
        </w:tc>
        <w:tc>
          <w:tcPr>
            <w:tcW w:w="477" w:type="pct"/>
            <w:vMerge/>
            <w:tcBorders>
              <w:top w:val="nil"/>
              <w:left w:val="single" w:sz="8" w:space="0" w:color="BFBFBF"/>
              <w:bottom w:val="single" w:sz="8" w:space="0" w:color="BFBFBF"/>
              <w:right w:val="single" w:sz="8" w:space="0" w:color="BFBFBF"/>
            </w:tcBorders>
            <w:vAlign w:val="center"/>
            <w:hideMark/>
          </w:tcPr>
          <w:p w14:paraId="00AC1EF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62CEFD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2265D5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73D9655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7612117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EMOE</w:t>
            </w:r>
          </w:p>
        </w:tc>
        <w:tc>
          <w:tcPr>
            <w:tcW w:w="2003" w:type="pct"/>
            <w:tcBorders>
              <w:top w:val="nil"/>
              <w:left w:val="nil"/>
              <w:bottom w:val="single" w:sz="8" w:space="0" w:color="BFBFBF"/>
              <w:right w:val="single" w:sz="8" w:space="0" w:color="BFBFBF"/>
            </w:tcBorders>
            <w:shd w:val="clear" w:color="000000" w:fill="F2F2F2"/>
            <w:vAlign w:val="center"/>
            <w:hideMark/>
          </w:tcPr>
          <w:p w14:paraId="2E36333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Empresarial (ICE)</w:t>
            </w:r>
          </w:p>
        </w:tc>
        <w:tc>
          <w:tcPr>
            <w:tcW w:w="428" w:type="pct"/>
            <w:tcBorders>
              <w:top w:val="nil"/>
              <w:left w:val="nil"/>
              <w:bottom w:val="single" w:sz="8" w:space="0" w:color="BFBFBF"/>
              <w:right w:val="single" w:sz="8" w:space="0" w:color="BFBFBF"/>
            </w:tcBorders>
            <w:shd w:val="clear" w:color="000000" w:fill="F2F2F2"/>
            <w:noWrap/>
            <w:vAlign w:val="center"/>
            <w:hideMark/>
          </w:tcPr>
          <w:p w14:paraId="70589FF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204</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2FDF41E"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504</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338AE2A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grupo de sectores; Nacional por sector; Nacional por todos los subsectores; Nacional por subsector.</w:t>
            </w:r>
          </w:p>
        </w:tc>
      </w:tr>
      <w:tr w:rsidR="002752B5" w:rsidRPr="009A501D" w14:paraId="088BD04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4D7945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D61CC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BFACB7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Agregado de Tendencia (IAT)</w:t>
            </w:r>
          </w:p>
        </w:tc>
        <w:tc>
          <w:tcPr>
            <w:tcW w:w="428" w:type="pct"/>
            <w:tcBorders>
              <w:top w:val="nil"/>
              <w:left w:val="nil"/>
              <w:bottom w:val="single" w:sz="8" w:space="0" w:color="BFBFBF"/>
              <w:right w:val="single" w:sz="8" w:space="0" w:color="BFBFBF"/>
            </w:tcBorders>
            <w:shd w:val="clear" w:color="000000" w:fill="F2F2F2"/>
            <w:noWrap/>
            <w:vAlign w:val="center"/>
            <w:hideMark/>
          </w:tcPr>
          <w:p w14:paraId="6F5C326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204</w:t>
            </w:r>
          </w:p>
        </w:tc>
        <w:tc>
          <w:tcPr>
            <w:tcW w:w="477" w:type="pct"/>
            <w:vMerge/>
            <w:tcBorders>
              <w:top w:val="nil"/>
              <w:left w:val="single" w:sz="8" w:space="0" w:color="BFBFBF"/>
              <w:bottom w:val="single" w:sz="8" w:space="0" w:color="BFBFBF"/>
              <w:right w:val="single" w:sz="8" w:space="0" w:color="BFBFBF"/>
            </w:tcBorders>
            <w:vAlign w:val="center"/>
            <w:hideMark/>
          </w:tcPr>
          <w:p w14:paraId="3F07612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927023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BC890E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6C2937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19FAA8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55E9BC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Pedidos Manufactureros (IPM)</w:t>
            </w:r>
          </w:p>
        </w:tc>
        <w:tc>
          <w:tcPr>
            <w:tcW w:w="428" w:type="pct"/>
            <w:tcBorders>
              <w:top w:val="nil"/>
              <w:left w:val="nil"/>
              <w:bottom w:val="single" w:sz="8" w:space="0" w:color="BFBFBF"/>
              <w:right w:val="single" w:sz="8" w:space="0" w:color="BFBFBF"/>
            </w:tcBorders>
            <w:shd w:val="clear" w:color="000000" w:fill="F2F2F2"/>
            <w:noWrap/>
            <w:vAlign w:val="center"/>
            <w:hideMark/>
          </w:tcPr>
          <w:p w14:paraId="198B99E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96</w:t>
            </w:r>
          </w:p>
        </w:tc>
        <w:tc>
          <w:tcPr>
            <w:tcW w:w="477" w:type="pct"/>
            <w:vMerge/>
            <w:tcBorders>
              <w:top w:val="nil"/>
              <w:left w:val="single" w:sz="8" w:space="0" w:color="BFBFBF"/>
              <w:bottom w:val="single" w:sz="8" w:space="0" w:color="BFBFBF"/>
              <w:right w:val="single" w:sz="8" w:space="0" w:color="BFBFBF"/>
            </w:tcBorders>
            <w:vAlign w:val="center"/>
            <w:hideMark/>
          </w:tcPr>
          <w:p w14:paraId="1B9C26F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509052E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todos los subsectores; Nacional por grupo de subsectores; Nacional por subsector.</w:t>
            </w:r>
          </w:p>
        </w:tc>
      </w:tr>
      <w:tr w:rsidR="002752B5" w:rsidRPr="009A501D" w14:paraId="1581B7B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86CB25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D033A3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EMS</w:t>
            </w:r>
          </w:p>
        </w:tc>
        <w:tc>
          <w:tcPr>
            <w:tcW w:w="2003" w:type="pct"/>
            <w:tcBorders>
              <w:top w:val="nil"/>
              <w:left w:val="nil"/>
              <w:bottom w:val="single" w:sz="8" w:space="0" w:color="BFBFBF"/>
              <w:right w:val="single" w:sz="8" w:space="0" w:color="BFBFBF"/>
            </w:tcBorders>
            <w:shd w:val="clear" w:color="auto" w:fill="auto"/>
            <w:vAlign w:val="center"/>
            <w:hideMark/>
          </w:tcPr>
          <w:p w14:paraId="6FDDB5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de Personal Ocupado Total</w:t>
            </w:r>
          </w:p>
        </w:tc>
        <w:tc>
          <w:tcPr>
            <w:tcW w:w="428" w:type="pct"/>
            <w:tcBorders>
              <w:top w:val="nil"/>
              <w:left w:val="nil"/>
              <w:bottom w:val="single" w:sz="8" w:space="0" w:color="BFBFBF"/>
              <w:right w:val="single" w:sz="8" w:space="0" w:color="BFBFBF"/>
            </w:tcBorders>
            <w:shd w:val="clear" w:color="auto" w:fill="auto"/>
            <w:noWrap/>
            <w:vAlign w:val="center"/>
            <w:hideMark/>
          </w:tcPr>
          <w:p w14:paraId="27969D4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888</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81B827B"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1,895</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269878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subsector; Nacional por clase; Entidad por clase; Nacional por rama.</w:t>
            </w:r>
          </w:p>
        </w:tc>
      </w:tr>
      <w:tr w:rsidR="002752B5" w:rsidRPr="009A501D" w14:paraId="2A05AF8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C70AC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9A075C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BD425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de Ingresos Totales por Suministro de Bienes y Servicios</w:t>
            </w:r>
          </w:p>
        </w:tc>
        <w:tc>
          <w:tcPr>
            <w:tcW w:w="428" w:type="pct"/>
            <w:tcBorders>
              <w:top w:val="nil"/>
              <w:left w:val="nil"/>
              <w:bottom w:val="single" w:sz="8" w:space="0" w:color="BFBFBF"/>
              <w:right w:val="single" w:sz="8" w:space="0" w:color="BFBFBF"/>
            </w:tcBorders>
            <w:shd w:val="clear" w:color="auto" w:fill="auto"/>
            <w:noWrap/>
            <w:vAlign w:val="center"/>
            <w:hideMark/>
          </w:tcPr>
          <w:p w14:paraId="34BBB5F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1007</w:t>
            </w:r>
          </w:p>
        </w:tc>
        <w:tc>
          <w:tcPr>
            <w:tcW w:w="477" w:type="pct"/>
            <w:vMerge/>
            <w:tcBorders>
              <w:top w:val="nil"/>
              <w:left w:val="single" w:sz="8" w:space="0" w:color="BFBFBF"/>
              <w:bottom w:val="single" w:sz="8" w:space="0" w:color="BFBFBF"/>
              <w:right w:val="single" w:sz="8" w:space="0" w:color="BFBFBF"/>
            </w:tcBorders>
            <w:vAlign w:val="center"/>
            <w:hideMark/>
          </w:tcPr>
          <w:p w14:paraId="203FB16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686520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729754B"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372CD2B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000000" w:fill="F2F2F2"/>
            <w:noWrap/>
            <w:vAlign w:val="center"/>
            <w:hideMark/>
          </w:tcPr>
          <w:p w14:paraId="4D9BD70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ENADID</w:t>
            </w:r>
          </w:p>
        </w:tc>
        <w:tc>
          <w:tcPr>
            <w:tcW w:w="2003" w:type="pct"/>
            <w:tcBorders>
              <w:top w:val="nil"/>
              <w:left w:val="nil"/>
              <w:bottom w:val="single" w:sz="8" w:space="0" w:color="BFBFBF"/>
              <w:right w:val="single" w:sz="8" w:space="0" w:color="BFBFBF"/>
            </w:tcBorders>
            <w:shd w:val="clear" w:color="000000" w:fill="F2F2F2"/>
            <w:vAlign w:val="center"/>
            <w:hideMark/>
          </w:tcPr>
          <w:p w14:paraId="6E94CB4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global de fecundidad (quinquenal)</w:t>
            </w:r>
          </w:p>
        </w:tc>
        <w:tc>
          <w:tcPr>
            <w:tcW w:w="428" w:type="pct"/>
            <w:tcBorders>
              <w:top w:val="nil"/>
              <w:left w:val="nil"/>
              <w:bottom w:val="single" w:sz="8" w:space="0" w:color="BFBFBF"/>
              <w:right w:val="single" w:sz="8" w:space="0" w:color="BFBFBF"/>
            </w:tcBorders>
            <w:shd w:val="clear" w:color="000000" w:fill="F2F2F2"/>
            <w:noWrap/>
            <w:vAlign w:val="center"/>
            <w:hideMark/>
          </w:tcPr>
          <w:p w14:paraId="5D477BA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tcBorders>
              <w:top w:val="nil"/>
              <w:left w:val="nil"/>
              <w:bottom w:val="single" w:sz="8" w:space="0" w:color="BFBFBF"/>
              <w:right w:val="single" w:sz="8" w:space="0" w:color="BFBFBF"/>
            </w:tcBorders>
            <w:shd w:val="clear" w:color="000000" w:fill="F2F2F2"/>
            <w:noWrap/>
            <w:vAlign w:val="center"/>
            <w:hideMark/>
          </w:tcPr>
          <w:p w14:paraId="1A5F57C3"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33</w:t>
            </w:r>
          </w:p>
        </w:tc>
        <w:tc>
          <w:tcPr>
            <w:tcW w:w="1292" w:type="pct"/>
            <w:tcBorders>
              <w:top w:val="nil"/>
              <w:left w:val="nil"/>
              <w:bottom w:val="single" w:sz="8" w:space="0" w:color="BFBFBF"/>
              <w:right w:val="single" w:sz="8" w:space="0" w:color="BFBFBF"/>
            </w:tcBorders>
            <w:shd w:val="clear" w:color="000000" w:fill="F2F2F2"/>
            <w:vAlign w:val="center"/>
            <w:hideMark/>
          </w:tcPr>
          <w:p w14:paraId="56B6A0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53485585"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C85824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8E3DB4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ENAFIN</w:t>
            </w:r>
          </w:p>
        </w:tc>
        <w:tc>
          <w:tcPr>
            <w:tcW w:w="2003" w:type="pct"/>
            <w:tcBorders>
              <w:top w:val="nil"/>
              <w:left w:val="nil"/>
              <w:bottom w:val="single" w:sz="8" w:space="0" w:color="BFBFBF"/>
              <w:right w:val="single" w:sz="8" w:space="0" w:color="BFBFBF"/>
            </w:tcBorders>
            <w:shd w:val="clear" w:color="auto" w:fill="auto"/>
            <w:vAlign w:val="center"/>
            <w:hideMark/>
          </w:tcPr>
          <w:p w14:paraId="1860D5F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de Empresas</w:t>
            </w:r>
          </w:p>
        </w:tc>
        <w:tc>
          <w:tcPr>
            <w:tcW w:w="428" w:type="pct"/>
            <w:tcBorders>
              <w:top w:val="nil"/>
              <w:left w:val="nil"/>
              <w:bottom w:val="single" w:sz="8" w:space="0" w:color="BFBFBF"/>
              <w:right w:val="single" w:sz="8" w:space="0" w:color="BFBFBF"/>
            </w:tcBorders>
            <w:shd w:val="clear" w:color="auto" w:fill="auto"/>
            <w:noWrap/>
            <w:vAlign w:val="center"/>
            <w:hideMark/>
          </w:tcPr>
          <w:p w14:paraId="55FD390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E818247"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22</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796FDB9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Nacional por tamaño de localidad; Nacional por gran sector; Nacional por tamaño de empresa.</w:t>
            </w:r>
          </w:p>
        </w:tc>
      </w:tr>
      <w:tr w:rsidR="002752B5" w:rsidRPr="009A501D" w14:paraId="79E33D5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905C08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CB80C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BD1F32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Personal Ocupado en 2020</w:t>
            </w:r>
          </w:p>
        </w:tc>
        <w:tc>
          <w:tcPr>
            <w:tcW w:w="428" w:type="pct"/>
            <w:tcBorders>
              <w:top w:val="nil"/>
              <w:left w:val="nil"/>
              <w:bottom w:val="single" w:sz="8" w:space="0" w:color="BFBFBF"/>
              <w:right w:val="single" w:sz="8" w:space="0" w:color="BFBFBF"/>
            </w:tcBorders>
            <w:shd w:val="clear" w:color="auto" w:fill="auto"/>
            <w:noWrap/>
            <w:vAlign w:val="center"/>
            <w:hideMark/>
          </w:tcPr>
          <w:p w14:paraId="106A88A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477" w:type="pct"/>
            <w:vMerge/>
            <w:tcBorders>
              <w:top w:val="nil"/>
              <w:left w:val="single" w:sz="8" w:space="0" w:color="BFBFBF"/>
              <w:bottom w:val="single" w:sz="8" w:space="0" w:color="BFBFBF"/>
              <w:right w:val="single" w:sz="8" w:space="0" w:color="BFBFBF"/>
            </w:tcBorders>
            <w:vAlign w:val="center"/>
            <w:hideMark/>
          </w:tcPr>
          <w:p w14:paraId="6208FB7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DA479D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3E09FA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DB525B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973F78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ENAID</w:t>
            </w:r>
          </w:p>
        </w:tc>
        <w:tc>
          <w:tcPr>
            <w:tcW w:w="2003" w:type="pct"/>
            <w:tcBorders>
              <w:top w:val="nil"/>
              <w:left w:val="nil"/>
              <w:bottom w:val="single" w:sz="8" w:space="0" w:color="BFBFBF"/>
              <w:right w:val="single" w:sz="8" w:space="0" w:color="BFBFBF"/>
            </w:tcBorders>
            <w:shd w:val="clear" w:color="000000" w:fill="F2F2F2"/>
            <w:vAlign w:val="center"/>
            <w:hideMark/>
          </w:tcPr>
          <w:p w14:paraId="00EAE18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áreas urbanas, que considera todos pueden tener acceso y conocimiento de la información en posesión del gobierno</w:t>
            </w:r>
          </w:p>
        </w:tc>
        <w:tc>
          <w:tcPr>
            <w:tcW w:w="428" w:type="pct"/>
            <w:tcBorders>
              <w:top w:val="nil"/>
              <w:left w:val="nil"/>
              <w:bottom w:val="single" w:sz="8" w:space="0" w:color="BFBFBF"/>
              <w:right w:val="single" w:sz="8" w:space="0" w:color="BFBFBF"/>
            </w:tcBorders>
            <w:shd w:val="clear" w:color="000000" w:fill="F2F2F2"/>
            <w:noWrap/>
            <w:vAlign w:val="center"/>
            <w:hideMark/>
          </w:tcPr>
          <w:p w14:paraId="4DDB1E2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A20D91E"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25</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0936517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de las 32 entidades federativas; Por región.</w:t>
            </w:r>
          </w:p>
        </w:tc>
      </w:tr>
      <w:tr w:rsidR="002752B5" w:rsidRPr="009A501D" w14:paraId="1E822DD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B594D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BF039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9C7FC0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áreas urbanas, que tiene conocimiento de la existencia de una institución de gobierno que garantice el Derecho de Acceso a la Información Pública y Protección de Datos Personales</w:t>
            </w:r>
          </w:p>
        </w:tc>
        <w:tc>
          <w:tcPr>
            <w:tcW w:w="428" w:type="pct"/>
            <w:tcBorders>
              <w:top w:val="nil"/>
              <w:left w:val="nil"/>
              <w:bottom w:val="single" w:sz="8" w:space="0" w:color="BFBFBF"/>
              <w:right w:val="single" w:sz="8" w:space="0" w:color="BFBFBF"/>
            </w:tcBorders>
            <w:shd w:val="clear" w:color="000000" w:fill="F2F2F2"/>
            <w:noWrap/>
            <w:vAlign w:val="center"/>
            <w:hideMark/>
          </w:tcPr>
          <w:p w14:paraId="281BC35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4C22196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334753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9093B0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325E0B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F2B4C4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B1A6B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áreas urbanas, que tiene conocimiento de la existencia del Instituto Nacional de Transparencia, Acceso a la Información y Protección de Datos Personales (INAI)</w:t>
            </w:r>
          </w:p>
        </w:tc>
        <w:tc>
          <w:tcPr>
            <w:tcW w:w="428" w:type="pct"/>
            <w:tcBorders>
              <w:top w:val="nil"/>
              <w:left w:val="nil"/>
              <w:bottom w:val="single" w:sz="8" w:space="0" w:color="BFBFBF"/>
              <w:right w:val="single" w:sz="8" w:space="0" w:color="BFBFBF"/>
            </w:tcBorders>
            <w:shd w:val="clear" w:color="000000" w:fill="F2F2F2"/>
            <w:noWrap/>
            <w:vAlign w:val="center"/>
            <w:hideMark/>
          </w:tcPr>
          <w:p w14:paraId="5F87F81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7E44F49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66984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70C97F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229A2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24CF6F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DAB97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áreas urbanas, que conoce o ha escuchado sobre una ley encargada de garantizar la protección de datos personales</w:t>
            </w:r>
          </w:p>
        </w:tc>
        <w:tc>
          <w:tcPr>
            <w:tcW w:w="428" w:type="pct"/>
            <w:tcBorders>
              <w:top w:val="nil"/>
              <w:left w:val="nil"/>
              <w:bottom w:val="single" w:sz="8" w:space="0" w:color="BFBFBF"/>
              <w:right w:val="single" w:sz="8" w:space="0" w:color="BFBFBF"/>
            </w:tcBorders>
            <w:shd w:val="clear" w:color="000000" w:fill="F2F2F2"/>
            <w:noWrap/>
            <w:vAlign w:val="center"/>
            <w:hideMark/>
          </w:tcPr>
          <w:p w14:paraId="6AEBA28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6CC64BF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E5DFF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7274A3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92EA6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DC8091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E120D3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áreas urbanas, que conoce o ha escuchado sobre la Ley Federal de Protección de Datos Personales en Posesión de los Particulares</w:t>
            </w:r>
          </w:p>
        </w:tc>
        <w:tc>
          <w:tcPr>
            <w:tcW w:w="428" w:type="pct"/>
            <w:tcBorders>
              <w:top w:val="nil"/>
              <w:left w:val="nil"/>
              <w:bottom w:val="single" w:sz="8" w:space="0" w:color="BFBFBF"/>
              <w:right w:val="single" w:sz="8" w:space="0" w:color="BFBFBF"/>
            </w:tcBorders>
            <w:shd w:val="clear" w:color="000000" w:fill="F2F2F2"/>
            <w:noWrap/>
            <w:vAlign w:val="center"/>
            <w:hideMark/>
          </w:tcPr>
          <w:p w14:paraId="359146C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2156082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C84A12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00C5A1E"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auto" w:fill="auto"/>
            <w:noWrap/>
            <w:vAlign w:val="center"/>
            <w:hideMark/>
          </w:tcPr>
          <w:p w14:paraId="0956A29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DGES</w:t>
            </w:r>
          </w:p>
        </w:tc>
        <w:tc>
          <w:tcPr>
            <w:tcW w:w="428" w:type="pct"/>
            <w:tcBorders>
              <w:top w:val="nil"/>
              <w:left w:val="nil"/>
              <w:bottom w:val="single" w:sz="8" w:space="0" w:color="BFBFBF"/>
              <w:right w:val="single" w:sz="8" w:space="0" w:color="BFBFBF"/>
            </w:tcBorders>
            <w:shd w:val="clear" w:color="auto" w:fill="auto"/>
            <w:noWrap/>
            <w:vAlign w:val="center"/>
            <w:hideMark/>
          </w:tcPr>
          <w:p w14:paraId="5BA8D57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ENAPE</w:t>
            </w:r>
          </w:p>
        </w:tc>
        <w:tc>
          <w:tcPr>
            <w:tcW w:w="2003" w:type="pct"/>
            <w:tcBorders>
              <w:top w:val="nil"/>
              <w:left w:val="nil"/>
              <w:bottom w:val="single" w:sz="8" w:space="0" w:color="BFBFBF"/>
              <w:right w:val="single" w:sz="8" w:space="0" w:color="BFBFBF"/>
            </w:tcBorders>
            <w:shd w:val="clear" w:color="auto" w:fill="auto"/>
            <w:vAlign w:val="center"/>
            <w:hideMark/>
          </w:tcPr>
          <w:p w14:paraId="7713440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0 a 29 años inscrita en el Sistema Educativo Nacional según ciclo escolar</w:t>
            </w:r>
          </w:p>
        </w:tc>
        <w:tc>
          <w:tcPr>
            <w:tcW w:w="428" w:type="pct"/>
            <w:tcBorders>
              <w:top w:val="nil"/>
              <w:left w:val="nil"/>
              <w:bottom w:val="single" w:sz="8" w:space="0" w:color="BFBFBF"/>
              <w:right w:val="single" w:sz="8" w:space="0" w:color="BFBFBF"/>
            </w:tcBorders>
            <w:shd w:val="clear" w:color="auto" w:fill="auto"/>
            <w:noWrap/>
            <w:vAlign w:val="center"/>
            <w:hideMark/>
          </w:tcPr>
          <w:p w14:paraId="392580A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477" w:type="pct"/>
            <w:tcBorders>
              <w:top w:val="nil"/>
              <w:left w:val="nil"/>
              <w:bottom w:val="single" w:sz="8" w:space="0" w:color="BFBFBF"/>
              <w:right w:val="single" w:sz="8" w:space="0" w:color="BFBFBF"/>
            </w:tcBorders>
            <w:shd w:val="clear" w:color="auto" w:fill="auto"/>
            <w:noWrap/>
            <w:vAlign w:val="center"/>
            <w:hideMark/>
          </w:tcPr>
          <w:p w14:paraId="6EC67FA1"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w:t>
            </w:r>
          </w:p>
        </w:tc>
        <w:tc>
          <w:tcPr>
            <w:tcW w:w="1292" w:type="pct"/>
            <w:tcBorders>
              <w:top w:val="nil"/>
              <w:left w:val="nil"/>
              <w:bottom w:val="single" w:sz="8" w:space="0" w:color="BFBFBF"/>
              <w:right w:val="single" w:sz="8" w:space="0" w:color="BFBFBF"/>
            </w:tcBorders>
            <w:shd w:val="clear" w:color="auto" w:fill="auto"/>
            <w:vAlign w:val="center"/>
            <w:hideMark/>
          </w:tcPr>
          <w:p w14:paraId="501B3D5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ciclo escolar</w:t>
            </w:r>
          </w:p>
        </w:tc>
      </w:tr>
      <w:tr w:rsidR="002752B5" w:rsidRPr="009A501D" w14:paraId="471DD2C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4E9F6E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EB1089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ENAPROCE</w:t>
            </w:r>
          </w:p>
        </w:tc>
        <w:tc>
          <w:tcPr>
            <w:tcW w:w="2003" w:type="pct"/>
            <w:tcBorders>
              <w:top w:val="nil"/>
              <w:left w:val="nil"/>
              <w:bottom w:val="single" w:sz="8" w:space="0" w:color="BFBFBF"/>
              <w:right w:val="single" w:sz="8" w:space="0" w:color="BFBFBF"/>
            </w:tcBorders>
            <w:shd w:val="clear" w:color="000000" w:fill="F2F2F2"/>
            <w:vAlign w:val="center"/>
            <w:hideMark/>
          </w:tcPr>
          <w:p w14:paraId="38A3E73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Empresas</w:t>
            </w:r>
          </w:p>
        </w:tc>
        <w:tc>
          <w:tcPr>
            <w:tcW w:w="428" w:type="pct"/>
            <w:tcBorders>
              <w:top w:val="nil"/>
              <w:left w:val="nil"/>
              <w:bottom w:val="single" w:sz="8" w:space="0" w:color="BFBFBF"/>
              <w:right w:val="single" w:sz="8" w:space="0" w:color="BFBFBF"/>
            </w:tcBorders>
            <w:shd w:val="clear" w:color="000000" w:fill="F2F2F2"/>
            <w:noWrap/>
            <w:vAlign w:val="center"/>
            <w:hideMark/>
          </w:tcPr>
          <w:p w14:paraId="02EB139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F5A2D38"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9</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11856FC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tamaño de empresa (Grandes, Micro &amp; Pymes).</w:t>
            </w:r>
          </w:p>
        </w:tc>
      </w:tr>
      <w:tr w:rsidR="002752B5" w:rsidRPr="009A501D" w14:paraId="5FE1B6B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E2BD99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34719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9A24F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000000" w:fill="F2F2F2"/>
            <w:noWrap/>
            <w:vAlign w:val="center"/>
            <w:hideMark/>
          </w:tcPr>
          <w:p w14:paraId="12C63D0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5A1F66D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1BA372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0E9C22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12B807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CED55D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802DA8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Ingresos Totales</w:t>
            </w:r>
          </w:p>
        </w:tc>
        <w:tc>
          <w:tcPr>
            <w:tcW w:w="428" w:type="pct"/>
            <w:tcBorders>
              <w:top w:val="nil"/>
              <w:left w:val="nil"/>
              <w:bottom w:val="single" w:sz="8" w:space="0" w:color="BFBFBF"/>
              <w:right w:val="single" w:sz="8" w:space="0" w:color="BFBFBF"/>
            </w:tcBorders>
            <w:shd w:val="clear" w:color="000000" w:fill="F2F2F2"/>
            <w:noWrap/>
            <w:vAlign w:val="center"/>
            <w:hideMark/>
          </w:tcPr>
          <w:p w14:paraId="1085E9C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7C651E8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E50E8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39DEA1E"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auto" w:fill="auto"/>
            <w:noWrap/>
            <w:vAlign w:val="center"/>
            <w:hideMark/>
          </w:tcPr>
          <w:p w14:paraId="72C9234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auto" w:fill="auto"/>
            <w:noWrap/>
            <w:vAlign w:val="center"/>
            <w:hideMark/>
          </w:tcPr>
          <w:p w14:paraId="295B834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ENASEM</w:t>
            </w:r>
          </w:p>
        </w:tc>
        <w:tc>
          <w:tcPr>
            <w:tcW w:w="2003" w:type="pct"/>
            <w:tcBorders>
              <w:top w:val="nil"/>
              <w:left w:val="nil"/>
              <w:bottom w:val="single" w:sz="8" w:space="0" w:color="BFBFBF"/>
              <w:right w:val="single" w:sz="8" w:space="0" w:color="BFBFBF"/>
            </w:tcBorders>
            <w:shd w:val="clear" w:color="auto" w:fill="auto"/>
            <w:vAlign w:val="center"/>
            <w:hideMark/>
          </w:tcPr>
          <w:p w14:paraId="36C934C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50 a 55 años</w:t>
            </w:r>
          </w:p>
        </w:tc>
        <w:tc>
          <w:tcPr>
            <w:tcW w:w="428" w:type="pct"/>
            <w:tcBorders>
              <w:top w:val="nil"/>
              <w:left w:val="nil"/>
              <w:bottom w:val="single" w:sz="8" w:space="0" w:color="BFBFBF"/>
              <w:right w:val="single" w:sz="8" w:space="0" w:color="BFBFBF"/>
            </w:tcBorders>
            <w:shd w:val="clear" w:color="auto" w:fill="auto"/>
            <w:noWrap/>
            <w:vAlign w:val="center"/>
            <w:hideMark/>
          </w:tcPr>
          <w:p w14:paraId="5FFBAB2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tcBorders>
              <w:top w:val="nil"/>
              <w:left w:val="nil"/>
              <w:bottom w:val="single" w:sz="8" w:space="0" w:color="BFBFBF"/>
              <w:right w:val="single" w:sz="8" w:space="0" w:color="BFBFBF"/>
            </w:tcBorders>
            <w:shd w:val="clear" w:color="auto" w:fill="auto"/>
            <w:noWrap/>
            <w:vAlign w:val="center"/>
            <w:hideMark/>
          </w:tcPr>
          <w:p w14:paraId="54E1318F"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3</w:t>
            </w:r>
          </w:p>
        </w:tc>
        <w:tc>
          <w:tcPr>
            <w:tcW w:w="1292" w:type="pct"/>
            <w:tcBorders>
              <w:top w:val="nil"/>
              <w:left w:val="nil"/>
              <w:bottom w:val="single" w:sz="8" w:space="0" w:color="BFBFBF"/>
              <w:right w:val="single" w:sz="8" w:space="0" w:color="BFBFBF"/>
            </w:tcBorders>
            <w:shd w:val="clear" w:color="auto" w:fill="auto"/>
            <w:vAlign w:val="center"/>
            <w:hideMark/>
          </w:tcPr>
          <w:p w14:paraId="5E371E9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urbano; Nacional rural.</w:t>
            </w:r>
          </w:p>
        </w:tc>
      </w:tr>
      <w:tr w:rsidR="002752B5" w:rsidRPr="009A501D" w14:paraId="519DCD12"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5C2B312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0097E1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ENASJUP</w:t>
            </w:r>
          </w:p>
        </w:tc>
        <w:tc>
          <w:tcPr>
            <w:tcW w:w="2003" w:type="pct"/>
            <w:tcBorders>
              <w:top w:val="nil"/>
              <w:left w:val="nil"/>
              <w:bottom w:val="single" w:sz="8" w:space="0" w:color="BFBFBF"/>
              <w:right w:val="single" w:sz="8" w:space="0" w:color="BFBFBF"/>
            </w:tcBorders>
            <w:shd w:val="clear" w:color="000000" w:fill="F2F2F2"/>
            <w:vAlign w:val="center"/>
            <w:hideMark/>
          </w:tcPr>
          <w:p w14:paraId="0737C2F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adolescentes en el sistema de justicia penal que fueron detenidos por la Policía Preventiva o Municipal</w:t>
            </w:r>
          </w:p>
        </w:tc>
        <w:tc>
          <w:tcPr>
            <w:tcW w:w="428" w:type="pct"/>
            <w:tcBorders>
              <w:top w:val="nil"/>
              <w:left w:val="nil"/>
              <w:bottom w:val="single" w:sz="8" w:space="0" w:color="BFBFBF"/>
              <w:right w:val="single" w:sz="8" w:space="0" w:color="BFBFBF"/>
            </w:tcBorders>
            <w:shd w:val="clear" w:color="000000" w:fill="F2F2F2"/>
            <w:noWrap/>
            <w:vAlign w:val="center"/>
            <w:hideMark/>
          </w:tcPr>
          <w:p w14:paraId="013EC8C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0A891DC"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99</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3DF095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1C058AB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DD11AA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9F8872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E66DB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adolescentes en el sistema de justicia penal con medida de sanción por el delito de robo</w:t>
            </w:r>
          </w:p>
        </w:tc>
        <w:tc>
          <w:tcPr>
            <w:tcW w:w="428" w:type="pct"/>
            <w:tcBorders>
              <w:top w:val="nil"/>
              <w:left w:val="nil"/>
              <w:bottom w:val="single" w:sz="8" w:space="0" w:color="BFBFBF"/>
              <w:right w:val="single" w:sz="8" w:space="0" w:color="BFBFBF"/>
            </w:tcBorders>
            <w:shd w:val="clear" w:color="000000" w:fill="F2F2F2"/>
            <w:noWrap/>
            <w:vAlign w:val="center"/>
            <w:hideMark/>
          </w:tcPr>
          <w:p w14:paraId="2B12181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7032A6A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231653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DC5999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BA8234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C5DC0C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3BA047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adolescentes en el sistema de justicia penal con medida de sanción por el delito de homicidio</w:t>
            </w:r>
          </w:p>
        </w:tc>
        <w:tc>
          <w:tcPr>
            <w:tcW w:w="428" w:type="pct"/>
            <w:tcBorders>
              <w:top w:val="nil"/>
              <w:left w:val="nil"/>
              <w:bottom w:val="single" w:sz="8" w:space="0" w:color="BFBFBF"/>
              <w:right w:val="single" w:sz="8" w:space="0" w:color="BFBFBF"/>
            </w:tcBorders>
            <w:shd w:val="clear" w:color="000000" w:fill="F2F2F2"/>
            <w:noWrap/>
            <w:vAlign w:val="center"/>
            <w:hideMark/>
          </w:tcPr>
          <w:p w14:paraId="2249FF1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0BCC794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E55D47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525232E"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0A35D4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63E31A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ENCIG</w:t>
            </w:r>
          </w:p>
        </w:tc>
        <w:tc>
          <w:tcPr>
            <w:tcW w:w="2003" w:type="pct"/>
            <w:tcBorders>
              <w:top w:val="nil"/>
              <w:left w:val="nil"/>
              <w:bottom w:val="single" w:sz="8" w:space="0" w:color="BFBFBF"/>
              <w:right w:val="single" w:sz="8" w:space="0" w:color="BFBFBF"/>
            </w:tcBorders>
            <w:shd w:val="clear" w:color="auto" w:fill="auto"/>
            <w:vAlign w:val="center"/>
            <w:hideMark/>
          </w:tcPr>
          <w:p w14:paraId="0B03AA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agua potable</w:t>
            </w:r>
          </w:p>
        </w:tc>
        <w:tc>
          <w:tcPr>
            <w:tcW w:w="428" w:type="pct"/>
            <w:tcBorders>
              <w:top w:val="nil"/>
              <w:left w:val="nil"/>
              <w:bottom w:val="single" w:sz="8" w:space="0" w:color="BFBFBF"/>
              <w:right w:val="single" w:sz="8" w:space="0" w:color="BFBFBF"/>
            </w:tcBorders>
            <w:shd w:val="clear" w:color="auto" w:fill="auto"/>
            <w:noWrap/>
            <w:vAlign w:val="center"/>
            <w:hideMark/>
          </w:tcPr>
          <w:p w14:paraId="26B9CAA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0A173FD"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264</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CEB97A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266977E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CC362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EB2D43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D8488E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drenaje y alcantarillado</w:t>
            </w:r>
          </w:p>
        </w:tc>
        <w:tc>
          <w:tcPr>
            <w:tcW w:w="428" w:type="pct"/>
            <w:tcBorders>
              <w:top w:val="nil"/>
              <w:left w:val="nil"/>
              <w:bottom w:val="single" w:sz="8" w:space="0" w:color="BFBFBF"/>
              <w:right w:val="single" w:sz="8" w:space="0" w:color="BFBFBF"/>
            </w:tcBorders>
            <w:shd w:val="clear" w:color="auto" w:fill="auto"/>
            <w:noWrap/>
            <w:vAlign w:val="center"/>
            <w:hideMark/>
          </w:tcPr>
          <w:p w14:paraId="00855CA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1740AF9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79BFD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54B681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729B25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5ABBE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8C5DAD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alumbrado público</w:t>
            </w:r>
          </w:p>
        </w:tc>
        <w:tc>
          <w:tcPr>
            <w:tcW w:w="428" w:type="pct"/>
            <w:tcBorders>
              <w:top w:val="nil"/>
              <w:left w:val="nil"/>
              <w:bottom w:val="single" w:sz="8" w:space="0" w:color="BFBFBF"/>
              <w:right w:val="single" w:sz="8" w:space="0" w:color="BFBFBF"/>
            </w:tcBorders>
            <w:shd w:val="clear" w:color="auto" w:fill="auto"/>
            <w:noWrap/>
            <w:vAlign w:val="center"/>
            <w:hideMark/>
          </w:tcPr>
          <w:p w14:paraId="1969003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6C39E17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38CA2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E5D15D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8E57F9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75BBA8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50F0F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parques y jardines públicos</w:t>
            </w:r>
          </w:p>
        </w:tc>
        <w:tc>
          <w:tcPr>
            <w:tcW w:w="428" w:type="pct"/>
            <w:tcBorders>
              <w:top w:val="nil"/>
              <w:left w:val="nil"/>
              <w:bottom w:val="single" w:sz="8" w:space="0" w:color="BFBFBF"/>
              <w:right w:val="single" w:sz="8" w:space="0" w:color="BFBFBF"/>
            </w:tcBorders>
            <w:shd w:val="clear" w:color="auto" w:fill="auto"/>
            <w:noWrap/>
            <w:vAlign w:val="center"/>
            <w:hideMark/>
          </w:tcPr>
          <w:p w14:paraId="1DD3830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5655E32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7F9346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B5478F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41B7D3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D9FBC7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40DE3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recolección de basura</w:t>
            </w:r>
          </w:p>
        </w:tc>
        <w:tc>
          <w:tcPr>
            <w:tcW w:w="428" w:type="pct"/>
            <w:tcBorders>
              <w:top w:val="nil"/>
              <w:left w:val="nil"/>
              <w:bottom w:val="single" w:sz="8" w:space="0" w:color="BFBFBF"/>
              <w:right w:val="single" w:sz="8" w:space="0" w:color="BFBFBF"/>
            </w:tcBorders>
            <w:shd w:val="clear" w:color="auto" w:fill="auto"/>
            <w:noWrap/>
            <w:vAlign w:val="center"/>
            <w:hideMark/>
          </w:tcPr>
          <w:p w14:paraId="03CAFCB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1D4E311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BBEA1D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C221C1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2B0B7B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0843B6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BE87F9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la policía</w:t>
            </w:r>
          </w:p>
        </w:tc>
        <w:tc>
          <w:tcPr>
            <w:tcW w:w="428" w:type="pct"/>
            <w:tcBorders>
              <w:top w:val="nil"/>
              <w:left w:val="nil"/>
              <w:bottom w:val="single" w:sz="8" w:space="0" w:color="BFBFBF"/>
              <w:right w:val="single" w:sz="8" w:space="0" w:color="BFBFBF"/>
            </w:tcBorders>
            <w:shd w:val="clear" w:color="auto" w:fill="auto"/>
            <w:noWrap/>
            <w:vAlign w:val="center"/>
            <w:hideMark/>
          </w:tcPr>
          <w:p w14:paraId="1172B5A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78AF37D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4FEC03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4A7557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39D355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113217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5F8BA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calles y avenidas</w:t>
            </w:r>
          </w:p>
        </w:tc>
        <w:tc>
          <w:tcPr>
            <w:tcW w:w="428" w:type="pct"/>
            <w:tcBorders>
              <w:top w:val="nil"/>
              <w:left w:val="nil"/>
              <w:bottom w:val="single" w:sz="8" w:space="0" w:color="BFBFBF"/>
              <w:right w:val="single" w:sz="8" w:space="0" w:color="BFBFBF"/>
            </w:tcBorders>
            <w:shd w:val="clear" w:color="auto" w:fill="auto"/>
            <w:noWrap/>
            <w:vAlign w:val="center"/>
            <w:hideMark/>
          </w:tcPr>
          <w:p w14:paraId="3208AE3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120F8ED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9E72C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A46EC4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2863BD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2B2E59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41E07E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satisfecha con el servicio de carreteras y caminos sin cuota</w:t>
            </w:r>
          </w:p>
        </w:tc>
        <w:tc>
          <w:tcPr>
            <w:tcW w:w="428" w:type="pct"/>
            <w:tcBorders>
              <w:top w:val="nil"/>
              <w:left w:val="nil"/>
              <w:bottom w:val="single" w:sz="8" w:space="0" w:color="BFBFBF"/>
              <w:right w:val="single" w:sz="8" w:space="0" w:color="BFBFBF"/>
            </w:tcBorders>
            <w:shd w:val="clear" w:color="auto" w:fill="auto"/>
            <w:noWrap/>
            <w:vAlign w:val="center"/>
            <w:hideMark/>
          </w:tcPr>
          <w:p w14:paraId="6F21F80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053590A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2FACAE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78890D7"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DE2B95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DEDAAE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ENCO</w:t>
            </w:r>
          </w:p>
        </w:tc>
        <w:tc>
          <w:tcPr>
            <w:tcW w:w="2003" w:type="pct"/>
            <w:tcBorders>
              <w:top w:val="nil"/>
              <w:left w:val="nil"/>
              <w:bottom w:val="single" w:sz="8" w:space="0" w:color="BFBFBF"/>
              <w:right w:val="single" w:sz="8" w:space="0" w:color="BFBFBF"/>
            </w:tcBorders>
            <w:shd w:val="clear" w:color="000000" w:fill="F2F2F2"/>
            <w:vAlign w:val="center"/>
            <w:hideMark/>
          </w:tcPr>
          <w:p w14:paraId="51C3424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del Consumidor</w:t>
            </w:r>
          </w:p>
        </w:tc>
        <w:tc>
          <w:tcPr>
            <w:tcW w:w="428" w:type="pct"/>
            <w:tcBorders>
              <w:top w:val="nil"/>
              <w:left w:val="nil"/>
              <w:bottom w:val="single" w:sz="8" w:space="0" w:color="BFBFBF"/>
              <w:right w:val="single" w:sz="8" w:space="0" w:color="BFBFBF"/>
            </w:tcBorders>
            <w:shd w:val="clear" w:color="000000" w:fill="F2F2F2"/>
            <w:noWrap/>
            <w:vAlign w:val="center"/>
            <w:hideMark/>
          </w:tcPr>
          <w:p w14:paraId="4AD190B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4A9221B"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72</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478E420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de las 32 áreas urbanas de interés.</w:t>
            </w:r>
          </w:p>
        </w:tc>
      </w:tr>
      <w:tr w:rsidR="002752B5" w:rsidRPr="009A501D" w14:paraId="1714694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D2950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50A30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2ECFB0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del Consumidor P3. Comparada con la situación económica que los miembros de este hogar TENÍAN HACE 12 MESES ¿cómo cree que es su situación en este momento?</w:t>
            </w:r>
          </w:p>
        </w:tc>
        <w:tc>
          <w:tcPr>
            <w:tcW w:w="428" w:type="pct"/>
            <w:tcBorders>
              <w:top w:val="nil"/>
              <w:left w:val="nil"/>
              <w:bottom w:val="single" w:sz="8" w:space="0" w:color="BFBFBF"/>
              <w:right w:val="single" w:sz="8" w:space="0" w:color="BFBFBF"/>
            </w:tcBorders>
            <w:shd w:val="clear" w:color="000000" w:fill="F2F2F2"/>
            <w:noWrap/>
            <w:vAlign w:val="center"/>
            <w:hideMark/>
          </w:tcPr>
          <w:p w14:paraId="086726B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477" w:type="pct"/>
            <w:vMerge/>
            <w:tcBorders>
              <w:top w:val="nil"/>
              <w:left w:val="single" w:sz="8" w:space="0" w:color="BFBFBF"/>
              <w:bottom w:val="single" w:sz="8" w:space="0" w:color="BFBFBF"/>
              <w:right w:val="single" w:sz="8" w:space="0" w:color="BFBFBF"/>
            </w:tcBorders>
            <w:vAlign w:val="center"/>
            <w:hideMark/>
          </w:tcPr>
          <w:p w14:paraId="7844248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93AFD4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4CD476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517E81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12F9AA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A4C48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del Consumidor P4. ¿Cómo considera usted que será la situación económica de los miembros de este hogar DENTRO DE 12 MESES, respecto a la actual?</w:t>
            </w:r>
          </w:p>
        </w:tc>
        <w:tc>
          <w:tcPr>
            <w:tcW w:w="428" w:type="pct"/>
            <w:tcBorders>
              <w:top w:val="nil"/>
              <w:left w:val="nil"/>
              <w:bottom w:val="single" w:sz="8" w:space="0" w:color="BFBFBF"/>
              <w:right w:val="single" w:sz="8" w:space="0" w:color="BFBFBF"/>
            </w:tcBorders>
            <w:shd w:val="clear" w:color="000000" w:fill="F2F2F2"/>
            <w:noWrap/>
            <w:vAlign w:val="center"/>
            <w:hideMark/>
          </w:tcPr>
          <w:p w14:paraId="7B8E64B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477" w:type="pct"/>
            <w:vMerge/>
            <w:tcBorders>
              <w:top w:val="nil"/>
              <w:left w:val="single" w:sz="8" w:space="0" w:color="BFBFBF"/>
              <w:bottom w:val="single" w:sz="8" w:space="0" w:color="BFBFBF"/>
              <w:right w:val="single" w:sz="8" w:space="0" w:color="BFBFBF"/>
            </w:tcBorders>
            <w:vAlign w:val="center"/>
            <w:hideMark/>
          </w:tcPr>
          <w:p w14:paraId="20BB2D8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7CDFF7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FFCA9A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238FA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EEE262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139E44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del Consumidor P5. ¿Cómo considera usted la situación económica del PAÍS HOY EN DÍA comparada con la de HACE 12 MESES?</w:t>
            </w:r>
          </w:p>
        </w:tc>
        <w:tc>
          <w:tcPr>
            <w:tcW w:w="428" w:type="pct"/>
            <w:tcBorders>
              <w:top w:val="nil"/>
              <w:left w:val="nil"/>
              <w:bottom w:val="single" w:sz="8" w:space="0" w:color="BFBFBF"/>
              <w:right w:val="single" w:sz="8" w:space="0" w:color="BFBFBF"/>
            </w:tcBorders>
            <w:shd w:val="clear" w:color="000000" w:fill="F2F2F2"/>
            <w:noWrap/>
            <w:vAlign w:val="center"/>
            <w:hideMark/>
          </w:tcPr>
          <w:p w14:paraId="24F86B2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477" w:type="pct"/>
            <w:vMerge/>
            <w:tcBorders>
              <w:top w:val="nil"/>
              <w:left w:val="single" w:sz="8" w:space="0" w:color="BFBFBF"/>
              <w:bottom w:val="single" w:sz="8" w:space="0" w:color="BFBFBF"/>
              <w:right w:val="single" w:sz="8" w:space="0" w:color="BFBFBF"/>
            </w:tcBorders>
            <w:vAlign w:val="center"/>
            <w:hideMark/>
          </w:tcPr>
          <w:p w14:paraId="6932FFA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48651C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EC24A7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B05E58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C4449A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2CAA08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Indicador de Confianza del Consumidor P6. ¿Cómo considera usted que será la condición económica del PAÍS DENTRO DE 12 MESES respecto de la actual situación?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727E17F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477" w:type="pct"/>
            <w:vMerge/>
            <w:tcBorders>
              <w:top w:val="nil"/>
              <w:left w:val="single" w:sz="8" w:space="0" w:color="BFBFBF"/>
              <w:bottom w:val="single" w:sz="8" w:space="0" w:color="BFBFBF"/>
              <w:right w:val="single" w:sz="8" w:space="0" w:color="BFBFBF"/>
            </w:tcBorders>
            <w:vAlign w:val="center"/>
            <w:hideMark/>
          </w:tcPr>
          <w:p w14:paraId="6A6B2BC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C7BA6F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8B038F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EAFC28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7C65B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FBEBDD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Indicador de Confianza del Consumidor P8. Comparando la SITUACIÓN ECONÓMICA ACTUAL con la de HACE UN AÑO, ¿cómo considera en el </w:t>
            </w:r>
            <w:r w:rsidRPr="009A501D">
              <w:rPr>
                <w:rFonts w:ascii="Century Gothic" w:eastAsia="Times New Roman" w:hAnsi="Century Gothic" w:cs="Calibri"/>
                <w:color w:val="000000"/>
                <w:sz w:val="16"/>
                <w:szCs w:val="16"/>
                <w:lang w:eastAsia="es-MX"/>
              </w:rPr>
              <w:lastRenderedPageBreak/>
              <w:t>MOMENTO ACTUAL las posibilidades de que usted o alguno de los integrantes de este hogar realice compras tales como muebles, televisor, lavadora, otros aparatos electrodomésticos, etc.?</w:t>
            </w:r>
          </w:p>
        </w:tc>
        <w:tc>
          <w:tcPr>
            <w:tcW w:w="428" w:type="pct"/>
            <w:tcBorders>
              <w:top w:val="nil"/>
              <w:left w:val="nil"/>
              <w:bottom w:val="single" w:sz="8" w:space="0" w:color="BFBFBF"/>
              <w:right w:val="single" w:sz="8" w:space="0" w:color="BFBFBF"/>
            </w:tcBorders>
            <w:shd w:val="clear" w:color="000000" w:fill="F2F2F2"/>
            <w:noWrap/>
            <w:vAlign w:val="center"/>
            <w:hideMark/>
          </w:tcPr>
          <w:p w14:paraId="0385E6C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12</w:t>
            </w:r>
          </w:p>
        </w:tc>
        <w:tc>
          <w:tcPr>
            <w:tcW w:w="477" w:type="pct"/>
            <w:vMerge/>
            <w:tcBorders>
              <w:top w:val="nil"/>
              <w:left w:val="single" w:sz="8" w:space="0" w:color="BFBFBF"/>
              <w:bottom w:val="single" w:sz="8" w:space="0" w:color="BFBFBF"/>
              <w:right w:val="single" w:sz="8" w:space="0" w:color="BFBFBF"/>
            </w:tcBorders>
            <w:vAlign w:val="center"/>
            <w:hideMark/>
          </w:tcPr>
          <w:p w14:paraId="42F33BE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84EF8E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797EA0E"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auto" w:fill="auto"/>
            <w:noWrap/>
            <w:vAlign w:val="center"/>
            <w:hideMark/>
          </w:tcPr>
          <w:p w14:paraId="7B85732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tcBorders>
              <w:top w:val="nil"/>
              <w:left w:val="nil"/>
              <w:bottom w:val="single" w:sz="8" w:space="0" w:color="BFBFBF"/>
              <w:right w:val="single" w:sz="8" w:space="0" w:color="BFBFBF"/>
            </w:tcBorders>
            <w:shd w:val="clear" w:color="auto" w:fill="auto"/>
            <w:noWrap/>
            <w:vAlign w:val="center"/>
            <w:hideMark/>
          </w:tcPr>
          <w:p w14:paraId="499EA35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ENDIREH</w:t>
            </w:r>
          </w:p>
        </w:tc>
        <w:tc>
          <w:tcPr>
            <w:tcW w:w="2003" w:type="pct"/>
            <w:tcBorders>
              <w:top w:val="nil"/>
              <w:left w:val="nil"/>
              <w:bottom w:val="single" w:sz="8" w:space="0" w:color="BFBFBF"/>
              <w:right w:val="single" w:sz="8" w:space="0" w:color="BFBFBF"/>
            </w:tcBorders>
            <w:shd w:val="clear" w:color="auto" w:fill="auto"/>
            <w:vAlign w:val="center"/>
            <w:hideMark/>
          </w:tcPr>
          <w:p w14:paraId="65EC044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Prevalencia de la violencia entre las mujeres de 15 años y más</w:t>
            </w:r>
          </w:p>
        </w:tc>
        <w:tc>
          <w:tcPr>
            <w:tcW w:w="428" w:type="pct"/>
            <w:tcBorders>
              <w:top w:val="nil"/>
              <w:left w:val="nil"/>
              <w:bottom w:val="single" w:sz="8" w:space="0" w:color="BFBFBF"/>
              <w:right w:val="single" w:sz="8" w:space="0" w:color="BFBFBF"/>
            </w:tcBorders>
            <w:shd w:val="clear" w:color="auto" w:fill="auto"/>
            <w:noWrap/>
            <w:vAlign w:val="center"/>
            <w:hideMark/>
          </w:tcPr>
          <w:p w14:paraId="2A6E392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82</w:t>
            </w:r>
          </w:p>
        </w:tc>
        <w:tc>
          <w:tcPr>
            <w:tcW w:w="477" w:type="pct"/>
            <w:tcBorders>
              <w:top w:val="nil"/>
              <w:left w:val="nil"/>
              <w:bottom w:val="single" w:sz="8" w:space="0" w:color="BFBFBF"/>
              <w:right w:val="single" w:sz="8" w:space="0" w:color="BFBFBF"/>
            </w:tcBorders>
            <w:shd w:val="clear" w:color="auto" w:fill="auto"/>
            <w:noWrap/>
            <w:vAlign w:val="center"/>
            <w:hideMark/>
          </w:tcPr>
          <w:p w14:paraId="6193103D"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82</w:t>
            </w:r>
          </w:p>
        </w:tc>
        <w:tc>
          <w:tcPr>
            <w:tcW w:w="1292" w:type="pct"/>
            <w:tcBorders>
              <w:top w:val="nil"/>
              <w:left w:val="nil"/>
              <w:bottom w:val="single" w:sz="8" w:space="0" w:color="BFBFBF"/>
              <w:right w:val="single" w:sz="8" w:space="0" w:color="BFBFBF"/>
            </w:tcBorders>
            <w:shd w:val="clear" w:color="auto" w:fill="auto"/>
            <w:vAlign w:val="center"/>
            <w:hideMark/>
          </w:tcPr>
          <w:p w14:paraId="61E2DF2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periodo de tiempo; Por ámbito de ocurrencia; Por tipo de violencia</w:t>
            </w:r>
          </w:p>
        </w:tc>
      </w:tr>
      <w:tr w:rsidR="002752B5" w:rsidRPr="009A501D" w14:paraId="4B38B97F"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79FB03D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000000" w:fill="F2F2F2"/>
            <w:noWrap/>
            <w:vAlign w:val="center"/>
            <w:hideMark/>
          </w:tcPr>
          <w:p w14:paraId="2DCF000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ENDISEG</w:t>
            </w:r>
          </w:p>
        </w:tc>
        <w:tc>
          <w:tcPr>
            <w:tcW w:w="2003" w:type="pct"/>
            <w:tcBorders>
              <w:top w:val="nil"/>
              <w:left w:val="nil"/>
              <w:bottom w:val="single" w:sz="8" w:space="0" w:color="BFBFBF"/>
              <w:right w:val="single" w:sz="8" w:space="0" w:color="BFBFBF"/>
            </w:tcBorders>
            <w:shd w:val="clear" w:color="000000" w:fill="F2F2F2"/>
            <w:vAlign w:val="center"/>
            <w:hideMark/>
          </w:tcPr>
          <w:p w14:paraId="7941244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15 años y más con condición de orientación sexual e identidad de género (OSIG) no normativa</w:t>
            </w:r>
          </w:p>
        </w:tc>
        <w:tc>
          <w:tcPr>
            <w:tcW w:w="428" w:type="pct"/>
            <w:tcBorders>
              <w:top w:val="nil"/>
              <w:left w:val="nil"/>
              <w:bottom w:val="single" w:sz="8" w:space="0" w:color="BFBFBF"/>
              <w:right w:val="single" w:sz="8" w:space="0" w:color="BFBFBF"/>
            </w:tcBorders>
            <w:shd w:val="clear" w:color="000000" w:fill="F2F2F2"/>
            <w:noWrap/>
            <w:vAlign w:val="center"/>
            <w:hideMark/>
          </w:tcPr>
          <w:p w14:paraId="5319647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tcBorders>
              <w:top w:val="nil"/>
              <w:left w:val="nil"/>
              <w:bottom w:val="single" w:sz="8" w:space="0" w:color="BFBFBF"/>
              <w:right w:val="single" w:sz="8" w:space="0" w:color="BFBFBF"/>
            </w:tcBorders>
            <w:shd w:val="clear" w:color="000000" w:fill="F2F2F2"/>
            <w:noWrap/>
            <w:vAlign w:val="center"/>
            <w:hideMark/>
          </w:tcPr>
          <w:p w14:paraId="102F7383"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w:t>
            </w:r>
          </w:p>
        </w:tc>
        <w:tc>
          <w:tcPr>
            <w:tcW w:w="1292" w:type="pct"/>
            <w:tcBorders>
              <w:top w:val="nil"/>
              <w:left w:val="nil"/>
              <w:bottom w:val="single" w:sz="8" w:space="0" w:color="BFBFBF"/>
              <w:right w:val="single" w:sz="8" w:space="0" w:color="BFBFBF"/>
            </w:tcBorders>
            <w:shd w:val="clear" w:color="000000" w:fill="F2F2F2"/>
            <w:vAlign w:val="center"/>
            <w:hideMark/>
          </w:tcPr>
          <w:p w14:paraId="076F130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279A2595"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A31167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837276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ENDUTIH</w:t>
            </w:r>
          </w:p>
        </w:tc>
        <w:tc>
          <w:tcPr>
            <w:tcW w:w="2003" w:type="pct"/>
            <w:tcBorders>
              <w:top w:val="nil"/>
              <w:left w:val="nil"/>
              <w:bottom w:val="single" w:sz="8" w:space="0" w:color="BFBFBF"/>
              <w:right w:val="single" w:sz="8" w:space="0" w:color="BFBFBF"/>
            </w:tcBorders>
            <w:shd w:val="clear" w:color="auto" w:fill="auto"/>
            <w:vAlign w:val="center"/>
            <w:hideMark/>
          </w:tcPr>
          <w:p w14:paraId="66EF43E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Hogares</w:t>
            </w:r>
          </w:p>
        </w:tc>
        <w:tc>
          <w:tcPr>
            <w:tcW w:w="428" w:type="pct"/>
            <w:tcBorders>
              <w:top w:val="nil"/>
              <w:left w:val="nil"/>
              <w:bottom w:val="single" w:sz="8" w:space="0" w:color="BFBFBF"/>
              <w:right w:val="single" w:sz="8" w:space="0" w:color="BFBFBF"/>
            </w:tcBorders>
            <w:shd w:val="clear" w:color="auto" w:fill="auto"/>
            <w:noWrap/>
            <w:vAlign w:val="center"/>
            <w:hideMark/>
          </w:tcPr>
          <w:p w14:paraId="040DCD1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080C338"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273</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6CDFE1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por urbano-rural; Nacional por estrato socioeconómico.</w:t>
            </w:r>
          </w:p>
        </w:tc>
      </w:tr>
      <w:tr w:rsidR="002752B5" w:rsidRPr="009A501D" w14:paraId="5618454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FA07B7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AACDF1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4F6656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Hogares con computadora</w:t>
            </w:r>
          </w:p>
        </w:tc>
        <w:tc>
          <w:tcPr>
            <w:tcW w:w="428" w:type="pct"/>
            <w:tcBorders>
              <w:top w:val="nil"/>
              <w:left w:val="nil"/>
              <w:bottom w:val="single" w:sz="8" w:space="0" w:color="BFBFBF"/>
              <w:right w:val="single" w:sz="8" w:space="0" w:color="BFBFBF"/>
            </w:tcBorders>
            <w:shd w:val="clear" w:color="auto" w:fill="auto"/>
            <w:noWrap/>
            <w:vAlign w:val="center"/>
            <w:hideMark/>
          </w:tcPr>
          <w:p w14:paraId="3B9D965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279D1A4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1055EF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430A51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C25923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86682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F9E9A8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Hogares con internet</w:t>
            </w:r>
          </w:p>
        </w:tc>
        <w:tc>
          <w:tcPr>
            <w:tcW w:w="428" w:type="pct"/>
            <w:tcBorders>
              <w:top w:val="nil"/>
              <w:left w:val="nil"/>
              <w:bottom w:val="single" w:sz="8" w:space="0" w:color="BFBFBF"/>
              <w:right w:val="single" w:sz="8" w:space="0" w:color="BFBFBF"/>
            </w:tcBorders>
            <w:shd w:val="clear" w:color="auto" w:fill="auto"/>
            <w:noWrap/>
            <w:vAlign w:val="center"/>
            <w:hideMark/>
          </w:tcPr>
          <w:p w14:paraId="2299F98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08060EB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B6EC96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6F37A9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9396FB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B809B7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FD852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Población de 6 años o más</w:t>
            </w:r>
          </w:p>
        </w:tc>
        <w:tc>
          <w:tcPr>
            <w:tcW w:w="428" w:type="pct"/>
            <w:tcBorders>
              <w:top w:val="nil"/>
              <w:left w:val="nil"/>
              <w:bottom w:val="single" w:sz="8" w:space="0" w:color="BFBFBF"/>
              <w:right w:val="single" w:sz="8" w:space="0" w:color="BFBFBF"/>
            </w:tcBorders>
            <w:shd w:val="clear" w:color="auto" w:fill="auto"/>
            <w:noWrap/>
            <w:vAlign w:val="center"/>
            <w:hideMark/>
          </w:tcPr>
          <w:p w14:paraId="18F2719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27FC94B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FE2B2D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ECFAB5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5B3755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0AA17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849C68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Usuarios de computadora</w:t>
            </w:r>
          </w:p>
        </w:tc>
        <w:tc>
          <w:tcPr>
            <w:tcW w:w="428" w:type="pct"/>
            <w:tcBorders>
              <w:top w:val="nil"/>
              <w:left w:val="nil"/>
              <w:bottom w:val="single" w:sz="8" w:space="0" w:color="BFBFBF"/>
              <w:right w:val="single" w:sz="8" w:space="0" w:color="BFBFBF"/>
            </w:tcBorders>
            <w:shd w:val="clear" w:color="auto" w:fill="auto"/>
            <w:noWrap/>
            <w:vAlign w:val="center"/>
            <w:hideMark/>
          </w:tcPr>
          <w:p w14:paraId="4151838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6F2EC5B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0635C0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589864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FED77E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41ED64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E10371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Usuarios de internet</w:t>
            </w:r>
          </w:p>
        </w:tc>
        <w:tc>
          <w:tcPr>
            <w:tcW w:w="428" w:type="pct"/>
            <w:tcBorders>
              <w:top w:val="nil"/>
              <w:left w:val="nil"/>
              <w:bottom w:val="single" w:sz="8" w:space="0" w:color="BFBFBF"/>
              <w:right w:val="single" w:sz="8" w:space="0" w:color="BFBFBF"/>
            </w:tcBorders>
            <w:shd w:val="clear" w:color="auto" w:fill="auto"/>
            <w:noWrap/>
            <w:vAlign w:val="center"/>
            <w:hideMark/>
          </w:tcPr>
          <w:p w14:paraId="3F1E558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09C3222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E015E4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74613C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7F23BF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2F4816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915F9B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Usuarios de celular</w:t>
            </w:r>
          </w:p>
        </w:tc>
        <w:tc>
          <w:tcPr>
            <w:tcW w:w="428" w:type="pct"/>
            <w:tcBorders>
              <w:top w:val="nil"/>
              <w:left w:val="nil"/>
              <w:bottom w:val="single" w:sz="8" w:space="0" w:color="BFBFBF"/>
              <w:right w:val="single" w:sz="8" w:space="0" w:color="BFBFBF"/>
            </w:tcBorders>
            <w:shd w:val="clear" w:color="auto" w:fill="auto"/>
            <w:noWrap/>
            <w:vAlign w:val="center"/>
            <w:hideMark/>
          </w:tcPr>
          <w:p w14:paraId="7B1956B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477" w:type="pct"/>
            <w:vMerge/>
            <w:tcBorders>
              <w:top w:val="nil"/>
              <w:left w:val="single" w:sz="8" w:space="0" w:color="BFBFBF"/>
              <w:bottom w:val="single" w:sz="8" w:space="0" w:color="BFBFBF"/>
              <w:right w:val="single" w:sz="8" w:space="0" w:color="BFBFBF"/>
            </w:tcBorders>
            <w:vAlign w:val="center"/>
            <w:hideMark/>
          </w:tcPr>
          <w:p w14:paraId="161F982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51CA72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FACEC0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670CBF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04DE8C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ENEC</w:t>
            </w:r>
          </w:p>
        </w:tc>
        <w:tc>
          <w:tcPr>
            <w:tcW w:w="2003" w:type="pct"/>
            <w:tcBorders>
              <w:top w:val="nil"/>
              <w:left w:val="nil"/>
              <w:bottom w:val="single" w:sz="8" w:space="0" w:color="BFBFBF"/>
              <w:right w:val="single" w:sz="8" w:space="0" w:color="BFBFBF"/>
            </w:tcBorders>
            <w:shd w:val="clear" w:color="000000" w:fill="F2F2F2"/>
            <w:vAlign w:val="center"/>
            <w:hideMark/>
          </w:tcPr>
          <w:p w14:paraId="17E7BB3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Ocupado Total</w:t>
            </w:r>
          </w:p>
        </w:tc>
        <w:tc>
          <w:tcPr>
            <w:tcW w:w="428" w:type="pct"/>
            <w:tcBorders>
              <w:top w:val="nil"/>
              <w:left w:val="nil"/>
              <w:bottom w:val="single" w:sz="8" w:space="0" w:color="BFBFBF"/>
              <w:right w:val="single" w:sz="8" w:space="0" w:color="BFBFBF"/>
            </w:tcBorders>
            <w:shd w:val="clear" w:color="000000" w:fill="F2F2F2"/>
            <w:noWrap/>
            <w:vAlign w:val="center"/>
            <w:hideMark/>
          </w:tcPr>
          <w:p w14:paraId="3004F05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432</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883F8AA"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864</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09E7762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por subsector; Por entidad federativa.</w:t>
            </w:r>
          </w:p>
        </w:tc>
      </w:tr>
      <w:tr w:rsidR="002752B5" w:rsidRPr="009A501D" w14:paraId="4FA740B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7E74F9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FE50A2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0C454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Valor de la Producción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56F2A76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432</w:t>
            </w:r>
          </w:p>
        </w:tc>
        <w:tc>
          <w:tcPr>
            <w:tcW w:w="477" w:type="pct"/>
            <w:vMerge/>
            <w:tcBorders>
              <w:top w:val="nil"/>
              <w:left w:val="single" w:sz="8" w:space="0" w:color="BFBFBF"/>
              <w:bottom w:val="single" w:sz="8" w:space="0" w:color="BFBFBF"/>
              <w:right w:val="single" w:sz="8" w:space="0" w:color="BFBFBF"/>
            </w:tcBorders>
            <w:vAlign w:val="center"/>
            <w:hideMark/>
          </w:tcPr>
          <w:p w14:paraId="360CF9B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AD5303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F7C179B"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E6A6FB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44BB08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ENH</w:t>
            </w:r>
          </w:p>
        </w:tc>
        <w:tc>
          <w:tcPr>
            <w:tcW w:w="2003" w:type="pct"/>
            <w:tcBorders>
              <w:top w:val="nil"/>
              <w:left w:val="nil"/>
              <w:bottom w:val="single" w:sz="8" w:space="0" w:color="BFBFBF"/>
              <w:right w:val="single" w:sz="8" w:space="0" w:color="BFBFBF"/>
            </w:tcBorders>
            <w:shd w:val="clear" w:color="auto" w:fill="auto"/>
            <w:vAlign w:val="center"/>
            <w:hideMark/>
          </w:tcPr>
          <w:p w14:paraId="56BFA2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integrantes del hogar</w:t>
            </w:r>
          </w:p>
        </w:tc>
        <w:tc>
          <w:tcPr>
            <w:tcW w:w="428" w:type="pct"/>
            <w:tcBorders>
              <w:top w:val="nil"/>
              <w:left w:val="nil"/>
              <w:bottom w:val="single" w:sz="8" w:space="0" w:color="BFBFBF"/>
              <w:right w:val="single" w:sz="8" w:space="0" w:color="BFBFBF"/>
            </w:tcBorders>
            <w:shd w:val="clear" w:color="auto" w:fill="auto"/>
            <w:noWrap/>
            <w:vAlign w:val="center"/>
            <w:hideMark/>
          </w:tcPr>
          <w:p w14:paraId="10C14DF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2D8E434"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6</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5B7992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45B5926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6A2815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349570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F9D632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Integrantes del hogar de 12 años y más</w:t>
            </w:r>
          </w:p>
        </w:tc>
        <w:tc>
          <w:tcPr>
            <w:tcW w:w="428" w:type="pct"/>
            <w:tcBorders>
              <w:top w:val="nil"/>
              <w:left w:val="nil"/>
              <w:bottom w:val="single" w:sz="8" w:space="0" w:color="BFBFBF"/>
              <w:right w:val="single" w:sz="8" w:space="0" w:color="BFBFBF"/>
            </w:tcBorders>
            <w:shd w:val="clear" w:color="auto" w:fill="auto"/>
            <w:noWrap/>
            <w:vAlign w:val="center"/>
            <w:hideMark/>
          </w:tcPr>
          <w:p w14:paraId="53F1389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6815C57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645255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85CC9E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1BD7A0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CFFB39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89884A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hogares</w:t>
            </w:r>
          </w:p>
        </w:tc>
        <w:tc>
          <w:tcPr>
            <w:tcW w:w="428" w:type="pct"/>
            <w:tcBorders>
              <w:top w:val="nil"/>
              <w:left w:val="nil"/>
              <w:bottom w:val="single" w:sz="8" w:space="0" w:color="BFBFBF"/>
              <w:right w:val="single" w:sz="8" w:space="0" w:color="BFBFBF"/>
            </w:tcBorders>
            <w:shd w:val="clear" w:color="auto" w:fill="auto"/>
            <w:noWrap/>
            <w:vAlign w:val="center"/>
            <w:hideMark/>
          </w:tcPr>
          <w:p w14:paraId="4E26301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2A0EF2DD"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A87D7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D29B7A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ABB27B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8F0890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EC5A5B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Tamaño del hogar</w:t>
            </w:r>
          </w:p>
        </w:tc>
        <w:tc>
          <w:tcPr>
            <w:tcW w:w="428" w:type="pct"/>
            <w:tcBorders>
              <w:top w:val="nil"/>
              <w:left w:val="nil"/>
              <w:bottom w:val="single" w:sz="8" w:space="0" w:color="BFBFBF"/>
              <w:right w:val="single" w:sz="8" w:space="0" w:color="BFBFBF"/>
            </w:tcBorders>
            <w:shd w:val="clear" w:color="auto" w:fill="auto"/>
            <w:noWrap/>
            <w:vAlign w:val="center"/>
            <w:hideMark/>
          </w:tcPr>
          <w:p w14:paraId="4F722A1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69C6072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D0C551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2805A8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477B9E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02438F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8A98E2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Edad del jefe del hogar</w:t>
            </w:r>
          </w:p>
        </w:tc>
        <w:tc>
          <w:tcPr>
            <w:tcW w:w="428" w:type="pct"/>
            <w:tcBorders>
              <w:top w:val="nil"/>
              <w:left w:val="nil"/>
              <w:bottom w:val="single" w:sz="8" w:space="0" w:color="BFBFBF"/>
              <w:right w:val="single" w:sz="8" w:space="0" w:color="BFBFBF"/>
            </w:tcBorders>
            <w:shd w:val="clear" w:color="auto" w:fill="auto"/>
            <w:noWrap/>
            <w:vAlign w:val="center"/>
            <w:hideMark/>
          </w:tcPr>
          <w:p w14:paraId="3BC054A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5C7B56C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2BC727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AA1B52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11EE82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9BE217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E16127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Hogares familiares</w:t>
            </w:r>
          </w:p>
        </w:tc>
        <w:tc>
          <w:tcPr>
            <w:tcW w:w="428" w:type="pct"/>
            <w:tcBorders>
              <w:top w:val="nil"/>
              <w:left w:val="nil"/>
              <w:bottom w:val="single" w:sz="8" w:space="0" w:color="BFBFBF"/>
              <w:right w:val="single" w:sz="8" w:space="0" w:color="BFBFBF"/>
            </w:tcBorders>
            <w:shd w:val="clear" w:color="auto" w:fill="auto"/>
            <w:noWrap/>
            <w:vAlign w:val="center"/>
            <w:hideMark/>
          </w:tcPr>
          <w:p w14:paraId="7FCF496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4E3FDD0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30ED22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0D9D0D5"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58AF8AD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16E134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ENIF</w:t>
            </w:r>
          </w:p>
        </w:tc>
        <w:tc>
          <w:tcPr>
            <w:tcW w:w="2003" w:type="pct"/>
            <w:tcBorders>
              <w:top w:val="nil"/>
              <w:left w:val="nil"/>
              <w:bottom w:val="single" w:sz="8" w:space="0" w:color="BFBFBF"/>
              <w:right w:val="single" w:sz="8" w:space="0" w:color="BFBFBF"/>
            </w:tcBorders>
            <w:shd w:val="clear" w:color="000000" w:fill="F2F2F2"/>
            <w:vAlign w:val="center"/>
            <w:hideMark/>
          </w:tcPr>
          <w:p w14:paraId="56E654F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 70 años</w:t>
            </w:r>
          </w:p>
        </w:tc>
        <w:tc>
          <w:tcPr>
            <w:tcW w:w="428" w:type="pct"/>
            <w:tcBorders>
              <w:top w:val="nil"/>
              <w:left w:val="nil"/>
              <w:bottom w:val="single" w:sz="8" w:space="0" w:color="BFBFBF"/>
              <w:right w:val="single" w:sz="8" w:space="0" w:color="BFBFBF"/>
            </w:tcBorders>
            <w:shd w:val="clear" w:color="000000" w:fill="F2F2F2"/>
            <w:noWrap/>
            <w:vAlign w:val="center"/>
            <w:hideMark/>
          </w:tcPr>
          <w:p w14:paraId="5D56A78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066B6EB"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5F84486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urbano; Nacional rural.</w:t>
            </w:r>
          </w:p>
        </w:tc>
      </w:tr>
      <w:tr w:rsidR="002752B5" w:rsidRPr="009A501D" w14:paraId="44BCBBE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F2D778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E4F9B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F1B1F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 70 años que tiene algún tipo de crédito</w:t>
            </w:r>
          </w:p>
        </w:tc>
        <w:tc>
          <w:tcPr>
            <w:tcW w:w="428" w:type="pct"/>
            <w:tcBorders>
              <w:top w:val="nil"/>
              <w:left w:val="nil"/>
              <w:bottom w:val="single" w:sz="8" w:space="0" w:color="BFBFBF"/>
              <w:right w:val="single" w:sz="8" w:space="0" w:color="BFBFBF"/>
            </w:tcBorders>
            <w:shd w:val="clear" w:color="000000" w:fill="F2F2F2"/>
            <w:noWrap/>
            <w:vAlign w:val="center"/>
            <w:hideMark/>
          </w:tcPr>
          <w:p w14:paraId="1E9C6C5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71F4728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9D9D49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9A6A9D4" w14:textId="77777777" w:rsidTr="00430123">
        <w:trPr>
          <w:trHeight w:val="318"/>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780949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AD0FCE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ENIGH_T</w:t>
            </w:r>
          </w:p>
        </w:tc>
        <w:tc>
          <w:tcPr>
            <w:tcW w:w="2003" w:type="pct"/>
            <w:tcBorders>
              <w:top w:val="nil"/>
              <w:left w:val="nil"/>
              <w:bottom w:val="single" w:sz="8" w:space="0" w:color="BFBFBF"/>
              <w:right w:val="single" w:sz="8" w:space="0" w:color="BFBFBF"/>
            </w:tcBorders>
            <w:shd w:val="clear" w:color="auto" w:fill="auto"/>
            <w:vAlign w:val="center"/>
            <w:hideMark/>
          </w:tcPr>
          <w:p w14:paraId="7E8335E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 Corriente Trimestral</w:t>
            </w:r>
          </w:p>
        </w:tc>
        <w:tc>
          <w:tcPr>
            <w:tcW w:w="428" w:type="pct"/>
            <w:tcBorders>
              <w:top w:val="nil"/>
              <w:left w:val="nil"/>
              <w:bottom w:val="single" w:sz="8" w:space="0" w:color="BFBFBF"/>
              <w:right w:val="single" w:sz="8" w:space="0" w:color="BFBFBF"/>
            </w:tcBorders>
            <w:shd w:val="clear" w:color="auto" w:fill="auto"/>
            <w:noWrap/>
            <w:vAlign w:val="center"/>
            <w:hideMark/>
          </w:tcPr>
          <w:p w14:paraId="0AB704A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A39732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198</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790255E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urbano; Nacional rural; Por entidad federativa; Por entidad federativa-Urbano; Por entidad federativa-Rural.</w:t>
            </w:r>
          </w:p>
        </w:tc>
      </w:tr>
      <w:tr w:rsidR="002752B5" w:rsidRPr="009A501D" w14:paraId="64DEA5F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9CE104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153E4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A7BEC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Gasto Corriente Trimestral</w:t>
            </w:r>
          </w:p>
        </w:tc>
        <w:tc>
          <w:tcPr>
            <w:tcW w:w="428" w:type="pct"/>
            <w:tcBorders>
              <w:top w:val="nil"/>
              <w:left w:val="nil"/>
              <w:bottom w:val="single" w:sz="8" w:space="0" w:color="BFBFBF"/>
              <w:right w:val="single" w:sz="8" w:space="0" w:color="BFBFBF"/>
            </w:tcBorders>
            <w:shd w:val="clear" w:color="auto" w:fill="auto"/>
            <w:noWrap/>
            <w:vAlign w:val="center"/>
            <w:hideMark/>
          </w:tcPr>
          <w:p w14:paraId="7F33688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477" w:type="pct"/>
            <w:vMerge/>
            <w:tcBorders>
              <w:top w:val="nil"/>
              <w:left w:val="single" w:sz="8" w:space="0" w:color="BFBFBF"/>
              <w:bottom w:val="single" w:sz="8" w:space="0" w:color="BFBFBF"/>
              <w:right w:val="single" w:sz="8" w:space="0" w:color="BFBFBF"/>
            </w:tcBorders>
            <w:vAlign w:val="center"/>
            <w:hideMark/>
          </w:tcPr>
          <w:p w14:paraId="723E38E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8197D0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074C98E"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C931EC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310646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ENIGH_E</w:t>
            </w:r>
          </w:p>
        </w:tc>
        <w:tc>
          <w:tcPr>
            <w:tcW w:w="2003" w:type="pct"/>
            <w:tcBorders>
              <w:top w:val="nil"/>
              <w:left w:val="nil"/>
              <w:bottom w:val="single" w:sz="8" w:space="0" w:color="BFBFBF"/>
              <w:right w:val="single" w:sz="8" w:space="0" w:color="BFBFBF"/>
            </w:tcBorders>
            <w:shd w:val="clear" w:color="000000" w:fill="F2F2F2"/>
            <w:vAlign w:val="center"/>
            <w:hideMark/>
          </w:tcPr>
          <w:p w14:paraId="66E982E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 Corriente Trimestral</w:t>
            </w:r>
          </w:p>
        </w:tc>
        <w:tc>
          <w:tcPr>
            <w:tcW w:w="428" w:type="pct"/>
            <w:tcBorders>
              <w:top w:val="nil"/>
              <w:left w:val="nil"/>
              <w:bottom w:val="single" w:sz="8" w:space="0" w:color="BFBFBF"/>
              <w:right w:val="single" w:sz="8" w:space="0" w:color="BFBFBF"/>
            </w:tcBorders>
            <w:shd w:val="clear" w:color="000000" w:fill="F2F2F2"/>
            <w:noWrap/>
            <w:vAlign w:val="center"/>
            <w:hideMark/>
          </w:tcPr>
          <w:p w14:paraId="2750124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5D98A94"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45A61B5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urbano; Nacional rural.</w:t>
            </w:r>
          </w:p>
        </w:tc>
      </w:tr>
      <w:tr w:rsidR="002752B5" w:rsidRPr="009A501D" w14:paraId="7F64ABD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B650F5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F0A9D1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539CB4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Gasto Corriente Trimestral</w:t>
            </w:r>
          </w:p>
        </w:tc>
        <w:tc>
          <w:tcPr>
            <w:tcW w:w="428" w:type="pct"/>
            <w:tcBorders>
              <w:top w:val="nil"/>
              <w:left w:val="nil"/>
              <w:bottom w:val="single" w:sz="8" w:space="0" w:color="BFBFBF"/>
              <w:right w:val="single" w:sz="8" w:space="0" w:color="BFBFBF"/>
            </w:tcBorders>
            <w:shd w:val="clear" w:color="000000" w:fill="F2F2F2"/>
            <w:noWrap/>
            <w:vAlign w:val="center"/>
            <w:hideMark/>
          </w:tcPr>
          <w:p w14:paraId="4538650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1F883EF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8E474E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F8C586F"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421114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nil"/>
              <w:right w:val="single" w:sz="8" w:space="0" w:color="BFBFBF"/>
            </w:tcBorders>
            <w:shd w:val="clear" w:color="auto" w:fill="auto"/>
            <w:vAlign w:val="center"/>
            <w:hideMark/>
          </w:tcPr>
          <w:p w14:paraId="139F9C4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ENOE_NE</w:t>
            </w:r>
          </w:p>
        </w:tc>
        <w:tc>
          <w:tcPr>
            <w:tcW w:w="2003" w:type="pct"/>
            <w:tcBorders>
              <w:top w:val="nil"/>
              <w:left w:val="nil"/>
              <w:bottom w:val="single" w:sz="8" w:space="0" w:color="BFBFBF"/>
              <w:right w:val="single" w:sz="8" w:space="0" w:color="BFBFBF"/>
            </w:tcBorders>
            <w:shd w:val="clear" w:color="auto" w:fill="auto"/>
            <w:vAlign w:val="center"/>
            <w:hideMark/>
          </w:tcPr>
          <w:p w14:paraId="6D3BAD2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15 años y más</w:t>
            </w:r>
          </w:p>
        </w:tc>
        <w:tc>
          <w:tcPr>
            <w:tcW w:w="428" w:type="pct"/>
            <w:tcBorders>
              <w:top w:val="nil"/>
              <w:left w:val="nil"/>
              <w:bottom w:val="single" w:sz="8" w:space="0" w:color="BFBFBF"/>
              <w:right w:val="single" w:sz="8" w:space="0" w:color="BFBFBF"/>
            </w:tcBorders>
            <w:shd w:val="clear" w:color="auto" w:fill="auto"/>
            <w:noWrap/>
            <w:vAlign w:val="center"/>
            <w:hideMark/>
          </w:tcPr>
          <w:p w14:paraId="256DBA8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D9AC541"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192</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58E4F7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3FF7C20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62974F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nil"/>
              <w:right w:val="single" w:sz="8" w:space="0" w:color="BFBFBF"/>
            </w:tcBorders>
            <w:shd w:val="clear" w:color="auto" w:fill="auto"/>
            <w:vAlign w:val="center"/>
            <w:hideMark/>
          </w:tcPr>
          <w:p w14:paraId="6F79DF8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(mensual)</w:t>
            </w:r>
          </w:p>
        </w:tc>
        <w:tc>
          <w:tcPr>
            <w:tcW w:w="2003" w:type="pct"/>
            <w:tcBorders>
              <w:top w:val="nil"/>
              <w:left w:val="nil"/>
              <w:bottom w:val="single" w:sz="8" w:space="0" w:color="BFBFBF"/>
              <w:right w:val="single" w:sz="8" w:space="0" w:color="BFBFBF"/>
            </w:tcBorders>
            <w:shd w:val="clear" w:color="auto" w:fill="auto"/>
            <w:vAlign w:val="center"/>
            <w:hideMark/>
          </w:tcPr>
          <w:p w14:paraId="318050A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Desocupada</w:t>
            </w:r>
          </w:p>
        </w:tc>
        <w:tc>
          <w:tcPr>
            <w:tcW w:w="428" w:type="pct"/>
            <w:tcBorders>
              <w:top w:val="nil"/>
              <w:left w:val="nil"/>
              <w:bottom w:val="single" w:sz="8" w:space="0" w:color="BFBFBF"/>
              <w:right w:val="single" w:sz="8" w:space="0" w:color="BFBFBF"/>
            </w:tcBorders>
            <w:shd w:val="clear" w:color="auto" w:fill="auto"/>
            <w:noWrap/>
            <w:vAlign w:val="center"/>
            <w:hideMark/>
          </w:tcPr>
          <w:p w14:paraId="22A2C2A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tcBorders>
              <w:top w:val="nil"/>
              <w:left w:val="single" w:sz="8" w:space="0" w:color="BFBFBF"/>
              <w:bottom w:val="single" w:sz="8" w:space="0" w:color="BFBFBF"/>
              <w:right w:val="single" w:sz="8" w:space="0" w:color="BFBFBF"/>
            </w:tcBorders>
            <w:vAlign w:val="center"/>
            <w:hideMark/>
          </w:tcPr>
          <w:p w14:paraId="59124C0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DFC37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37EDE9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EDC19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nil"/>
              <w:right w:val="single" w:sz="8" w:space="0" w:color="BFBFBF"/>
            </w:tcBorders>
            <w:shd w:val="clear" w:color="auto" w:fill="auto"/>
            <w:vAlign w:val="center"/>
            <w:hideMark/>
          </w:tcPr>
          <w:p w14:paraId="7CB8229C" w14:textId="77777777" w:rsidR="002752B5" w:rsidRPr="009A501D" w:rsidRDefault="002752B5" w:rsidP="00430123">
            <w:pPr>
              <w:spacing w:after="0" w:line="240" w:lineRule="auto"/>
              <w:rPr>
                <w:rFonts w:ascii="Calibri" w:eastAsia="Times New Roman" w:hAnsi="Calibri" w:cs="Calibri"/>
                <w:color w:val="000000"/>
                <w:lang w:eastAsia="es-MX"/>
              </w:rPr>
            </w:pPr>
            <w:r w:rsidRPr="009A501D">
              <w:rPr>
                <w:rFonts w:ascii="Calibri" w:eastAsia="Times New Roman" w:hAnsi="Calibri" w:cs="Calibri"/>
                <w:color w:val="000000"/>
                <w:lang w:eastAsia="es-MX"/>
              </w:rPr>
              <w:t> </w:t>
            </w:r>
          </w:p>
        </w:tc>
        <w:tc>
          <w:tcPr>
            <w:tcW w:w="2003" w:type="pct"/>
            <w:tcBorders>
              <w:top w:val="nil"/>
              <w:left w:val="nil"/>
              <w:bottom w:val="single" w:sz="8" w:space="0" w:color="BFBFBF"/>
              <w:right w:val="single" w:sz="8" w:space="0" w:color="BFBFBF"/>
            </w:tcBorders>
            <w:shd w:val="clear" w:color="auto" w:fill="auto"/>
            <w:vAlign w:val="center"/>
            <w:hideMark/>
          </w:tcPr>
          <w:p w14:paraId="3F14C66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económicamente activa (PEA)</w:t>
            </w:r>
          </w:p>
        </w:tc>
        <w:tc>
          <w:tcPr>
            <w:tcW w:w="428" w:type="pct"/>
            <w:tcBorders>
              <w:top w:val="nil"/>
              <w:left w:val="nil"/>
              <w:bottom w:val="single" w:sz="8" w:space="0" w:color="BFBFBF"/>
              <w:right w:val="single" w:sz="8" w:space="0" w:color="BFBFBF"/>
            </w:tcBorders>
            <w:shd w:val="clear" w:color="auto" w:fill="auto"/>
            <w:noWrap/>
            <w:vAlign w:val="center"/>
            <w:hideMark/>
          </w:tcPr>
          <w:p w14:paraId="1B0CA13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tcBorders>
              <w:top w:val="nil"/>
              <w:left w:val="single" w:sz="8" w:space="0" w:color="BFBFBF"/>
              <w:bottom w:val="single" w:sz="8" w:space="0" w:color="BFBFBF"/>
              <w:right w:val="single" w:sz="8" w:space="0" w:color="BFBFBF"/>
            </w:tcBorders>
            <w:vAlign w:val="center"/>
            <w:hideMark/>
          </w:tcPr>
          <w:p w14:paraId="4E9139C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4628B1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FE7399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52E8D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single" w:sz="8" w:space="0" w:color="BFBFBF"/>
              <w:right w:val="single" w:sz="8" w:space="0" w:color="BFBFBF"/>
            </w:tcBorders>
            <w:shd w:val="clear" w:color="auto" w:fill="auto"/>
            <w:vAlign w:val="center"/>
            <w:hideMark/>
          </w:tcPr>
          <w:p w14:paraId="15F122D1" w14:textId="77777777" w:rsidR="002752B5" w:rsidRPr="009A501D" w:rsidRDefault="002752B5" w:rsidP="00430123">
            <w:pPr>
              <w:spacing w:after="0" w:line="240" w:lineRule="auto"/>
              <w:rPr>
                <w:rFonts w:ascii="Calibri" w:eastAsia="Times New Roman" w:hAnsi="Calibri" w:cs="Calibri"/>
                <w:color w:val="000000"/>
                <w:lang w:eastAsia="es-MX"/>
              </w:rPr>
            </w:pPr>
            <w:r w:rsidRPr="009A501D">
              <w:rPr>
                <w:rFonts w:ascii="Calibri" w:eastAsia="Times New Roman" w:hAnsi="Calibri" w:cs="Calibri"/>
                <w:color w:val="000000"/>
                <w:lang w:eastAsia="es-MX"/>
              </w:rPr>
              <w:t> </w:t>
            </w:r>
          </w:p>
        </w:tc>
        <w:tc>
          <w:tcPr>
            <w:tcW w:w="2003" w:type="pct"/>
            <w:tcBorders>
              <w:top w:val="nil"/>
              <w:left w:val="nil"/>
              <w:bottom w:val="single" w:sz="8" w:space="0" w:color="BFBFBF"/>
              <w:right w:val="single" w:sz="8" w:space="0" w:color="BFBFBF"/>
            </w:tcBorders>
            <w:shd w:val="clear" w:color="auto" w:fill="auto"/>
            <w:vAlign w:val="center"/>
            <w:hideMark/>
          </w:tcPr>
          <w:p w14:paraId="5ED168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desocupación</w:t>
            </w:r>
          </w:p>
        </w:tc>
        <w:tc>
          <w:tcPr>
            <w:tcW w:w="428" w:type="pct"/>
            <w:tcBorders>
              <w:top w:val="nil"/>
              <w:left w:val="nil"/>
              <w:bottom w:val="single" w:sz="8" w:space="0" w:color="BFBFBF"/>
              <w:right w:val="single" w:sz="8" w:space="0" w:color="BFBFBF"/>
            </w:tcBorders>
            <w:shd w:val="clear" w:color="auto" w:fill="auto"/>
            <w:noWrap/>
            <w:vAlign w:val="center"/>
            <w:hideMark/>
          </w:tcPr>
          <w:p w14:paraId="2293351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tcBorders>
              <w:top w:val="nil"/>
              <w:left w:val="single" w:sz="8" w:space="0" w:color="BFBFBF"/>
              <w:bottom w:val="single" w:sz="8" w:space="0" w:color="BFBFBF"/>
              <w:right w:val="single" w:sz="8" w:space="0" w:color="BFBFBF"/>
            </w:tcBorders>
            <w:vAlign w:val="center"/>
            <w:hideMark/>
          </w:tcPr>
          <w:p w14:paraId="04687B1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745E82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A2614EF"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4993C8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nil"/>
              <w:right w:val="single" w:sz="8" w:space="0" w:color="BFBFBF"/>
            </w:tcBorders>
            <w:shd w:val="clear" w:color="000000" w:fill="F2F2F2"/>
            <w:vAlign w:val="center"/>
            <w:hideMark/>
          </w:tcPr>
          <w:p w14:paraId="75B31B3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ENOE_NE</w:t>
            </w:r>
          </w:p>
        </w:tc>
        <w:tc>
          <w:tcPr>
            <w:tcW w:w="2003" w:type="pct"/>
            <w:tcBorders>
              <w:top w:val="nil"/>
              <w:left w:val="nil"/>
              <w:bottom w:val="single" w:sz="8" w:space="0" w:color="BFBFBF"/>
              <w:right w:val="single" w:sz="8" w:space="0" w:color="BFBFBF"/>
            </w:tcBorders>
            <w:shd w:val="clear" w:color="000000" w:fill="F2F2F2"/>
            <w:vAlign w:val="center"/>
            <w:hideMark/>
          </w:tcPr>
          <w:p w14:paraId="732824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15 años y más</w:t>
            </w:r>
          </w:p>
        </w:tc>
        <w:tc>
          <w:tcPr>
            <w:tcW w:w="428" w:type="pct"/>
            <w:tcBorders>
              <w:top w:val="nil"/>
              <w:left w:val="nil"/>
              <w:bottom w:val="single" w:sz="8" w:space="0" w:color="BFBFBF"/>
              <w:right w:val="single" w:sz="8" w:space="0" w:color="BFBFBF"/>
            </w:tcBorders>
            <w:shd w:val="clear" w:color="000000" w:fill="F2F2F2"/>
            <w:noWrap/>
            <w:vAlign w:val="center"/>
            <w:hideMark/>
          </w:tcPr>
          <w:p w14:paraId="661DCCB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312</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2044B932"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1,248</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078165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Nacional; Nacional por áreas; Nacional por tamaño de localidad; Por entidad federativa; Por agregado a 39 ciudades; Por ciudad </w:t>
            </w:r>
            <w:proofErr w:type="spellStart"/>
            <w:r w:rsidRPr="009A501D">
              <w:rPr>
                <w:rFonts w:ascii="Century Gothic" w:eastAsia="Times New Roman" w:hAnsi="Century Gothic" w:cs="Calibri"/>
                <w:color w:val="000000"/>
                <w:sz w:val="16"/>
                <w:szCs w:val="16"/>
                <w:lang w:eastAsia="es-MX"/>
              </w:rPr>
              <w:t>autorepresentada</w:t>
            </w:r>
            <w:proofErr w:type="spellEnd"/>
            <w:r w:rsidRPr="009A501D">
              <w:rPr>
                <w:rFonts w:ascii="Century Gothic" w:eastAsia="Times New Roman" w:hAnsi="Century Gothic" w:cs="Calibri"/>
                <w:color w:val="000000"/>
                <w:sz w:val="16"/>
                <w:szCs w:val="16"/>
                <w:lang w:eastAsia="es-MX"/>
              </w:rPr>
              <w:t>.</w:t>
            </w:r>
          </w:p>
        </w:tc>
      </w:tr>
      <w:tr w:rsidR="002752B5" w:rsidRPr="009A501D" w14:paraId="2BAD19A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1FDD70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nil"/>
              <w:right w:val="single" w:sz="8" w:space="0" w:color="BFBFBF"/>
            </w:tcBorders>
            <w:shd w:val="clear" w:color="000000" w:fill="F2F2F2"/>
            <w:vAlign w:val="center"/>
            <w:hideMark/>
          </w:tcPr>
          <w:p w14:paraId="32304A2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(Trimestral)</w:t>
            </w:r>
          </w:p>
        </w:tc>
        <w:tc>
          <w:tcPr>
            <w:tcW w:w="2003" w:type="pct"/>
            <w:tcBorders>
              <w:top w:val="nil"/>
              <w:left w:val="nil"/>
              <w:bottom w:val="single" w:sz="8" w:space="0" w:color="BFBFBF"/>
              <w:right w:val="single" w:sz="8" w:space="0" w:color="BFBFBF"/>
            </w:tcBorders>
            <w:shd w:val="clear" w:color="000000" w:fill="F2F2F2"/>
            <w:vAlign w:val="center"/>
            <w:hideMark/>
          </w:tcPr>
          <w:p w14:paraId="019A26D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Desocupada</w:t>
            </w:r>
          </w:p>
        </w:tc>
        <w:tc>
          <w:tcPr>
            <w:tcW w:w="428" w:type="pct"/>
            <w:tcBorders>
              <w:top w:val="nil"/>
              <w:left w:val="nil"/>
              <w:bottom w:val="single" w:sz="8" w:space="0" w:color="BFBFBF"/>
              <w:right w:val="single" w:sz="8" w:space="0" w:color="BFBFBF"/>
            </w:tcBorders>
            <w:shd w:val="clear" w:color="000000" w:fill="F2F2F2"/>
            <w:noWrap/>
            <w:vAlign w:val="center"/>
            <w:hideMark/>
          </w:tcPr>
          <w:p w14:paraId="11D1E4E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312</w:t>
            </w:r>
          </w:p>
        </w:tc>
        <w:tc>
          <w:tcPr>
            <w:tcW w:w="477" w:type="pct"/>
            <w:vMerge/>
            <w:tcBorders>
              <w:top w:val="nil"/>
              <w:left w:val="single" w:sz="8" w:space="0" w:color="BFBFBF"/>
              <w:bottom w:val="single" w:sz="8" w:space="0" w:color="BFBFBF"/>
              <w:right w:val="single" w:sz="8" w:space="0" w:color="BFBFBF"/>
            </w:tcBorders>
            <w:vAlign w:val="center"/>
            <w:hideMark/>
          </w:tcPr>
          <w:p w14:paraId="3C47F62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FBAC89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6A6173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ABEC1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nil"/>
              <w:right w:val="single" w:sz="8" w:space="0" w:color="BFBFBF"/>
            </w:tcBorders>
            <w:shd w:val="clear" w:color="000000" w:fill="F2F2F2"/>
            <w:vAlign w:val="center"/>
            <w:hideMark/>
          </w:tcPr>
          <w:p w14:paraId="731C2D5A" w14:textId="77777777" w:rsidR="002752B5" w:rsidRPr="009A501D" w:rsidRDefault="002752B5" w:rsidP="00430123">
            <w:pPr>
              <w:spacing w:after="0" w:line="240" w:lineRule="auto"/>
              <w:rPr>
                <w:rFonts w:ascii="Calibri" w:eastAsia="Times New Roman" w:hAnsi="Calibri" w:cs="Calibri"/>
                <w:color w:val="000000"/>
                <w:lang w:eastAsia="es-MX"/>
              </w:rPr>
            </w:pPr>
            <w:r w:rsidRPr="009A501D">
              <w:rPr>
                <w:rFonts w:ascii="Calibri" w:eastAsia="Times New Roman" w:hAnsi="Calibri" w:cs="Calibri"/>
                <w:color w:val="000000"/>
                <w:lang w:eastAsia="es-MX"/>
              </w:rPr>
              <w:t> </w:t>
            </w:r>
          </w:p>
        </w:tc>
        <w:tc>
          <w:tcPr>
            <w:tcW w:w="2003" w:type="pct"/>
            <w:tcBorders>
              <w:top w:val="nil"/>
              <w:left w:val="nil"/>
              <w:bottom w:val="single" w:sz="8" w:space="0" w:color="BFBFBF"/>
              <w:right w:val="single" w:sz="8" w:space="0" w:color="BFBFBF"/>
            </w:tcBorders>
            <w:shd w:val="clear" w:color="000000" w:fill="F2F2F2"/>
            <w:vAlign w:val="center"/>
            <w:hideMark/>
          </w:tcPr>
          <w:p w14:paraId="1B04DBE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económicamente activa (PEA)</w:t>
            </w:r>
          </w:p>
        </w:tc>
        <w:tc>
          <w:tcPr>
            <w:tcW w:w="428" w:type="pct"/>
            <w:tcBorders>
              <w:top w:val="nil"/>
              <w:left w:val="nil"/>
              <w:bottom w:val="single" w:sz="8" w:space="0" w:color="BFBFBF"/>
              <w:right w:val="single" w:sz="8" w:space="0" w:color="BFBFBF"/>
            </w:tcBorders>
            <w:shd w:val="clear" w:color="000000" w:fill="F2F2F2"/>
            <w:noWrap/>
            <w:vAlign w:val="center"/>
            <w:hideMark/>
          </w:tcPr>
          <w:p w14:paraId="24749FF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312</w:t>
            </w:r>
          </w:p>
        </w:tc>
        <w:tc>
          <w:tcPr>
            <w:tcW w:w="477" w:type="pct"/>
            <w:vMerge/>
            <w:tcBorders>
              <w:top w:val="nil"/>
              <w:left w:val="single" w:sz="8" w:space="0" w:color="BFBFBF"/>
              <w:bottom w:val="single" w:sz="8" w:space="0" w:color="BFBFBF"/>
              <w:right w:val="single" w:sz="8" w:space="0" w:color="BFBFBF"/>
            </w:tcBorders>
            <w:vAlign w:val="center"/>
            <w:hideMark/>
          </w:tcPr>
          <w:p w14:paraId="2929439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F12933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87274E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CD4A2D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single" w:sz="8" w:space="0" w:color="BFBFBF"/>
              <w:right w:val="single" w:sz="8" w:space="0" w:color="BFBFBF"/>
            </w:tcBorders>
            <w:shd w:val="clear" w:color="000000" w:fill="F2F2F2"/>
            <w:vAlign w:val="center"/>
            <w:hideMark/>
          </w:tcPr>
          <w:p w14:paraId="64771B0B" w14:textId="77777777" w:rsidR="002752B5" w:rsidRPr="009A501D" w:rsidRDefault="002752B5" w:rsidP="00430123">
            <w:pPr>
              <w:spacing w:after="0" w:line="240" w:lineRule="auto"/>
              <w:rPr>
                <w:rFonts w:ascii="Calibri" w:eastAsia="Times New Roman" w:hAnsi="Calibri" w:cs="Calibri"/>
                <w:color w:val="000000"/>
                <w:lang w:eastAsia="es-MX"/>
              </w:rPr>
            </w:pPr>
            <w:r w:rsidRPr="009A501D">
              <w:rPr>
                <w:rFonts w:ascii="Calibri" w:eastAsia="Times New Roman" w:hAnsi="Calibri" w:cs="Calibri"/>
                <w:color w:val="000000"/>
                <w:lang w:eastAsia="es-MX"/>
              </w:rPr>
              <w:t> </w:t>
            </w:r>
          </w:p>
        </w:tc>
        <w:tc>
          <w:tcPr>
            <w:tcW w:w="2003" w:type="pct"/>
            <w:tcBorders>
              <w:top w:val="nil"/>
              <w:left w:val="nil"/>
              <w:bottom w:val="single" w:sz="8" w:space="0" w:color="BFBFBF"/>
              <w:right w:val="single" w:sz="8" w:space="0" w:color="BFBFBF"/>
            </w:tcBorders>
            <w:shd w:val="clear" w:color="000000" w:fill="F2F2F2"/>
            <w:vAlign w:val="center"/>
            <w:hideMark/>
          </w:tcPr>
          <w:p w14:paraId="48555D2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desocupación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0DE340B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312</w:t>
            </w:r>
          </w:p>
        </w:tc>
        <w:tc>
          <w:tcPr>
            <w:tcW w:w="477" w:type="pct"/>
            <w:vMerge/>
            <w:tcBorders>
              <w:top w:val="nil"/>
              <w:left w:val="single" w:sz="8" w:space="0" w:color="BFBFBF"/>
              <w:bottom w:val="single" w:sz="8" w:space="0" w:color="BFBFBF"/>
              <w:right w:val="single" w:sz="8" w:space="0" w:color="BFBFBF"/>
            </w:tcBorders>
            <w:vAlign w:val="center"/>
            <w:hideMark/>
          </w:tcPr>
          <w:p w14:paraId="6236720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DC0CC8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1D725E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9FB044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DDEF8A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ENSANUT</w:t>
            </w:r>
          </w:p>
        </w:tc>
        <w:tc>
          <w:tcPr>
            <w:tcW w:w="2003" w:type="pct"/>
            <w:tcBorders>
              <w:top w:val="nil"/>
              <w:left w:val="nil"/>
              <w:bottom w:val="single" w:sz="8" w:space="0" w:color="BFBFBF"/>
              <w:right w:val="single" w:sz="8" w:space="0" w:color="BFBFBF"/>
            </w:tcBorders>
            <w:shd w:val="clear" w:color="auto" w:fill="auto"/>
            <w:vAlign w:val="center"/>
            <w:hideMark/>
          </w:tcPr>
          <w:p w14:paraId="4DF5B3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20 años y más</w:t>
            </w:r>
          </w:p>
        </w:tc>
        <w:tc>
          <w:tcPr>
            <w:tcW w:w="428" w:type="pct"/>
            <w:tcBorders>
              <w:top w:val="nil"/>
              <w:left w:val="nil"/>
              <w:bottom w:val="single" w:sz="8" w:space="0" w:color="BFBFBF"/>
              <w:right w:val="single" w:sz="8" w:space="0" w:color="BFBFBF"/>
            </w:tcBorders>
            <w:shd w:val="clear" w:color="auto" w:fill="auto"/>
            <w:noWrap/>
            <w:vAlign w:val="center"/>
            <w:hideMark/>
          </w:tcPr>
          <w:p w14:paraId="65EB5C6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14471F9"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20</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9D52AC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región.</w:t>
            </w:r>
          </w:p>
        </w:tc>
      </w:tr>
      <w:tr w:rsidR="002752B5" w:rsidRPr="009A501D" w14:paraId="0C9CC2F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5D4FF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7665E3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D39891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20 años y más con obesidad</w:t>
            </w:r>
          </w:p>
        </w:tc>
        <w:tc>
          <w:tcPr>
            <w:tcW w:w="428" w:type="pct"/>
            <w:tcBorders>
              <w:top w:val="nil"/>
              <w:left w:val="nil"/>
              <w:bottom w:val="single" w:sz="8" w:space="0" w:color="BFBFBF"/>
              <w:right w:val="single" w:sz="8" w:space="0" w:color="BFBFBF"/>
            </w:tcBorders>
            <w:shd w:val="clear" w:color="auto" w:fill="auto"/>
            <w:noWrap/>
            <w:vAlign w:val="center"/>
            <w:hideMark/>
          </w:tcPr>
          <w:p w14:paraId="334E50F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5E85D4D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F445C7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B93634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4F1116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F350C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13FE98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20 años y más con diagnóstico previo de diabetes</w:t>
            </w:r>
          </w:p>
        </w:tc>
        <w:tc>
          <w:tcPr>
            <w:tcW w:w="428" w:type="pct"/>
            <w:tcBorders>
              <w:top w:val="nil"/>
              <w:left w:val="nil"/>
              <w:bottom w:val="single" w:sz="8" w:space="0" w:color="BFBFBF"/>
              <w:right w:val="single" w:sz="8" w:space="0" w:color="BFBFBF"/>
            </w:tcBorders>
            <w:shd w:val="clear" w:color="auto" w:fill="auto"/>
            <w:noWrap/>
            <w:vAlign w:val="center"/>
            <w:hideMark/>
          </w:tcPr>
          <w:p w14:paraId="5BEDB80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49BAC1C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CA9078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83BD75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055217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CF2B2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5A9FBD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20 años y más con diagnóstico previo de hipertensión</w:t>
            </w:r>
          </w:p>
        </w:tc>
        <w:tc>
          <w:tcPr>
            <w:tcW w:w="428" w:type="pct"/>
            <w:tcBorders>
              <w:top w:val="nil"/>
              <w:left w:val="nil"/>
              <w:bottom w:val="single" w:sz="8" w:space="0" w:color="BFBFBF"/>
              <w:right w:val="single" w:sz="8" w:space="0" w:color="BFBFBF"/>
            </w:tcBorders>
            <w:shd w:val="clear" w:color="auto" w:fill="auto"/>
            <w:noWrap/>
            <w:vAlign w:val="center"/>
            <w:hideMark/>
          </w:tcPr>
          <w:p w14:paraId="452EE4E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3311746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FAB432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D3397B9"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AC0992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DGEGSPJ</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9BFDBE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ENSU</w:t>
            </w:r>
          </w:p>
        </w:tc>
        <w:tc>
          <w:tcPr>
            <w:tcW w:w="2003" w:type="pct"/>
            <w:tcBorders>
              <w:top w:val="nil"/>
              <w:left w:val="nil"/>
              <w:bottom w:val="single" w:sz="8" w:space="0" w:color="BFBFBF"/>
              <w:right w:val="single" w:sz="8" w:space="0" w:color="BFBFBF"/>
            </w:tcBorders>
            <w:shd w:val="clear" w:color="000000" w:fill="F2F2F2"/>
            <w:vAlign w:val="center"/>
            <w:hideMark/>
          </w:tcPr>
          <w:p w14:paraId="0065423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hogares que han tenido situaciones violentas o delictivas por parte de alguna persona de su entorno familiar.</w:t>
            </w:r>
          </w:p>
        </w:tc>
        <w:tc>
          <w:tcPr>
            <w:tcW w:w="428" w:type="pct"/>
            <w:tcBorders>
              <w:top w:val="nil"/>
              <w:left w:val="nil"/>
              <w:bottom w:val="single" w:sz="8" w:space="0" w:color="BFBFBF"/>
              <w:right w:val="single" w:sz="8" w:space="0" w:color="BFBFBF"/>
            </w:tcBorders>
            <w:shd w:val="clear" w:color="000000" w:fill="F2F2F2"/>
            <w:noWrap/>
            <w:vAlign w:val="center"/>
            <w:hideMark/>
          </w:tcPr>
          <w:p w14:paraId="47A9B1B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54127CE3"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11,536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44DF16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w:t>
            </w:r>
          </w:p>
        </w:tc>
      </w:tr>
      <w:tr w:rsidR="002752B5" w:rsidRPr="009A501D" w14:paraId="3254364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F5065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A5B826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3A5E66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percibe efectivo el desempeño del gobierno de la ciudad donde vive para resolver las principales problemáticas que enfrenta la ciudad.</w:t>
            </w:r>
          </w:p>
        </w:tc>
        <w:tc>
          <w:tcPr>
            <w:tcW w:w="428" w:type="pct"/>
            <w:tcBorders>
              <w:top w:val="nil"/>
              <w:left w:val="nil"/>
              <w:bottom w:val="single" w:sz="8" w:space="0" w:color="BFBFBF"/>
              <w:right w:val="single" w:sz="8" w:space="0" w:color="BFBFBF"/>
            </w:tcBorders>
            <w:shd w:val="clear" w:color="000000" w:fill="F2F2F2"/>
            <w:noWrap/>
            <w:vAlign w:val="center"/>
            <w:hideMark/>
          </w:tcPr>
          <w:p w14:paraId="5E85FB5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vMerge/>
            <w:tcBorders>
              <w:top w:val="nil"/>
              <w:left w:val="single" w:sz="8" w:space="0" w:color="BFBFBF"/>
              <w:bottom w:val="single" w:sz="8" w:space="0" w:color="BFBFBF"/>
              <w:right w:val="single" w:sz="8" w:space="0" w:color="BFBFBF"/>
            </w:tcBorders>
            <w:vAlign w:val="center"/>
            <w:hideMark/>
          </w:tcPr>
          <w:p w14:paraId="5507988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F73A3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A7C7CD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3B2EDE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25E766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CF187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de la población de 18 años y más que experimentó situaciones conflictivas y que presentó alguna consecuencia.</w:t>
            </w:r>
          </w:p>
        </w:tc>
        <w:tc>
          <w:tcPr>
            <w:tcW w:w="428" w:type="pct"/>
            <w:tcBorders>
              <w:top w:val="nil"/>
              <w:left w:val="nil"/>
              <w:bottom w:val="single" w:sz="8" w:space="0" w:color="BFBFBF"/>
              <w:right w:val="single" w:sz="8" w:space="0" w:color="BFBFBF"/>
            </w:tcBorders>
            <w:shd w:val="clear" w:color="000000" w:fill="F2F2F2"/>
            <w:noWrap/>
            <w:vAlign w:val="center"/>
            <w:hideMark/>
          </w:tcPr>
          <w:p w14:paraId="38F23A1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3FAADCD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18E8150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ciudad de interés</w:t>
            </w:r>
          </w:p>
        </w:tc>
      </w:tr>
      <w:tr w:rsidR="002752B5" w:rsidRPr="009A501D" w14:paraId="1472669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4CE649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CF644A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EB3C8C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que se siente insegura en su ciudad.</w:t>
            </w:r>
          </w:p>
        </w:tc>
        <w:tc>
          <w:tcPr>
            <w:tcW w:w="428" w:type="pct"/>
            <w:tcBorders>
              <w:top w:val="nil"/>
              <w:left w:val="nil"/>
              <w:bottom w:val="single" w:sz="8" w:space="0" w:color="BFBFBF"/>
              <w:right w:val="single" w:sz="8" w:space="0" w:color="BFBFBF"/>
            </w:tcBorders>
            <w:shd w:val="clear" w:color="000000" w:fill="F2F2F2"/>
            <w:noWrap/>
            <w:vAlign w:val="center"/>
            <w:hideMark/>
          </w:tcPr>
          <w:p w14:paraId="122A508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7C60743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B57DA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813AFD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3D72A9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08AAE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36328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que se siente segura en su ciudad.</w:t>
            </w:r>
          </w:p>
        </w:tc>
        <w:tc>
          <w:tcPr>
            <w:tcW w:w="428" w:type="pct"/>
            <w:tcBorders>
              <w:top w:val="nil"/>
              <w:left w:val="nil"/>
              <w:bottom w:val="single" w:sz="8" w:space="0" w:color="BFBFBF"/>
              <w:right w:val="single" w:sz="8" w:space="0" w:color="BFBFBF"/>
            </w:tcBorders>
            <w:shd w:val="clear" w:color="000000" w:fill="F2F2F2"/>
            <w:noWrap/>
            <w:vAlign w:val="center"/>
            <w:hideMark/>
          </w:tcPr>
          <w:p w14:paraId="5E0FFD6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26794A2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61ED66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85FBA6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64CB79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82B434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EC1534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Porcentaje de población de 18 años y más que tiene expectativas de mejora respecto a la delincuencia en su ciudad en los próximos doce meses. </w:t>
            </w:r>
          </w:p>
        </w:tc>
        <w:tc>
          <w:tcPr>
            <w:tcW w:w="428" w:type="pct"/>
            <w:tcBorders>
              <w:top w:val="nil"/>
              <w:left w:val="nil"/>
              <w:bottom w:val="single" w:sz="8" w:space="0" w:color="BFBFBF"/>
              <w:right w:val="single" w:sz="8" w:space="0" w:color="BFBFBF"/>
            </w:tcBorders>
            <w:shd w:val="clear" w:color="000000" w:fill="F2F2F2"/>
            <w:noWrap/>
            <w:vAlign w:val="center"/>
            <w:hideMark/>
          </w:tcPr>
          <w:p w14:paraId="79A401F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23EC254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55F698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2D5FCF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B7FE0C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3DE41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07C041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tiene expectativas empeoramiento respecto a la delincuencia en su ciudad en los próximos doce meses.</w:t>
            </w:r>
          </w:p>
        </w:tc>
        <w:tc>
          <w:tcPr>
            <w:tcW w:w="428" w:type="pct"/>
            <w:tcBorders>
              <w:top w:val="nil"/>
              <w:left w:val="nil"/>
              <w:bottom w:val="single" w:sz="8" w:space="0" w:color="BFBFBF"/>
              <w:right w:val="single" w:sz="8" w:space="0" w:color="BFBFBF"/>
            </w:tcBorders>
            <w:shd w:val="clear" w:color="000000" w:fill="F2F2F2"/>
            <w:noWrap/>
            <w:vAlign w:val="center"/>
            <w:hideMark/>
          </w:tcPr>
          <w:p w14:paraId="20B6779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1317D34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40FF27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351C20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655CC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49F664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222E73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tuvo al menos un conflicto o enfrentamiento en su vida cotidiana.</w:t>
            </w:r>
          </w:p>
        </w:tc>
        <w:tc>
          <w:tcPr>
            <w:tcW w:w="428" w:type="pct"/>
            <w:tcBorders>
              <w:top w:val="nil"/>
              <w:left w:val="nil"/>
              <w:bottom w:val="single" w:sz="8" w:space="0" w:color="BFBFBF"/>
              <w:right w:val="single" w:sz="8" w:space="0" w:color="BFBFBF"/>
            </w:tcBorders>
            <w:shd w:val="clear" w:color="000000" w:fill="F2F2F2"/>
            <w:noWrap/>
            <w:vAlign w:val="center"/>
            <w:hideMark/>
          </w:tcPr>
          <w:p w14:paraId="000DF34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368</w:t>
            </w:r>
          </w:p>
        </w:tc>
        <w:tc>
          <w:tcPr>
            <w:tcW w:w="477" w:type="pct"/>
            <w:vMerge/>
            <w:tcBorders>
              <w:top w:val="nil"/>
              <w:left w:val="single" w:sz="8" w:space="0" w:color="BFBFBF"/>
              <w:bottom w:val="single" w:sz="8" w:space="0" w:color="BFBFBF"/>
              <w:right w:val="single" w:sz="8" w:space="0" w:color="BFBFBF"/>
            </w:tcBorders>
            <w:vAlign w:val="center"/>
            <w:hideMark/>
          </w:tcPr>
          <w:p w14:paraId="323A44F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07428E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FE1B13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28CF1B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421CBC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F93C87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en ciudades urbanas que se siente insegura</w:t>
            </w:r>
          </w:p>
        </w:tc>
        <w:tc>
          <w:tcPr>
            <w:tcW w:w="428" w:type="pct"/>
            <w:tcBorders>
              <w:top w:val="nil"/>
              <w:left w:val="nil"/>
              <w:bottom w:val="single" w:sz="8" w:space="0" w:color="BFBFBF"/>
              <w:right w:val="single" w:sz="8" w:space="0" w:color="BFBFBF"/>
            </w:tcBorders>
            <w:shd w:val="clear" w:color="000000" w:fill="F2F2F2"/>
            <w:noWrap/>
            <w:vAlign w:val="center"/>
            <w:hideMark/>
          </w:tcPr>
          <w:p w14:paraId="237F67E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736</w:t>
            </w:r>
          </w:p>
        </w:tc>
        <w:tc>
          <w:tcPr>
            <w:tcW w:w="477" w:type="pct"/>
            <w:vMerge/>
            <w:tcBorders>
              <w:top w:val="nil"/>
              <w:left w:val="single" w:sz="8" w:space="0" w:color="BFBFBF"/>
              <w:bottom w:val="single" w:sz="8" w:space="0" w:color="BFBFBF"/>
              <w:right w:val="single" w:sz="8" w:space="0" w:color="BFBFBF"/>
            </w:tcBorders>
            <w:vAlign w:val="center"/>
            <w:hideMark/>
          </w:tcPr>
          <w:p w14:paraId="69C1285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32353FE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ciudad de interés; Por espacios públicos o privados</w:t>
            </w:r>
          </w:p>
        </w:tc>
      </w:tr>
      <w:tr w:rsidR="002752B5" w:rsidRPr="009A501D" w14:paraId="78B09EF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058C0E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7ED5F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8631B6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percibe como efectivo el desempeño de instituciones de seguridad pública.</w:t>
            </w:r>
          </w:p>
        </w:tc>
        <w:tc>
          <w:tcPr>
            <w:tcW w:w="428" w:type="pct"/>
            <w:tcBorders>
              <w:top w:val="nil"/>
              <w:left w:val="nil"/>
              <w:bottom w:val="single" w:sz="8" w:space="0" w:color="BFBFBF"/>
              <w:right w:val="single" w:sz="8" w:space="0" w:color="BFBFBF"/>
            </w:tcBorders>
            <w:shd w:val="clear" w:color="000000" w:fill="F2F2F2"/>
            <w:noWrap/>
            <w:vAlign w:val="center"/>
            <w:hideMark/>
          </w:tcPr>
          <w:p w14:paraId="3D1E4D0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1776</w:t>
            </w:r>
          </w:p>
        </w:tc>
        <w:tc>
          <w:tcPr>
            <w:tcW w:w="477" w:type="pct"/>
            <w:vMerge/>
            <w:tcBorders>
              <w:top w:val="nil"/>
              <w:left w:val="single" w:sz="8" w:space="0" w:color="BFBFBF"/>
              <w:bottom w:val="single" w:sz="8" w:space="0" w:color="BFBFBF"/>
              <w:right w:val="single" w:sz="8" w:space="0" w:color="BFBFBF"/>
            </w:tcBorders>
            <w:vAlign w:val="center"/>
            <w:hideMark/>
          </w:tcPr>
          <w:p w14:paraId="4E7ECC6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71738B3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ciudad de interés; Por institución de seguridad pública</w:t>
            </w:r>
          </w:p>
        </w:tc>
      </w:tr>
      <w:tr w:rsidR="002752B5" w:rsidRPr="009A501D" w14:paraId="080A3E3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AD019D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C7D17E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60B43A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que para enterarse sobre la situación que guarda la seguridad pública, el narcotráfico y/o la delincuencia consulta algún medio de información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69300B4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1136</w:t>
            </w:r>
          </w:p>
        </w:tc>
        <w:tc>
          <w:tcPr>
            <w:tcW w:w="477" w:type="pct"/>
            <w:vMerge/>
            <w:tcBorders>
              <w:top w:val="nil"/>
              <w:left w:val="single" w:sz="8" w:space="0" w:color="BFBFBF"/>
              <w:bottom w:val="single" w:sz="8" w:space="0" w:color="BFBFBF"/>
              <w:right w:val="single" w:sz="8" w:space="0" w:color="BFBFBF"/>
            </w:tcBorders>
            <w:vAlign w:val="center"/>
            <w:hideMark/>
          </w:tcPr>
          <w:p w14:paraId="732C9A6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112D0A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medio de información</w:t>
            </w:r>
          </w:p>
        </w:tc>
      </w:tr>
      <w:tr w:rsidR="002752B5" w:rsidRPr="009A501D" w14:paraId="2C0C175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C02467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E56CFD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37098A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en los últimos tres meses salió cierto número de veces o no al mes de su vivienda.</w:t>
            </w:r>
          </w:p>
        </w:tc>
        <w:tc>
          <w:tcPr>
            <w:tcW w:w="428" w:type="pct"/>
            <w:tcBorders>
              <w:top w:val="nil"/>
              <w:left w:val="nil"/>
              <w:bottom w:val="single" w:sz="8" w:space="0" w:color="BFBFBF"/>
              <w:right w:val="single" w:sz="8" w:space="0" w:color="BFBFBF"/>
            </w:tcBorders>
            <w:shd w:val="clear" w:color="000000" w:fill="F2F2F2"/>
            <w:noWrap/>
            <w:vAlign w:val="center"/>
            <w:hideMark/>
          </w:tcPr>
          <w:p w14:paraId="419C992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388</w:t>
            </w:r>
          </w:p>
        </w:tc>
        <w:tc>
          <w:tcPr>
            <w:tcW w:w="477" w:type="pct"/>
            <w:vMerge/>
            <w:tcBorders>
              <w:top w:val="nil"/>
              <w:left w:val="single" w:sz="8" w:space="0" w:color="BFBFBF"/>
              <w:bottom w:val="single" w:sz="8" w:space="0" w:color="BFBFBF"/>
              <w:right w:val="single" w:sz="8" w:space="0" w:color="BFBFBF"/>
            </w:tcBorders>
            <w:vAlign w:val="center"/>
            <w:hideMark/>
          </w:tcPr>
          <w:p w14:paraId="2FAB60D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5CAE76B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número de veces</w:t>
            </w:r>
          </w:p>
        </w:tc>
      </w:tr>
      <w:tr w:rsidR="002752B5" w:rsidRPr="009A501D" w14:paraId="20ACE61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6E7BF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3B3A7C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E38494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dejó de realizar actividades por temor a ser víctima de algún delito.</w:t>
            </w:r>
          </w:p>
        </w:tc>
        <w:tc>
          <w:tcPr>
            <w:tcW w:w="428" w:type="pct"/>
            <w:tcBorders>
              <w:top w:val="nil"/>
              <w:left w:val="nil"/>
              <w:bottom w:val="single" w:sz="8" w:space="0" w:color="BFBFBF"/>
              <w:right w:val="single" w:sz="8" w:space="0" w:color="BFBFBF"/>
            </w:tcBorders>
            <w:shd w:val="clear" w:color="000000" w:fill="F2F2F2"/>
            <w:noWrap/>
            <w:vAlign w:val="center"/>
            <w:hideMark/>
          </w:tcPr>
          <w:p w14:paraId="505FBCF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477" w:type="pct"/>
            <w:vMerge/>
            <w:tcBorders>
              <w:top w:val="nil"/>
              <w:left w:val="single" w:sz="8" w:space="0" w:color="BFBFBF"/>
              <w:bottom w:val="single" w:sz="8" w:space="0" w:color="BFBFBF"/>
              <w:right w:val="single" w:sz="8" w:space="0" w:color="BFBFBF"/>
            </w:tcBorders>
            <w:vAlign w:val="center"/>
            <w:hideMark/>
          </w:tcPr>
          <w:p w14:paraId="03E08AE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583C69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tipo de actividad</w:t>
            </w:r>
          </w:p>
        </w:tc>
      </w:tr>
      <w:tr w:rsidR="002752B5" w:rsidRPr="009A501D" w14:paraId="10069A0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4038DF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76B25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4851D5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atestiguaron violencia en los alrededores de su vivienda.</w:t>
            </w:r>
          </w:p>
        </w:tc>
        <w:tc>
          <w:tcPr>
            <w:tcW w:w="428" w:type="pct"/>
            <w:tcBorders>
              <w:top w:val="nil"/>
              <w:left w:val="nil"/>
              <w:bottom w:val="single" w:sz="8" w:space="0" w:color="BFBFBF"/>
              <w:right w:val="single" w:sz="8" w:space="0" w:color="BFBFBF"/>
            </w:tcBorders>
            <w:shd w:val="clear" w:color="000000" w:fill="F2F2F2"/>
            <w:noWrap/>
            <w:vAlign w:val="center"/>
            <w:hideMark/>
          </w:tcPr>
          <w:p w14:paraId="21C2F05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1480</w:t>
            </w:r>
          </w:p>
        </w:tc>
        <w:tc>
          <w:tcPr>
            <w:tcW w:w="477" w:type="pct"/>
            <w:vMerge/>
            <w:tcBorders>
              <w:top w:val="nil"/>
              <w:left w:val="single" w:sz="8" w:space="0" w:color="BFBFBF"/>
              <w:bottom w:val="single" w:sz="8" w:space="0" w:color="BFBFBF"/>
              <w:right w:val="single" w:sz="8" w:space="0" w:color="BFBFBF"/>
            </w:tcBorders>
            <w:vAlign w:val="center"/>
            <w:hideMark/>
          </w:tcPr>
          <w:p w14:paraId="4E8BF94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6AE5E17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tipo de actividad delictiva</w:t>
            </w:r>
          </w:p>
        </w:tc>
      </w:tr>
      <w:tr w:rsidR="002752B5" w:rsidRPr="009A501D" w14:paraId="068F89B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8508AB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4E6457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1043F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experimentó algún conflicto.</w:t>
            </w:r>
          </w:p>
        </w:tc>
        <w:tc>
          <w:tcPr>
            <w:tcW w:w="428" w:type="pct"/>
            <w:tcBorders>
              <w:top w:val="nil"/>
              <w:left w:val="nil"/>
              <w:bottom w:val="single" w:sz="8" w:space="0" w:color="BFBFBF"/>
              <w:right w:val="single" w:sz="8" w:space="0" w:color="BFBFBF"/>
            </w:tcBorders>
            <w:shd w:val="clear" w:color="000000" w:fill="F2F2F2"/>
            <w:noWrap/>
            <w:vAlign w:val="center"/>
            <w:hideMark/>
          </w:tcPr>
          <w:p w14:paraId="5B08A82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64</w:t>
            </w:r>
          </w:p>
        </w:tc>
        <w:tc>
          <w:tcPr>
            <w:tcW w:w="477" w:type="pct"/>
            <w:vMerge/>
            <w:tcBorders>
              <w:top w:val="nil"/>
              <w:left w:val="single" w:sz="8" w:space="0" w:color="BFBFBF"/>
              <w:bottom w:val="single" w:sz="8" w:space="0" w:color="BFBFBF"/>
              <w:right w:val="single" w:sz="8" w:space="0" w:color="BFBFBF"/>
            </w:tcBorders>
            <w:vAlign w:val="center"/>
            <w:hideMark/>
          </w:tcPr>
          <w:p w14:paraId="762886C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0BC7AEF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tipo de conflicto</w:t>
            </w:r>
          </w:p>
        </w:tc>
      </w:tr>
      <w:tr w:rsidR="002752B5" w:rsidRPr="009A501D" w14:paraId="0420F3E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BA287A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53B9DB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B1D38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identifica cierto tipo de problemática urbana como uno de los principales problemas que enfrenta la ciudad donde vive.</w:t>
            </w:r>
          </w:p>
        </w:tc>
        <w:tc>
          <w:tcPr>
            <w:tcW w:w="428" w:type="pct"/>
            <w:tcBorders>
              <w:top w:val="nil"/>
              <w:left w:val="nil"/>
              <w:bottom w:val="single" w:sz="8" w:space="0" w:color="BFBFBF"/>
              <w:right w:val="single" w:sz="8" w:space="0" w:color="BFBFBF"/>
            </w:tcBorders>
            <w:shd w:val="clear" w:color="000000" w:fill="F2F2F2"/>
            <w:noWrap/>
            <w:vAlign w:val="center"/>
            <w:hideMark/>
          </w:tcPr>
          <w:p w14:paraId="3B080FF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3696</w:t>
            </w:r>
          </w:p>
        </w:tc>
        <w:tc>
          <w:tcPr>
            <w:tcW w:w="477" w:type="pct"/>
            <w:vMerge/>
            <w:tcBorders>
              <w:top w:val="nil"/>
              <w:left w:val="single" w:sz="8" w:space="0" w:color="BFBFBF"/>
              <w:bottom w:val="single" w:sz="8" w:space="0" w:color="BFBFBF"/>
              <w:right w:val="single" w:sz="8" w:space="0" w:color="BFBFBF"/>
            </w:tcBorders>
            <w:vAlign w:val="center"/>
            <w:hideMark/>
          </w:tcPr>
          <w:p w14:paraId="3F58675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3D8075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tipo de problemática urbana</w:t>
            </w:r>
          </w:p>
        </w:tc>
      </w:tr>
      <w:tr w:rsidR="002752B5" w:rsidRPr="009A501D" w14:paraId="0BD276A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F38973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90EE83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BEF2C9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ha sido víctima de situaciones de violencia en su entorno familiar.</w:t>
            </w:r>
          </w:p>
        </w:tc>
        <w:tc>
          <w:tcPr>
            <w:tcW w:w="428" w:type="pct"/>
            <w:tcBorders>
              <w:top w:val="nil"/>
              <w:left w:val="nil"/>
              <w:bottom w:val="single" w:sz="8" w:space="0" w:color="BFBFBF"/>
              <w:right w:val="single" w:sz="8" w:space="0" w:color="BFBFBF"/>
            </w:tcBorders>
            <w:shd w:val="clear" w:color="000000" w:fill="F2F2F2"/>
            <w:noWrap/>
            <w:vAlign w:val="center"/>
            <w:hideMark/>
          </w:tcPr>
          <w:p w14:paraId="718DA56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477" w:type="pct"/>
            <w:vMerge/>
            <w:tcBorders>
              <w:top w:val="nil"/>
              <w:left w:val="single" w:sz="8" w:space="0" w:color="BFBFBF"/>
              <w:bottom w:val="single" w:sz="8" w:space="0" w:color="BFBFBF"/>
              <w:right w:val="single" w:sz="8" w:space="0" w:color="BFBFBF"/>
            </w:tcBorders>
            <w:vAlign w:val="center"/>
            <w:hideMark/>
          </w:tcPr>
          <w:p w14:paraId="620FE58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16E5E01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Agregado nacional de 70 ciudades urbanas de cien mil o más habitantes; Por tipo de situación de violencia</w:t>
            </w:r>
          </w:p>
        </w:tc>
      </w:tr>
      <w:tr w:rsidR="002752B5" w:rsidRPr="009A501D" w14:paraId="4B93C37D"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auto" w:fill="auto"/>
            <w:noWrap/>
            <w:vAlign w:val="center"/>
            <w:hideMark/>
          </w:tcPr>
          <w:p w14:paraId="241D884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auto" w:fill="auto"/>
            <w:noWrap/>
            <w:vAlign w:val="center"/>
            <w:hideMark/>
          </w:tcPr>
          <w:p w14:paraId="1C02EA4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ENUT</w:t>
            </w:r>
          </w:p>
        </w:tc>
        <w:tc>
          <w:tcPr>
            <w:tcW w:w="2003" w:type="pct"/>
            <w:tcBorders>
              <w:top w:val="nil"/>
              <w:left w:val="nil"/>
              <w:bottom w:val="single" w:sz="8" w:space="0" w:color="BFBFBF"/>
              <w:right w:val="single" w:sz="8" w:space="0" w:color="BFBFBF"/>
            </w:tcBorders>
            <w:shd w:val="clear" w:color="auto" w:fill="auto"/>
            <w:vAlign w:val="center"/>
            <w:hideMark/>
          </w:tcPr>
          <w:p w14:paraId="36E3A7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participación de la población de 12 y más años que realiza trabajo de cuidado no remunerado en Cuidados Especiales a integrantes del hogar por enfermedad crónica, temporal o discapacidad</w:t>
            </w:r>
          </w:p>
        </w:tc>
        <w:tc>
          <w:tcPr>
            <w:tcW w:w="428" w:type="pct"/>
            <w:tcBorders>
              <w:top w:val="nil"/>
              <w:left w:val="nil"/>
              <w:bottom w:val="single" w:sz="8" w:space="0" w:color="BFBFBF"/>
              <w:right w:val="single" w:sz="8" w:space="0" w:color="BFBFBF"/>
            </w:tcBorders>
            <w:shd w:val="clear" w:color="auto" w:fill="auto"/>
            <w:noWrap/>
            <w:vAlign w:val="center"/>
            <w:hideMark/>
          </w:tcPr>
          <w:p w14:paraId="56A17CA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tcBorders>
              <w:top w:val="nil"/>
              <w:left w:val="nil"/>
              <w:bottom w:val="single" w:sz="8" w:space="0" w:color="BFBFBF"/>
              <w:right w:val="single" w:sz="8" w:space="0" w:color="BFBFBF"/>
            </w:tcBorders>
            <w:shd w:val="clear" w:color="auto" w:fill="auto"/>
            <w:noWrap/>
            <w:vAlign w:val="center"/>
            <w:hideMark/>
          </w:tcPr>
          <w:p w14:paraId="0C393931"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5</w:t>
            </w:r>
          </w:p>
        </w:tc>
        <w:tc>
          <w:tcPr>
            <w:tcW w:w="1292" w:type="pct"/>
            <w:tcBorders>
              <w:top w:val="nil"/>
              <w:left w:val="nil"/>
              <w:bottom w:val="single" w:sz="8" w:space="0" w:color="BFBFBF"/>
              <w:right w:val="single" w:sz="8" w:space="0" w:color="BFBFBF"/>
            </w:tcBorders>
            <w:shd w:val="clear" w:color="auto" w:fill="auto"/>
            <w:vAlign w:val="center"/>
            <w:hideMark/>
          </w:tcPr>
          <w:p w14:paraId="0A53CAB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Nacional urbano; Nacional rural; Nacional según condición de habla de lengua indígena.</w:t>
            </w:r>
          </w:p>
        </w:tc>
      </w:tr>
      <w:tr w:rsidR="002752B5" w:rsidRPr="009A501D" w14:paraId="49B6164A"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7EBF6E6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0FC012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ENVE</w:t>
            </w:r>
          </w:p>
        </w:tc>
        <w:tc>
          <w:tcPr>
            <w:tcW w:w="2003" w:type="pct"/>
            <w:tcBorders>
              <w:top w:val="nil"/>
              <w:left w:val="nil"/>
              <w:bottom w:val="single" w:sz="8" w:space="0" w:color="BFBFBF"/>
              <w:right w:val="single" w:sz="8" w:space="0" w:color="BFBFBF"/>
            </w:tcBorders>
            <w:shd w:val="clear" w:color="000000" w:fill="F2F2F2"/>
            <w:vAlign w:val="center"/>
            <w:hideMark/>
          </w:tcPr>
          <w:p w14:paraId="2EC5CA0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denunciados ante el Ministerio público</w:t>
            </w:r>
          </w:p>
        </w:tc>
        <w:tc>
          <w:tcPr>
            <w:tcW w:w="428" w:type="pct"/>
            <w:tcBorders>
              <w:top w:val="nil"/>
              <w:left w:val="nil"/>
              <w:bottom w:val="single" w:sz="8" w:space="0" w:color="BFBFBF"/>
              <w:right w:val="single" w:sz="8" w:space="0" w:color="BFBFBF"/>
            </w:tcBorders>
            <w:shd w:val="clear" w:color="000000" w:fill="F2F2F2"/>
            <w:noWrap/>
            <w:vAlign w:val="center"/>
            <w:hideMark/>
          </w:tcPr>
          <w:p w14:paraId="74E44E9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75A83E89"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1,461</w:t>
            </w:r>
          </w:p>
        </w:tc>
        <w:tc>
          <w:tcPr>
            <w:tcW w:w="1292" w:type="pct"/>
            <w:tcBorders>
              <w:top w:val="nil"/>
              <w:left w:val="nil"/>
              <w:bottom w:val="single" w:sz="8" w:space="0" w:color="BFBFBF"/>
              <w:right w:val="single" w:sz="8" w:space="0" w:color="BFBFBF"/>
            </w:tcBorders>
            <w:shd w:val="clear" w:color="000000" w:fill="F2F2F2"/>
            <w:vAlign w:val="center"/>
            <w:hideMark/>
          </w:tcPr>
          <w:p w14:paraId="527410D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203C6F4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981F2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9315B0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57F2E3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Cifra Negra (delitos no denunciados y los delitos denunciados que no tuvieron inicio de averiguación previa)</w:t>
            </w:r>
          </w:p>
        </w:tc>
        <w:tc>
          <w:tcPr>
            <w:tcW w:w="428" w:type="pct"/>
            <w:tcBorders>
              <w:top w:val="nil"/>
              <w:left w:val="nil"/>
              <w:bottom w:val="single" w:sz="8" w:space="0" w:color="BFBFBF"/>
              <w:right w:val="single" w:sz="8" w:space="0" w:color="BFBFBF"/>
            </w:tcBorders>
            <w:shd w:val="clear" w:color="000000" w:fill="F2F2F2"/>
            <w:noWrap/>
            <w:vAlign w:val="center"/>
            <w:hideMark/>
          </w:tcPr>
          <w:p w14:paraId="6B1C865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05A7E5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AAD951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60285C1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9853F1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7D363A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3A3AE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denunciados ante el Ministerio público, en los que se haya iniciado una carpeta de investigación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596674F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AA30A5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BD186A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043413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762801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8D94EC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3B0AA6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perciben como muy bueno o bueno el patrullaje o presencia de la policía en la zona donde se ubica la unidad</w:t>
            </w:r>
          </w:p>
        </w:tc>
        <w:tc>
          <w:tcPr>
            <w:tcW w:w="428" w:type="pct"/>
            <w:tcBorders>
              <w:top w:val="nil"/>
              <w:left w:val="nil"/>
              <w:bottom w:val="single" w:sz="8" w:space="0" w:color="BFBFBF"/>
              <w:right w:val="single" w:sz="8" w:space="0" w:color="BFBFBF"/>
            </w:tcBorders>
            <w:shd w:val="clear" w:color="000000" w:fill="F2F2F2"/>
            <w:noWrap/>
            <w:vAlign w:val="center"/>
            <w:hideMark/>
          </w:tcPr>
          <w:p w14:paraId="5B86C18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5BBC59F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3D57DA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61F4E3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F29E65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576B87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68FF99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perciben que la Policía Estatal tiene disposición para ayudar en situaciones de inseguridad o delincuencia</w:t>
            </w:r>
          </w:p>
        </w:tc>
        <w:tc>
          <w:tcPr>
            <w:tcW w:w="428" w:type="pct"/>
            <w:tcBorders>
              <w:top w:val="nil"/>
              <w:left w:val="nil"/>
              <w:bottom w:val="single" w:sz="8" w:space="0" w:color="BFBFBF"/>
              <w:right w:val="single" w:sz="8" w:space="0" w:color="BFBFBF"/>
            </w:tcBorders>
            <w:shd w:val="clear" w:color="000000" w:fill="F2F2F2"/>
            <w:noWrap/>
            <w:vAlign w:val="center"/>
            <w:hideMark/>
          </w:tcPr>
          <w:p w14:paraId="4C65C99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77F3ECF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3D5A4C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1CDEBB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A0891B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5CAC5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EF4F26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de delitos ocurridos a unidades económicas</w:t>
            </w:r>
          </w:p>
        </w:tc>
        <w:tc>
          <w:tcPr>
            <w:tcW w:w="428" w:type="pct"/>
            <w:tcBorders>
              <w:top w:val="nil"/>
              <w:left w:val="nil"/>
              <w:bottom w:val="single" w:sz="8" w:space="0" w:color="BFBFBF"/>
              <w:right w:val="single" w:sz="8" w:space="0" w:color="BFBFBF"/>
            </w:tcBorders>
            <w:shd w:val="clear" w:color="000000" w:fill="F2F2F2"/>
            <w:noWrap/>
            <w:vAlign w:val="center"/>
            <w:hideMark/>
          </w:tcPr>
          <w:p w14:paraId="660381D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2F986EE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5E308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BA2EB4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3D98BC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BD4FEB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53D1BC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prevalencia delictiva por cada diez mil unidades económicas</w:t>
            </w:r>
          </w:p>
        </w:tc>
        <w:tc>
          <w:tcPr>
            <w:tcW w:w="428" w:type="pct"/>
            <w:tcBorders>
              <w:top w:val="nil"/>
              <w:left w:val="nil"/>
              <w:bottom w:val="single" w:sz="8" w:space="0" w:color="BFBFBF"/>
              <w:right w:val="single" w:sz="8" w:space="0" w:color="BFBFBF"/>
            </w:tcBorders>
            <w:shd w:val="clear" w:color="000000" w:fill="F2F2F2"/>
            <w:noWrap/>
            <w:vAlign w:val="center"/>
            <w:hideMark/>
          </w:tcPr>
          <w:p w14:paraId="54609FC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19DF5FE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96DFD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B730AC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42892C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392C4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07A69C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identifican a las instituciones de seguridad pública</w:t>
            </w:r>
          </w:p>
        </w:tc>
        <w:tc>
          <w:tcPr>
            <w:tcW w:w="428" w:type="pct"/>
            <w:tcBorders>
              <w:top w:val="nil"/>
              <w:left w:val="nil"/>
              <w:bottom w:val="single" w:sz="8" w:space="0" w:color="BFBFBF"/>
              <w:right w:val="single" w:sz="8" w:space="0" w:color="BFBFBF"/>
            </w:tcBorders>
            <w:shd w:val="clear" w:color="000000" w:fill="F2F2F2"/>
            <w:noWrap/>
            <w:vAlign w:val="center"/>
            <w:hideMark/>
          </w:tcPr>
          <w:p w14:paraId="73379CB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328</w:t>
            </w:r>
          </w:p>
        </w:tc>
        <w:tc>
          <w:tcPr>
            <w:tcW w:w="477" w:type="pct"/>
            <w:vMerge/>
            <w:tcBorders>
              <w:top w:val="nil"/>
              <w:left w:val="single" w:sz="8" w:space="0" w:color="BFBFBF"/>
              <w:bottom w:val="single" w:sz="8" w:space="0" w:color="BFBFBF"/>
              <w:right w:val="single" w:sz="8" w:space="0" w:color="BFBFBF"/>
            </w:tcBorders>
            <w:vAlign w:val="center"/>
            <w:hideMark/>
          </w:tcPr>
          <w:p w14:paraId="37846B5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6E16602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institución de seguridad pública</w:t>
            </w:r>
          </w:p>
        </w:tc>
      </w:tr>
      <w:tr w:rsidR="002752B5" w:rsidRPr="009A501D" w14:paraId="2F1BEAF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770B1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968CD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4A4DB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les inspira mucha o algo de confianza las instituciones de seguridad pública</w:t>
            </w:r>
          </w:p>
        </w:tc>
        <w:tc>
          <w:tcPr>
            <w:tcW w:w="428" w:type="pct"/>
            <w:tcBorders>
              <w:top w:val="nil"/>
              <w:left w:val="nil"/>
              <w:bottom w:val="single" w:sz="8" w:space="0" w:color="BFBFBF"/>
              <w:right w:val="single" w:sz="8" w:space="0" w:color="BFBFBF"/>
            </w:tcBorders>
            <w:shd w:val="clear" w:color="000000" w:fill="F2F2F2"/>
            <w:noWrap/>
            <w:vAlign w:val="center"/>
            <w:hideMark/>
          </w:tcPr>
          <w:p w14:paraId="037DD5B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130</w:t>
            </w:r>
          </w:p>
        </w:tc>
        <w:tc>
          <w:tcPr>
            <w:tcW w:w="477" w:type="pct"/>
            <w:vMerge/>
            <w:tcBorders>
              <w:top w:val="nil"/>
              <w:left w:val="single" w:sz="8" w:space="0" w:color="BFBFBF"/>
              <w:bottom w:val="single" w:sz="8" w:space="0" w:color="BFBFBF"/>
              <w:right w:val="single" w:sz="8" w:space="0" w:color="BFBFBF"/>
            </w:tcBorders>
            <w:vAlign w:val="center"/>
            <w:hideMark/>
          </w:tcPr>
          <w:p w14:paraId="0D7D996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673449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A774BA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D12CF5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5A917D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30582A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percibe como muy o algo efectivo el trabajo de las instituciones de seguridad pública</w:t>
            </w:r>
          </w:p>
        </w:tc>
        <w:tc>
          <w:tcPr>
            <w:tcW w:w="428" w:type="pct"/>
            <w:tcBorders>
              <w:top w:val="nil"/>
              <w:left w:val="nil"/>
              <w:bottom w:val="single" w:sz="8" w:space="0" w:color="BFBFBF"/>
              <w:right w:val="single" w:sz="8" w:space="0" w:color="BFBFBF"/>
            </w:tcBorders>
            <w:shd w:val="clear" w:color="000000" w:fill="F2F2F2"/>
            <w:noWrap/>
            <w:vAlign w:val="center"/>
            <w:hideMark/>
          </w:tcPr>
          <w:p w14:paraId="7571324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130</w:t>
            </w:r>
          </w:p>
        </w:tc>
        <w:tc>
          <w:tcPr>
            <w:tcW w:w="477" w:type="pct"/>
            <w:vMerge/>
            <w:tcBorders>
              <w:top w:val="nil"/>
              <w:left w:val="single" w:sz="8" w:space="0" w:color="BFBFBF"/>
              <w:bottom w:val="single" w:sz="8" w:space="0" w:color="BFBFBF"/>
              <w:right w:val="single" w:sz="8" w:space="0" w:color="BFBFBF"/>
            </w:tcBorders>
            <w:vAlign w:val="center"/>
            <w:hideMark/>
          </w:tcPr>
          <w:p w14:paraId="12A3AFA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C977B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3DC502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D9D863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F32587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979F7A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perciben a las instituciones de seguridad pública como corruptas</w:t>
            </w:r>
          </w:p>
        </w:tc>
        <w:tc>
          <w:tcPr>
            <w:tcW w:w="428" w:type="pct"/>
            <w:tcBorders>
              <w:top w:val="nil"/>
              <w:left w:val="nil"/>
              <w:bottom w:val="single" w:sz="8" w:space="0" w:color="BFBFBF"/>
              <w:right w:val="single" w:sz="8" w:space="0" w:color="BFBFBF"/>
            </w:tcBorders>
            <w:shd w:val="clear" w:color="000000" w:fill="F2F2F2"/>
            <w:noWrap/>
            <w:vAlign w:val="center"/>
            <w:hideMark/>
          </w:tcPr>
          <w:p w14:paraId="671E6A5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360</w:t>
            </w:r>
          </w:p>
        </w:tc>
        <w:tc>
          <w:tcPr>
            <w:tcW w:w="477" w:type="pct"/>
            <w:vMerge/>
            <w:tcBorders>
              <w:top w:val="nil"/>
              <w:left w:val="single" w:sz="8" w:space="0" w:color="BFBFBF"/>
              <w:bottom w:val="single" w:sz="8" w:space="0" w:color="BFBFBF"/>
              <w:right w:val="single" w:sz="8" w:space="0" w:color="BFBFBF"/>
            </w:tcBorders>
            <w:vAlign w:val="center"/>
            <w:hideMark/>
          </w:tcPr>
          <w:p w14:paraId="14E2F0BD"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13A47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8B5B56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5FAAFC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D35F1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98772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consideran insegura el área en que se ubican</w:t>
            </w:r>
          </w:p>
        </w:tc>
        <w:tc>
          <w:tcPr>
            <w:tcW w:w="428" w:type="pct"/>
            <w:tcBorders>
              <w:top w:val="nil"/>
              <w:left w:val="nil"/>
              <w:bottom w:val="single" w:sz="8" w:space="0" w:color="BFBFBF"/>
              <w:right w:val="single" w:sz="8" w:space="0" w:color="BFBFBF"/>
            </w:tcBorders>
            <w:shd w:val="clear" w:color="000000" w:fill="F2F2F2"/>
            <w:noWrap/>
            <w:vAlign w:val="center"/>
            <w:hideMark/>
          </w:tcPr>
          <w:p w14:paraId="7C44EF9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477" w:type="pct"/>
            <w:vMerge/>
            <w:tcBorders>
              <w:top w:val="nil"/>
              <w:left w:val="single" w:sz="8" w:space="0" w:color="BFBFBF"/>
              <w:bottom w:val="single" w:sz="8" w:space="0" w:color="BFBFBF"/>
              <w:right w:val="single" w:sz="8" w:space="0" w:color="BFBFBF"/>
            </w:tcBorders>
            <w:vAlign w:val="center"/>
            <w:hideMark/>
          </w:tcPr>
          <w:p w14:paraId="7BA845AD"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0185E52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localización</w:t>
            </w:r>
          </w:p>
        </w:tc>
      </w:tr>
      <w:tr w:rsidR="002752B5" w:rsidRPr="009A501D" w14:paraId="7666B47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DFD2A4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44ACBE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47E303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unidades económicas del sector privado que sufrieron repercusiones en sus operaciones por causa del delito</w:t>
            </w:r>
          </w:p>
        </w:tc>
        <w:tc>
          <w:tcPr>
            <w:tcW w:w="428" w:type="pct"/>
            <w:tcBorders>
              <w:top w:val="nil"/>
              <w:left w:val="nil"/>
              <w:bottom w:val="single" w:sz="8" w:space="0" w:color="BFBFBF"/>
              <w:right w:val="single" w:sz="8" w:space="0" w:color="BFBFBF"/>
            </w:tcBorders>
            <w:shd w:val="clear" w:color="000000" w:fill="F2F2F2"/>
            <w:noWrap/>
            <w:vAlign w:val="center"/>
            <w:hideMark/>
          </w:tcPr>
          <w:p w14:paraId="680BB39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477" w:type="pct"/>
            <w:vMerge/>
            <w:tcBorders>
              <w:top w:val="nil"/>
              <w:left w:val="single" w:sz="8" w:space="0" w:color="BFBFBF"/>
              <w:bottom w:val="single" w:sz="8" w:space="0" w:color="BFBFBF"/>
              <w:right w:val="single" w:sz="8" w:space="0" w:color="BFBFBF"/>
            </w:tcBorders>
            <w:vAlign w:val="center"/>
            <w:hideMark/>
          </w:tcPr>
          <w:p w14:paraId="23F6C33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4CABD06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sector económico; Por tamaño de la unidad económica</w:t>
            </w:r>
          </w:p>
        </w:tc>
      </w:tr>
      <w:tr w:rsidR="002752B5" w:rsidRPr="009A501D" w14:paraId="51C0F77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D262A2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C2BC37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5F6163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de costos del delito en unidades económicas del sector privado</w:t>
            </w:r>
          </w:p>
        </w:tc>
        <w:tc>
          <w:tcPr>
            <w:tcW w:w="428" w:type="pct"/>
            <w:tcBorders>
              <w:top w:val="nil"/>
              <w:left w:val="nil"/>
              <w:bottom w:val="single" w:sz="8" w:space="0" w:color="BFBFBF"/>
              <w:right w:val="single" w:sz="8" w:space="0" w:color="BFBFBF"/>
            </w:tcBorders>
            <w:shd w:val="clear" w:color="000000" w:fill="F2F2F2"/>
            <w:noWrap/>
            <w:vAlign w:val="center"/>
            <w:hideMark/>
          </w:tcPr>
          <w:p w14:paraId="5CBE934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477" w:type="pct"/>
            <w:vMerge/>
            <w:tcBorders>
              <w:top w:val="nil"/>
              <w:left w:val="single" w:sz="8" w:space="0" w:color="BFBFBF"/>
              <w:bottom w:val="single" w:sz="8" w:space="0" w:color="BFBFBF"/>
              <w:right w:val="single" w:sz="8" w:space="0" w:color="BFBFBF"/>
            </w:tcBorders>
            <w:vAlign w:val="center"/>
            <w:hideMark/>
          </w:tcPr>
          <w:p w14:paraId="16258C4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9822B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C01EB4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2E3185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D2A19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31D3CB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incidencia delictiva en unidades económicas del sector privado</w:t>
            </w:r>
          </w:p>
        </w:tc>
        <w:tc>
          <w:tcPr>
            <w:tcW w:w="428" w:type="pct"/>
            <w:tcBorders>
              <w:top w:val="nil"/>
              <w:left w:val="nil"/>
              <w:bottom w:val="single" w:sz="8" w:space="0" w:color="BFBFBF"/>
              <w:right w:val="single" w:sz="8" w:space="0" w:color="BFBFBF"/>
            </w:tcBorders>
            <w:shd w:val="clear" w:color="000000" w:fill="F2F2F2"/>
            <w:noWrap/>
            <w:vAlign w:val="center"/>
            <w:hideMark/>
          </w:tcPr>
          <w:p w14:paraId="33AE159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477" w:type="pct"/>
            <w:vMerge/>
            <w:tcBorders>
              <w:top w:val="nil"/>
              <w:left w:val="single" w:sz="8" w:space="0" w:color="BFBFBF"/>
              <w:bottom w:val="single" w:sz="8" w:space="0" w:color="BFBFBF"/>
              <w:right w:val="single" w:sz="8" w:space="0" w:color="BFBFBF"/>
            </w:tcBorders>
            <w:vAlign w:val="center"/>
            <w:hideMark/>
          </w:tcPr>
          <w:p w14:paraId="387EF9A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7A3D480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sector económico; Por tipo de delito; Por tamaño de unidad económica</w:t>
            </w:r>
          </w:p>
        </w:tc>
      </w:tr>
      <w:tr w:rsidR="002752B5" w:rsidRPr="009A501D" w14:paraId="38118AD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0AB9A1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243775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147132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no denunciados por las unidades económicas del sector privado</w:t>
            </w:r>
          </w:p>
        </w:tc>
        <w:tc>
          <w:tcPr>
            <w:tcW w:w="428" w:type="pct"/>
            <w:tcBorders>
              <w:top w:val="nil"/>
              <w:left w:val="nil"/>
              <w:bottom w:val="single" w:sz="8" w:space="0" w:color="BFBFBF"/>
              <w:right w:val="single" w:sz="8" w:space="0" w:color="BFBFBF"/>
            </w:tcBorders>
            <w:shd w:val="clear" w:color="000000" w:fill="F2F2F2"/>
            <w:noWrap/>
            <w:vAlign w:val="center"/>
            <w:hideMark/>
          </w:tcPr>
          <w:p w14:paraId="6EB6E6B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79BD8D4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77E21A2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Según la causa</w:t>
            </w:r>
          </w:p>
        </w:tc>
      </w:tr>
      <w:tr w:rsidR="002752B5" w:rsidRPr="009A501D" w14:paraId="0978B0C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408BA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DF3B3C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9458B1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del sector privado que fueron víctimas de actos de corrupción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7BF53C4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477" w:type="pct"/>
            <w:vMerge/>
            <w:tcBorders>
              <w:top w:val="nil"/>
              <w:left w:val="single" w:sz="8" w:space="0" w:color="BFBFBF"/>
              <w:bottom w:val="single" w:sz="8" w:space="0" w:color="BFBFBF"/>
              <w:right w:val="single" w:sz="8" w:space="0" w:color="BFBFBF"/>
            </w:tcBorders>
            <w:vAlign w:val="center"/>
            <w:hideMark/>
          </w:tcPr>
          <w:p w14:paraId="0A17657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3E9C33B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sector económico; Por tamaño de unidad económica</w:t>
            </w:r>
          </w:p>
        </w:tc>
      </w:tr>
      <w:tr w:rsidR="002752B5" w:rsidRPr="009A501D" w14:paraId="7CE0F76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62265B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0A5B3E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FF3F0F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de unidades económicas del sector privado que cancelaron planes de crecimiento: inversiones</w:t>
            </w:r>
          </w:p>
        </w:tc>
        <w:tc>
          <w:tcPr>
            <w:tcW w:w="428" w:type="pct"/>
            <w:tcBorders>
              <w:top w:val="nil"/>
              <w:left w:val="nil"/>
              <w:bottom w:val="single" w:sz="8" w:space="0" w:color="BFBFBF"/>
              <w:right w:val="single" w:sz="8" w:space="0" w:color="BFBFBF"/>
            </w:tcBorders>
            <w:shd w:val="clear" w:color="000000" w:fill="F2F2F2"/>
            <w:noWrap/>
            <w:vAlign w:val="center"/>
            <w:hideMark/>
          </w:tcPr>
          <w:p w14:paraId="1C6F650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477" w:type="pct"/>
            <w:vMerge/>
            <w:tcBorders>
              <w:top w:val="nil"/>
              <w:left w:val="single" w:sz="8" w:space="0" w:color="BFBFBF"/>
              <w:bottom w:val="single" w:sz="8" w:space="0" w:color="BFBFBF"/>
              <w:right w:val="single" w:sz="8" w:space="0" w:color="BFBFBF"/>
            </w:tcBorders>
            <w:vAlign w:val="center"/>
            <w:hideMark/>
          </w:tcPr>
          <w:p w14:paraId="7884AE9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529BA6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EDE08B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D81140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BE9F4B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95E9FE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de unidades económicas del sector privado que dejaron de realizar alguna actividad por temor a ser víctima de la delincuencia</w:t>
            </w:r>
          </w:p>
        </w:tc>
        <w:tc>
          <w:tcPr>
            <w:tcW w:w="428" w:type="pct"/>
            <w:tcBorders>
              <w:top w:val="nil"/>
              <w:left w:val="nil"/>
              <w:bottom w:val="single" w:sz="8" w:space="0" w:color="BFBFBF"/>
              <w:right w:val="single" w:sz="8" w:space="0" w:color="BFBFBF"/>
            </w:tcBorders>
            <w:shd w:val="clear" w:color="000000" w:fill="F2F2F2"/>
            <w:noWrap/>
            <w:vAlign w:val="center"/>
            <w:hideMark/>
          </w:tcPr>
          <w:p w14:paraId="5E28041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40324E5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64F3FA8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tipo de actividad</w:t>
            </w:r>
          </w:p>
        </w:tc>
      </w:tr>
      <w:tr w:rsidR="002752B5" w:rsidRPr="009A501D" w14:paraId="1A5151DA"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7015D3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DGEGSPJ</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A62409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ENVIPE</w:t>
            </w:r>
          </w:p>
        </w:tc>
        <w:tc>
          <w:tcPr>
            <w:tcW w:w="2003" w:type="pct"/>
            <w:tcBorders>
              <w:top w:val="nil"/>
              <w:left w:val="nil"/>
              <w:bottom w:val="single" w:sz="8" w:space="0" w:color="BFBFBF"/>
              <w:right w:val="single" w:sz="8" w:space="0" w:color="BFBFBF"/>
            </w:tcBorders>
            <w:shd w:val="clear" w:color="auto" w:fill="auto"/>
            <w:vAlign w:val="center"/>
            <w:hideMark/>
          </w:tcPr>
          <w:p w14:paraId="265444A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Cifra Negra (delitos no denunciados y los delitos denunciados que no tuvieron inicio de averiguación previa)</w:t>
            </w:r>
          </w:p>
        </w:tc>
        <w:tc>
          <w:tcPr>
            <w:tcW w:w="428" w:type="pct"/>
            <w:tcBorders>
              <w:top w:val="nil"/>
              <w:left w:val="nil"/>
              <w:bottom w:val="single" w:sz="8" w:space="0" w:color="BFBFBF"/>
              <w:right w:val="single" w:sz="8" w:space="0" w:color="BFBFBF"/>
            </w:tcBorders>
            <w:shd w:val="clear" w:color="auto" w:fill="auto"/>
            <w:noWrap/>
            <w:vAlign w:val="center"/>
            <w:hideMark/>
          </w:tcPr>
          <w:p w14:paraId="09DBBC0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DC912D6"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2,085</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35E481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6C84DA6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CBDE22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B99B05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20F8A1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Gasto de los hogares en medidas de protección contra la delincuencia (pesos mexicanos)</w:t>
            </w:r>
          </w:p>
        </w:tc>
        <w:tc>
          <w:tcPr>
            <w:tcW w:w="428" w:type="pct"/>
            <w:tcBorders>
              <w:top w:val="nil"/>
              <w:left w:val="nil"/>
              <w:bottom w:val="single" w:sz="8" w:space="0" w:color="BFBFBF"/>
              <w:right w:val="single" w:sz="8" w:space="0" w:color="BFBFBF"/>
            </w:tcBorders>
            <w:shd w:val="clear" w:color="auto" w:fill="auto"/>
            <w:noWrap/>
            <w:vAlign w:val="center"/>
            <w:hideMark/>
          </w:tcPr>
          <w:p w14:paraId="193292C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4362CD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D623B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2EEA76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FBA9B8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4ED26E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8F9D00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denunciados ante el Ministerio público, en el que se haya iniciado una carpeta de investigación</w:t>
            </w:r>
          </w:p>
        </w:tc>
        <w:tc>
          <w:tcPr>
            <w:tcW w:w="428" w:type="pct"/>
            <w:tcBorders>
              <w:top w:val="nil"/>
              <w:left w:val="nil"/>
              <w:bottom w:val="single" w:sz="8" w:space="0" w:color="BFBFBF"/>
              <w:right w:val="single" w:sz="8" w:space="0" w:color="BFBFBF"/>
            </w:tcBorders>
            <w:shd w:val="clear" w:color="auto" w:fill="auto"/>
            <w:noWrap/>
            <w:vAlign w:val="center"/>
            <w:hideMark/>
          </w:tcPr>
          <w:p w14:paraId="32AF205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0377B9F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325F9D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68BAF3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8986B9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A64458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3CCAD2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en los que la víctima estuvo presente e identificó al victimario como un conocido</w:t>
            </w:r>
          </w:p>
        </w:tc>
        <w:tc>
          <w:tcPr>
            <w:tcW w:w="428" w:type="pct"/>
            <w:tcBorders>
              <w:top w:val="nil"/>
              <w:left w:val="nil"/>
              <w:bottom w:val="single" w:sz="8" w:space="0" w:color="BFBFBF"/>
              <w:right w:val="single" w:sz="8" w:space="0" w:color="BFBFBF"/>
            </w:tcBorders>
            <w:shd w:val="clear" w:color="auto" w:fill="auto"/>
            <w:noWrap/>
            <w:vAlign w:val="center"/>
            <w:hideMark/>
          </w:tcPr>
          <w:p w14:paraId="3E1A975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1D2CC1F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91A07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9CB8CA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7CEBD5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143321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9E6452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víctima de algún delito</w:t>
            </w:r>
          </w:p>
        </w:tc>
        <w:tc>
          <w:tcPr>
            <w:tcW w:w="428" w:type="pct"/>
            <w:tcBorders>
              <w:top w:val="nil"/>
              <w:left w:val="nil"/>
              <w:bottom w:val="single" w:sz="8" w:space="0" w:color="BFBFBF"/>
              <w:right w:val="single" w:sz="8" w:space="0" w:color="BFBFBF"/>
            </w:tcBorders>
            <w:shd w:val="clear" w:color="auto" w:fill="auto"/>
            <w:noWrap/>
            <w:vAlign w:val="center"/>
            <w:hideMark/>
          </w:tcPr>
          <w:p w14:paraId="41F788A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5041BA2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48EEA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74D54E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0E0F4E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11F5DB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B5BFB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incidencia delictiva por cada 100 mil habitantes (Víctimas)</w:t>
            </w:r>
          </w:p>
        </w:tc>
        <w:tc>
          <w:tcPr>
            <w:tcW w:w="428" w:type="pct"/>
            <w:tcBorders>
              <w:top w:val="nil"/>
              <w:left w:val="nil"/>
              <w:bottom w:val="single" w:sz="8" w:space="0" w:color="BFBFBF"/>
              <w:right w:val="single" w:sz="8" w:space="0" w:color="BFBFBF"/>
            </w:tcBorders>
            <w:shd w:val="clear" w:color="auto" w:fill="auto"/>
            <w:noWrap/>
            <w:vAlign w:val="center"/>
            <w:hideMark/>
          </w:tcPr>
          <w:p w14:paraId="22BD977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5E68D42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6A086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5BBC1D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CBDD6A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9E00D1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3624DE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prevalencia delictiva por cada cien mil habitantes de 18 años y más (Casos por cada 100 mil habitantes)</w:t>
            </w:r>
          </w:p>
        </w:tc>
        <w:tc>
          <w:tcPr>
            <w:tcW w:w="428" w:type="pct"/>
            <w:tcBorders>
              <w:top w:val="nil"/>
              <w:left w:val="nil"/>
              <w:bottom w:val="single" w:sz="8" w:space="0" w:color="BFBFBF"/>
              <w:right w:val="single" w:sz="8" w:space="0" w:color="BFBFBF"/>
            </w:tcBorders>
            <w:shd w:val="clear" w:color="auto" w:fill="auto"/>
            <w:noWrap/>
            <w:vAlign w:val="center"/>
            <w:hideMark/>
          </w:tcPr>
          <w:p w14:paraId="6D541D2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EEFCA9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03B15A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86995C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F07A10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2B9808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184A5F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se siente inseguro</w:t>
            </w:r>
          </w:p>
        </w:tc>
        <w:tc>
          <w:tcPr>
            <w:tcW w:w="428" w:type="pct"/>
            <w:tcBorders>
              <w:top w:val="nil"/>
              <w:left w:val="nil"/>
              <w:bottom w:val="single" w:sz="8" w:space="0" w:color="BFBFBF"/>
              <w:right w:val="single" w:sz="8" w:space="0" w:color="BFBFBF"/>
            </w:tcBorders>
            <w:shd w:val="clear" w:color="auto" w:fill="auto"/>
            <w:noWrap/>
            <w:vAlign w:val="center"/>
            <w:hideMark/>
          </w:tcPr>
          <w:p w14:paraId="78DFD64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429</w:t>
            </w:r>
          </w:p>
        </w:tc>
        <w:tc>
          <w:tcPr>
            <w:tcW w:w="477" w:type="pct"/>
            <w:vMerge/>
            <w:tcBorders>
              <w:top w:val="nil"/>
              <w:left w:val="single" w:sz="8" w:space="0" w:color="BFBFBF"/>
              <w:bottom w:val="single" w:sz="8" w:space="0" w:color="BFBFBF"/>
              <w:right w:val="single" w:sz="8" w:space="0" w:color="BFBFBF"/>
            </w:tcBorders>
            <w:vAlign w:val="center"/>
            <w:hideMark/>
          </w:tcPr>
          <w:p w14:paraId="3E2CB26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53C49A8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espacios públicos o privados</w:t>
            </w:r>
          </w:p>
        </w:tc>
      </w:tr>
      <w:tr w:rsidR="002752B5" w:rsidRPr="009A501D" w14:paraId="2C72A04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5A3872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D849BD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535A60B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confía en instituciones de seguridad pública</w:t>
            </w:r>
          </w:p>
        </w:tc>
        <w:tc>
          <w:tcPr>
            <w:tcW w:w="428" w:type="pct"/>
            <w:tcBorders>
              <w:top w:val="nil"/>
              <w:left w:val="nil"/>
              <w:bottom w:val="single" w:sz="8" w:space="0" w:color="BFBFBF"/>
              <w:right w:val="single" w:sz="8" w:space="0" w:color="BFBFBF"/>
            </w:tcBorders>
            <w:shd w:val="clear" w:color="auto" w:fill="auto"/>
            <w:noWrap/>
            <w:vAlign w:val="center"/>
            <w:hideMark/>
          </w:tcPr>
          <w:p w14:paraId="4D3C2FE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328</w:t>
            </w:r>
          </w:p>
        </w:tc>
        <w:tc>
          <w:tcPr>
            <w:tcW w:w="477" w:type="pct"/>
            <w:vMerge/>
            <w:tcBorders>
              <w:top w:val="nil"/>
              <w:left w:val="single" w:sz="8" w:space="0" w:color="BFBFBF"/>
              <w:bottom w:val="single" w:sz="8" w:space="0" w:color="BFBFBF"/>
              <w:right w:val="single" w:sz="8" w:space="0" w:color="BFBFBF"/>
            </w:tcBorders>
            <w:vAlign w:val="center"/>
            <w:hideMark/>
          </w:tcPr>
          <w:p w14:paraId="1905B2D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AA9BAD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institución de seguridad pública</w:t>
            </w:r>
          </w:p>
        </w:tc>
      </w:tr>
      <w:tr w:rsidR="002752B5" w:rsidRPr="009A501D" w14:paraId="521B130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47C99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B070FA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58EFAA3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percibe como efectivo el desempeño de las instituciones de seguridad pública</w:t>
            </w:r>
          </w:p>
        </w:tc>
        <w:tc>
          <w:tcPr>
            <w:tcW w:w="428" w:type="pct"/>
            <w:tcBorders>
              <w:top w:val="nil"/>
              <w:left w:val="nil"/>
              <w:bottom w:val="single" w:sz="8" w:space="0" w:color="BFBFBF"/>
              <w:right w:val="single" w:sz="8" w:space="0" w:color="BFBFBF"/>
            </w:tcBorders>
            <w:shd w:val="clear" w:color="auto" w:fill="auto"/>
            <w:noWrap/>
            <w:vAlign w:val="center"/>
            <w:hideMark/>
          </w:tcPr>
          <w:p w14:paraId="7D62F80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328</w:t>
            </w:r>
          </w:p>
        </w:tc>
        <w:tc>
          <w:tcPr>
            <w:tcW w:w="477" w:type="pct"/>
            <w:vMerge/>
            <w:tcBorders>
              <w:top w:val="nil"/>
              <w:left w:val="single" w:sz="8" w:space="0" w:color="BFBFBF"/>
              <w:bottom w:val="single" w:sz="8" w:space="0" w:color="BFBFBF"/>
              <w:right w:val="single" w:sz="8" w:space="0" w:color="BFBFBF"/>
            </w:tcBorders>
            <w:vAlign w:val="center"/>
            <w:hideMark/>
          </w:tcPr>
          <w:p w14:paraId="58D2B0E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5DAB33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128C6E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3B52A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82BD36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45AEA8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percibe inseguridad</w:t>
            </w:r>
          </w:p>
        </w:tc>
        <w:tc>
          <w:tcPr>
            <w:tcW w:w="428" w:type="pct"/>
            <w:tcBorders>
              <w:top w:val="nil"/>
              <w:left w:val="nil"/>
              <w:bottom w:val="single" w:sz="8" w:space="0" w:color="BFBFBF"/>
              <w:right w:val="single" w:sz="8" w:space="0" w:color="BFBFBF"/>
            </w:tcBorders>
            <w:shd w:val="clear" w:color="auto" w:fill="auto"/>
            <w:noWrap/>
            <w:vAlign w:val="center"/>
            <w:hideMark/>
          </w:tcPr>
          <w:p w14:paraId="7EE3B5B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99</w:t>
            </w:r>
          </w:p>
        </w:tc>
        <w:tc>
          <w:tcPr>
            <w:tcW w:w="477" w:type="pct"/>
            <w:vMerge/>
            <w:tcBorders>
              <w:top w:val="nil"/>
              <w:left w:val="single" w:sz="8" w:space="0" w:color="BFBFBF"/>
              <w:bottom w:val="single" w:sz="8" w:space="0" w:color="BFBFBF"/>
              <w:right w:val="single" w:sz="8" w:space="0" w:color="BFBFBF"/>
            </w:tcBorders>
            <w:vAlign w:val="center"/>
            <w:hideMark/>
          </w:tcPr>
          <w:p w14:paraId="00BE758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25AEE23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localización</w:t>
            </w:r>
          </w:p>
        </w:tc>
      </w:tr>
      <w:tr w:rsidR="002752B5" w:rsidRPr="009A501D" w14:paraId="6E073B9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4633B0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DDBAEF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FD4218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personas de 18 años y más víctima de algún delito</w:t>
            </w:r>
          </w:p>
        </w:tc>
        <w:tc>
          <w:tcPr>
            <w:tcW w:w="428" w:type="pct"/>
            <w:tcBorders>
              <w:top w:val="nil"/>
              <w:left w:val="nil"/>
              <w:bottom w:val="single" w:sz="8" w:space="0" w:color="BFBFBF"/>
              <w:right w:val="single" w:sz="8" w:space="0" w:color="BFBFBF"/>
            </w:tcBorders>
            <w:shd w:val="clear" w:color="auto" w:fill="auto"/>
            <w:noWrap/>
            <w:vAlign w:val="center"/>
            <w:hideMark/>
          </w:tcPr>
          <w:p w14:paraId="381641B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48E4841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01AD3C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sexo</w:t>
            </w:r>
          </w:p>
        </w:tc>
      </w:tr>
      <w:tr w:rsidR="002752B5" w:rsidRPr="009A501D" w14:paraId="3A3A010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6870F5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6645F9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3B3D5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población de 18 años y más que dejó de realizar actividades por temor a ser víctima de algún delito</w:t>
            </w:r>
          </w:p>
        </w:tc>
        <w:tc>
          <w:tcPr>
            <w:tcW w:w="428" w:type="pct"/>
            <w:tcBorders>
              <w:top w:val="nil"/>
              <w:left w:val="nil"/>
              <w:bottom w:val="single" w:sz="8" w:space="0" w:color="BFBFBF"/>
              <w:right w:val="single" w:sz="8" w:space="0" w:color="BFBFBF"/>
            </w:tcBorders>
            <w:shd w:val="clear" w:color="auto" w:fill="auto"/>
            <w:noWrap/>
            <w:vAlign w:val="center"/>
            <w:hideMark/>
          </w:tcPr>
          <w:p w14:paraId="550B0D0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528</w:t>
            </w:r>
          </w:p>
        </w:tc>
        <w:tc>
          <w:tcPr>
            <w:tcW w:w="477" w:type="pct"/>
            <w:vMerge/>
            <w:tcBorders>
              <w:top w:val="nil"/>
              <w:left w:val="single" w:sz="8" w:space="0" w:color="BFBFBF"/>
              <w:bottom w:val="single" w:sz="8" w:space="0" w:color="BFBFBF"/>
              <w:right w:val="single" w:sz="8" w:space="0" w:color="BFBFBF"/>
            </w:tcBorders>
            <w:vAlign w:val="center"/>
            <w:hideMark/>
          </w:tcPr>
          <w:p w14:paraId="240034A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36F042A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tipo de actividad</w:t>
            </w:r>
          </w:p>
        </w:tc>
      </w:tr>
      <w:tr w:rsidR="002752B5" w:rsidRPr="009A501D" w14:paraId="31DCDFF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E45FC6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DF1B2B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C6318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no denunciados</w:t>
            </w:r>
          </w:p>
        </w:tc>
        <w:tc>
          <w:tcPr>
            <w:tcW w:w="428" w:type="pct"/>
            <w:tcBorders>
              <w:top w:val="nil"/>
              <w:left w:val="nil"/>
              <w:bottom w:val="single" w:sz="8" w:space="0" w:color="BFBFBF"/>
              <w:right w:val="single" w:sz="8" w:space="0" w:color="BFBFBF"/>
            </w:tcBorders>
            <w:shd w:val="clear" w:color="auto" w:fill="auto"/>
            <w:noWrap/>
            <w:vAlign w:val="center"/>
            <w:hideMark/>
          </w:tcPr>
          <w:p w14:paraId="00AA6C8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25110D5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1A39AE3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Según la causa</w:t>
            </w:r>
          </w:p>
        </w:tc>
      </w:tr>
      <w:tr w:rsidR="002752B5" w:rsidRPr="009A501D" w14:paraId="44115D0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187D0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25B181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BB85F5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denunciados en los que se tardó cierto número de horas en realizar el trámite de su denuncia ante el Ministerio Público</w:t>
            </w:r>
          </w:p>
        </w:tc>
        <w:tc>
          <w:tcPr>
            <w:tcW w:w="428" w:type="pct"/>
            <w:tcBorders>
              <w:top w:val="nil"/>
              <w:left w:val="nil"/>
              <w:bottom w:val="single" w:sz="8" w:space="0" w:color="BFBFBF"/>
              <w:right w:val="single" w:sz="8" w:space="0" w:color="BFBFBF"/>
            </w:tcBorders>
            <w:shd w:val="clear" w:color="auto" w:fill="auto"/>
            <w:noWrap/>
            <w:vAlign w:val="center"/>
            <w:hideMark/>
          </w:tcPr>
          <w:p w14:paraId="3B2EA20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vMerge/>
            <w:tcBorders>
              <w:top w:val="nil"/>
              <w:left w:val="single" w:sz="8" w:space="0" w:color="BFBFBF"/>
              <w:bottom w:val="single" w:sz="8" w:space="0" w:color="BFBFBF"/>
              <w:right w:val="single" w:sz="8" w:space="0" w:color="BFBFBF"/>
            </w:tcBorders>
            <w:vAlign w:val="center"/>
            <w:hideMark/>
          </w:tcPr>
          <w:p w14:paraId="070A2E4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2C9DFD7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número de horas</w:t>
            </w:r>
          </w:p>
        </w:tc>
      </w:tr>
      <w:tr w:rsidR="002752B5" w:rsidRPr="009A501D" w14:paraId="2A55575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92AA2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39A4B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14264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en los que se recibió un determinado trato durante el proceso de denuncia ante el Ministerio Público</w:t>
            </w:r>
          </w:p>
        </w:tc>
        <w:tc>
          <w:tcPr>
            <w:tcW w:w="428" w:type="pct"/>
            <w:tcBorders>
              <w:top w:val="nil"/>
              <w:left w:val="nil"/>
              <w:bottom w:val="single" w:sz="8" w:space="0" w:color="BFBFBF"/>
              <w:right w:val="single" w:sz="8" w:space="0" w:color="BFBFBF"/>
            </w:tcBorders>
            <w:shd w:val="clear" w:color="auto" w:fill="auto"/>
            <w:noWrap/>
            <w:vAlign w:val="center"/>
            <w:hideMark/>
          </w:tcPr>
          <w:p w14:paraId="1B09C4A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477" w:type="pct"/>
            <w:vMerge/>
            <w:tcBorders>
              <w:top w:val="nil"/>
              <w:left w:val="single" w:sz="8" w:space="0" w:color="BFBFBF"/>
              <w:bottom w:val="single" w:sz="8" w:space="0" w:color="BFBFBF"/>
              <w:right w:val="single" w:sz="8" w:space="0" w:color="BFBFBF"/>
            </w:tcBorders>
            <w:vAlign w:val="center"/>
            <w:hideMark/>
          </w:tcPr>
          <w:p w14:paraId="60C9037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1A96E82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tipo de trato recibido</w:t>
            </w:r>
          </w:p>
        </w:tc>
      </w:tr>
      <w:tr w:rsidR="002752B5" w:rsidRPr="009A501D" w14:paraId="355AF3C2"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7058F4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B55B63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23C0A4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delitos ocurridos según tipo de repercusión</w:t>
            </w:r>
          </w:p>
        </w:tc>
        <w:tc>
          <w:tcPr>
            <w:tcW w:w="428" w:type="pct"/>
            <w:tcBorders>
              <w:top w:val="nil"/>
              <w:left w:val="nil"/>
              <w:bottom w:val="single" w:sz="8" w:space="0" w:color="BFBFBF"/>
              <w:right w:val="single" w:sz="8" w:space="0" w:color="BFBFBF"/>
            </w:tcBorders>
            <w:shd w:val="clear" w:color="auto" w:fill="auto"/>
            <w:noWrap/>
            <w:vAlign w:val="center"/>
            <w:hideMark/>
          </w:tcPr>
          <w:p w14:paraId="1463761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477" w:type="pct"/>
            <w:vMerge/>
            <w:tcBorders>
              <w:top w:val="nil"/>
              <w:left w:val="single" w:sz="8" w:space="0" w:color="BFBFBF"/>
              <w:bottom w:val="single" w:sz="8" w:space="0" w:color="BFBFBF"/>
              <w:right w:val="single" w:sz="8" w:space="0" w:color="BFBFBF"/>
            </w:tcBorders>
            <w:vAlign w:val="center"/>
            <w:hideMark/>
          </w:tcPr>
          <w:p w14:paraId="46B6864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634A52E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tipo principal de repercusión</w:t>
            </w:r>
          </w:p>
        </w:tc>
      </w:tr>
      <w:tr w:rsidR="002752B5" w:rsidRPr="009A501D" w14:paraId="1BF9435F"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7D4627C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770D00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ESIDET</w:t>
            </w:r>
          </w:p>
        </w:tc>
        <w:tc>
          <w:tcPr>
            <w:tcW w:w="2003" w:type="pct"/>
            <w:tcBorders>
              <w:top w:val="nil"/>
              <w:left w:val="nil"/>
              <w:bottom w:val="single" w:sz="8" w:space="0" w:color="BFBFBF"/>
              <w:right w:val="single" w:sz="8" w:space="0" w:color="BFBFBF"/>
            </w:tcBorders>
            <w:shd w:val="clear" w:color="000000" w:fill="F2F2F2"/>
            <w:vAlign w:val="center"/>
            <w:hideMark/>
          </w:tcPr>
          <w:p w14:paraId="0DE8F15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Gasto total Intramuros destinado por las empresas del sector productivo para la realización de proyectos de Investigación y Desarrollo Tecnológico (IDT), según destino del gasto</w:t>
            </w:r>
          </w:p>
        </w:tc>
        <w:tc>
          <w:tcPr>
            <w:tcW w:w="428" w:type="pct"/>
            <w:tcBorders>
              <w:top w:val="nil"/>
              <w:left w:val="nil"/>
              <w:bottom w:val="single" w:sz="8" w:space="0" w:color="BFBFBF"/>
              <w:right w:val="single" w:sz="8" w:space="0" w:color="BFBFBF"/>
            </w:tcBorders>
            <w:shd w:val="clear" w:color="000000" w:fill="F2F2F2"/>
            <w:noWrap/>
            <w:vAlign w:val="center"/>
            <w:hideMark/>
          </w:tcPr>
          <w:p w14:paraId="3C7E44F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53283C0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11</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4992B36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según año.</w:t>
            </w:r>
          </w:p>
        </w:tc>
      </w:tr>
      <w:tr w:rsidR="002752B5" w:rsidRPr="009A501D" w14:paraId="599FF20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49A5BE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0C4257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FDF7A0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del personal ocupado del sector productivo</w:t>
            </w:r>
          </w:p>
        </w:tc>
        <w:tc>
          <w:tcPr>
            <w:tcW w:w="428" w:type="pct"/>
            <w:tcBorders>
              <w:top w:val="nil"/>
              <w:left w:val="nil"/>
              <w:bottom w:val="single" w:sz="8" w:space="0" w:color="BFBFBF"/>
              <w:right w:val="single" w:sz="8" w:space="0" w:color="BFBFBF"/>
            </w:tcBorders>
            <w:shd w:val="clear" w:color="000000" w:fill="F2F2F2"/>
            <w:noWrap/>
            <w:vAlign w:val="center"/>
            <w:hideMark/>
          </w:tcPr>
          <w:p w14:paraId="2B58AF1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0442C63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0BA642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57B7DC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81588B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D2A532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BC40ED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de empresas del sector productivo que introdujeron al mercado productos (bienes o servicios) o procesos (incluye métodos) nuevos o significativamente mejorados</w:t>
            </w:r>
          </w:p>
        </w:tc>
        <w:tc>
          <w:tcPr>
            <w:tcW w:w="428" w:type="pct"/>
            <w:tcBorders>
              <w:top w:val="nil"/>
              <w:left w:val="nil"/>
              <w:bottom w:val="single" w:sz="8" w:space="0" w:color="BFBFBF"/>
              <w:right w:val="single" w:sz="8" w:space="0" w:color="BFBFBF"/>
            </w:tcBorders>
            <w:shd w:val="clear" w:color="000000" w:fill="F2F2F2"/>
            <w:noWrap/>
            <w:vAlign w:val="center"/>
            <w:hideMark/>
          </w:tcPr>
          <w:p w14:paraId="2B7A905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477" w:type="pct"/>
            <w:vMerge/>
            <w:tcBorders>
              <w:top w:val="nil"/>
              <w:left w:val="single" w:sz="8" w:space="0" w:color="BFBFBF"/>
              <w:bottom w:val="single" w:sz="8" w:space="0" w:color="BFBFBF"/>
              <w:right w:val="single" w:sz="8" w:space="0" w:color="BFBFBF"/>
            </w:tcBorders>
            <w:vAlign w:val="center"/>
            <w:hideMark/>
          </w:tcPr>
          <w:p w14:paraId="17FF6C7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CEFC59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CED5FCE"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D95324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FB6B8B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FD9261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Personal del sector productivo que trabajó en la empresa en actividades de Investigación y Desarrollo Tecnológico (IDT) Intramuros</w:t>
            </w:r>
          </w:p>
        </w:tc>
        <w:tc>
          <w:tcPr>
            <w:tcW w:w="428" w:type="pct"/>
            <w:tcBorders>
              <w:top w:val="nil"/>
              <w:left w:val="nil"/>
              <w:bottom w:val="single" w:sz="8" w:space="0" w:color="BFBFBF"/>
              <w:right w:val="single" w:sz="8" w:space="0" w:color="BFBFBF"/>
            </w:tcBorders>
            <w:shd w:val="clear" w:color="000000" w:fill="F2F2F2"/>
            <w:noWrap/>
            <w:vAlign w:val="center"/>
            <w:hideMark/>
          </w:tcPr>
          <w:p w14:paraId="4897F403"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tcBorders>
              <w:top w:val="nil"/>
              <w:left w:val="single" w:sz="8" w:space="0" w:color="BFBFBF"/>
              <w:bottom w:val="single" w:sz="8" w:space="0" w:color="BFBFBF"/>
              <w:right w:val="single" w:sz="8" w:space="0" w:color="BFBFBF"/>
            </w:tcBorders>
            <w:vAlign w:val="center"/>
            <w:hideMark/>
          </w:tcPr>
          <w:p w14:paraId="0878EA0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1B7380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7F5CD39"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09810D9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6F35D0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MOCIBA</w:t>
            </w:r>
          </w:p>
        </w:tc>
        <w:tc>
          <w:tcPr>
            <w:tcW w:w="2003" w:type="pct"/>
            <w:tcBorders>
              <w:top w:val="nil"/>
              <w:left w:val="nil"/>
              <w:bottom w:val="single" w:sz="8" w:space="0" w:color="BFBFBF"/>
              <w:right w:val="single" w:sz="8" w:space="0" w:color="BFBFBF"/>
            </w:tcBorders>
            <w:shd w:val="clear" w:color="auto" w:fill="auto"/>
            <w:vAlign w:val="center"/>
            <w:hideMark/>
          </w:tcPr>
          <w:p w14:paraId="3145BDF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12 años y más que vivió ciberacoso durante los últimos doce meses</w:t>
            </w:r>
          </w:p>
        </w:tc>
        <w:tc>
          <w:tcPr>
            <w:tcW w:w="428" w:type="pct"/>
            <w:tcBorders>
              <w:top w:val="nil"/>
              <w:left w:val="nil"/>
              <w:bottom w:val="single" w:sz="8" w:space="0" w:color="BFBFBF"/>
              <w:right w:val="single" w:sz="8" w:space="0" w:color="BFBFBF"/>
            </w:tcBorders>
            <w:shd w:val="clear" w:color="auto" w:fill="auto"/>
            <w:noWrap/>
            <w:vAlign w:val="center"/>
            <w:hideMark/>
          </w:tcPr>
          <w:p w14:paraId="5B94E14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79933E0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7</w:t>
            </w:r>
          </w:p>
        </w:tc>
        <w:tc>
          <w:tcPr>
            <w:tcW w:w="1292" w:type="pct"/>
            <w:tcBorders>
              <w:top w:val="nil"/>
              <w:left w:val="nil"/>
              <w:bottom w:val="single" w:sz="8" w:space="0" w:color="BFBFBF"/>
              <w:right w:val="single" w:sz="8" w:space="0" w:color="BFBFBF"/>
            </w:tcBorders>
            <w:shd w:val="clear" w:color="auto" w:fill="auto"/>
            <w:vAlign w:val="center"/>
            <w:hideMark/>
          </w:tcPr>
          <w:p w14:paraId="20BE84B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agregado de las 32 entidades federativas; Por agregado de las 32 entidades federativas según sexo.</w:t>
            </w:r>
          </w:p>
        </w:tc>
      </w:tr>
      <w:tr w:rsidR="002752B5" w:rsidRPr="009A501D" w14:paraId="1EFAC42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BCEE9C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BEAA07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31A47F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12 años y más contactada, por teléfono celular o internet, mediante identidades falsas para molestarle o dañarle durante los últimos doce meses</w:t>
            </w:r>
          </w:p>
        </w:tc>
        <w:tc>
          <w:tcPr>
            <w:tcW w:w="428" w:type="pct"/>
            <w:tcBorders>
              <w:top w:val="nil"/>
              <w:left w:val="nil"/>
              <w:bottom w:val="single" w:sz="8" w:space="0" w:color="BFBFBF"/>
              <w:right w:val="single" w:sz="8" w:space="0" w:color="BFBFBF"/>
            </w:tcBorders>
            <w:shd w:val="clear" w:color="auto" w:fill="auto"/>
            <w:noWrap/>
            <w:vAlign w:val="center"/>
            <w:hideMark/>
          </w:tcPr>
          <w:p w14:paraId="6248006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7F43A32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60D6795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agregado de las 32 entidades federativas.</w:t>
            </w:r>
          </w:p>
        </w:tc>
      </w:tr>
      <w:tr w:rsidR="002752B5" w:rsidRPr="009A501D" w14:paraId="4FF2761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544883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12AF46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7EF23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12 años y más que recibió, por teléfono celular o internet, mensajes ofensivos con insultos o burlas durante los últimos doce meses</w:t>
            </w:r>
          </w:p>
        </w:tc>
        <w:tc>
          <w:tcPr>
            <w:tcW w:w="428" w:type="pct"/>
            <w:tcBorders>
              <w:top w:val="nil"/>
              <w:left w:val="nil"/>
              <w:bottom w:val="single" w:sz="8" w:space="0" w:color="BFBFBF"/>
              <w:right w:val="single" w:sz="8" w:space="0" w:color="BFBFBF"/>
            </w:tcBorders>
            <w:shd w:val="clear" w:color="auto" w:fill="auto"/>
            <w:noWrap/>
            <w:vAlign w:val="center"/>
            <w:hideMark/>
          </w:tcPr>
          <w:p w14:paraId="5C3A90A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4DCB51A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C08FD8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D43C64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3AA03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C463B7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D63119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12 años y más que le hicieron, por teléfono celular o internet, insinuaciones o propuestas sexuales que le molestaron durante los últimos doce meses</w:t>
            </w:r>
          </w:p>
        </w:tc>
        <w:tc>
          <w:tcPr>
            <w:tcW w:w="428" w:type="pct"/>
            <w:tcBorders>
              <w:top w:val="nil"/>
              <w:left w:val="nil"/>
              <w:bottom w:val="single" w:sz="8" w:space="0" w:color="BFBFBF"/>
              <w:right w:val="single" w:sz="8" w:space="0" w:color="BFBFBF"/>
            </w:tcBorders>
            <w:shd w:val="clear" w:color="auto" w:fill="auto"/>
            <w:noWrap/>
            <w:vAlign w:val="center"/>
            <w:hideMark/>
          </w:tcPr>
          <w:p w14:paraId="1CA7199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518D64C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85F5B7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BFE30E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C1A95E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2F52E9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308F38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12 años y más que recibió, por teléfono celular o internet, fotos o vídeos de contenido sexual que le molestaron durante los últimos doce meses</w:t>
            </w:r>
          </w:p>
        </w:tc>
        <w:tc>
          <w:tcPr>
            <w:tcW w:w="428" w:type="pct"/>
            <w:tcBorders>
              <w:top w:val="nil"/>
              <w:left w:val="nil"/>
              <w:bottom w:val="single" w:sz="8" w:space="0" w:color="BFBFBF"/>
              <w:right w:val="single" w:sz="8" w:space="0" w:color="BFBFBF"/>
            </w:tcBorders>
            <w:shd w:val="clear" w:color="auto" w:fill="auto"/>
            <w:noWrap/>
            <w:vAlign w:val="center"/>
            <w:hideMark/>
          </w:tcPr>
          <w:p w14:paraId="297457D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6F5BABD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ADC99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1B24601"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11A77E2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19EEBB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MODECULT</w:t>
            </w:r>
          </w:p>
        </w:tc>
        <w:tc>
          <w:tcPr>
            <w:tcW w:w="2003" w:type="pct"/>
            <w:tcBorders>
              <w:top w:val="nil"/>
              <w:left w:val="nil"/>
              <w:bottom w:val="single" w:sz="8" w:space="0" w:color="BFBFBF"/>
              <w:right w:val="single" w:sz="8" w:space="0" w:color="BFBFBF"/>
            </w:tcBorders>
            <w:shd w:val="clear" w:color="000000" w:fill="F2F2F2"/>
            <w:vAlign w:val="center"/>
            <w:hideMark/>
          </w:tcPr>
          <w:p w14:paraId="28C6A8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años que asistió a eventos culturales de obra de teatro</w:t>
            </w:r>
          </w:p>
        </w:tc>
        <w:tc>
          <w:tcPr>
            <w:tcW w:w="428" w:type="pct"/>
            <w:tcBorders>
              <w:top w:val="nil"/>
              <w:left w:val="nil"/>
              <w:bottom w:val="single" w:sz="8" w:space="0" w:color="BFBFBF"/>
              <w:right w:val="single" w:sz="8" w:space="0" w:color="BFBFBF"/>
            </w:tcBorders>
            <w:shd w:val="clear" w:color="000000" w:fill="F2F2F2"/>
            <w:noWrap/>
            <w:vAlign w:val="center"/>
            <w:hideMark/>
          </w:tcPr>
          <w:p w14:paraId="683AED1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7A7A810"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5</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35E7339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agregado de las 32 áreas urbanas de interés.</w:t>
            </w:r>
          </w:p>
        </w:tc>
      </w:tr>
      <w:tr w:rsidR="002752B5" w:rsidRPr="009A501D" w14:paraId="4B184D3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F343F4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26D23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2FF89F2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años que asistió a eventos culturales de concierto o presentación de música en vivo</w:t>
            </w:r>
          </w:p>
        </w:tc>
        <w:tc>
          <w:tcPr>
            <w:tcW w:w="428" w:type="pct"/>
            <w:tcBorders>
              <w:top w:val="nil"/>
              <w:left w:val="nil"/>
              <w:bottom w:val="single" w:sz="8" w:space="0" w:color="BFBFBF"/>
              <w:right w:val="single" w:sz="8" w:space="0" w:color="BFBFBF"/>
            </w:tcBorders>
            <w:shd w:val="clear" w:color="000000" w:fill="F2F2F2"/>
            <w:noWrap/>
            <w:vAlign w:val="center"/>
            <w:hideMark/>
          </w:tcPr>
          <w:p w14:paraId="6FFE5BF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0C1BA19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B13365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53B46C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E573E3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3FB0B9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0F8758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años que asistió a eventos culturales de espectáculo de danza</w:t>
            </w:r>
          </w:p>
        </w:tc>
        <w:tc>
          <w:tcPr>
            <w:tcW w:w="428" w:type="pct"/>
            <w:tcBorders>
              <w:top w:val="nil"/>
              <w:left w:val="nil"/>
              <w:bottom w:val="single" w:sz="8" w:space="0" w:color="BFBFBF"/>
              <w:right w:val="single" w:sz="8" w:space="0" w:color="BFBFBF"/>
            </w:tcBorders>
            <w:shd w:val="clear" w:color="000000" w:fill="F2F2F2"/>
            <w:noWrap/>
            <w:vAlign w:val="center"/>
            <w:hideMark/>
          </w:tcPr>
          <w:p w14:paraId="56C07AA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312E39A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565961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B1CD04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E16D4A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CE9B3E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CA7BAE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años que asistió a eventos culturales de exposición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49BAE24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21887379"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AC2B81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D99799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B6EF4A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AAD9CB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162DD3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años que asistió a eventos culturales de proyección de película o cine</w:t>
            </w:r>
          </w:p>
        </w:tc>
        <w:tc>
          <w:tcPr>
            <w:tcW w:w="428" w:type="pct"/>
            <w:tcBorders>
              <w:top w:val="nil"/>
              <w:left w:val="nil"/>
              <w:bottom w:val="single" w:sz="8" w:space="0" w:color="BFBFBF"/>
              <w:right w:val="single" w:sz="8" w:space="0" w:color="BFBFBF"/>
            </w:tcBorders>
            <w:shd w:val="clear" w:color="000000" w:fill="F2F2F2"/>
            <w:noWrap/>
            <w:vAlign w:val="center"/>
            <w:hideMark/>
          </w:tcPr>
          <w:p w14:paraId="78CD902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0120D84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416E6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8DA9CC2"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auto" w:fill="auto"/>
            <w:noWrap/>
            <w:vAlign w:val="center"/>
            <w:hideMark/>
          </w:tcPr>
          <w:p w14:paraId="63DB4EE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auto" w:fill="auto"/>
            <w:noWrap/>
            <w:vAlign w:val="center"/>
            <w:hideMark/>
          </w:tcPr>
          <w:p w14:paraId="6F6EF01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MOLEC</w:t>
            </w:r>
          </w:p>
        </w:tc>
        <w:tc>
          <w:tcPr>
            <w:tcW w:w="2003" w:type="pct"/>
            <w:tcBorders>
              <w:top w:val="nil"/>
              <w:left w:val="nil"/>
              <w:bottom w:val="single" w:sz="8" w:space="0" w:color="BFBFBF"/>
              <w:right w:val="single" w:sz="8" w:space="0" w:color="BFBFBF"/>
            </w:tcBorders>
            <w:shd w:val="clear" w:color="auto" w:fill="auto"/>
            <w:vAlign w:val="center"/>
            <w:hideMark/>
          </w:tcPr>
          <w:p w14:paraId="0DFCE1E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Población </w:t>
            </w:r>
            <w:proofErr w:type="spellStart"/>
            <w:r w:rsidRPr="009A501D">
              <w:rPr>
                <w:rFonts w:ascii="Century Gothic" w:eastAsia="Times New Roman" w:hAnsi="Century Gothic" w:cs="Calibri"/>
                <w:color w:val="000000"/>
                <w:sz w:val="16"/>
                <w:szCs w:val="16"/>
                <w:lang w:eastAsia="es-MX"/>
              </w:rPr>
              <w:t>alfabeta</w:t>
            </w:r>
            <w:proofErr w:type="spellEnd"/>
            <w:r w:rsidRPr="009A501D">
              <w:rPr>
                <w:rFonts w:ascii="Century Gothic" w:eastAsia="Times New Roman" w:hAnsi="Century Gothic" w:cs="Calibri"/>
                <w:color w:val="000000"/>
                <w:sz w:val="16"/>
                <w:szCs w:val="16"/>
                <w:lang w:eastAsia="es-MX"/>
              </w:rPr>
              <w:t xml:space="preserve"> de 18 años y más que percibe tener el hábito de lectura</w:t>
            </w:r>
          </w:p>
        </w:tc>
        <w:tc>
          <w:tcPr>
            <w:tcW w:w="428" w:type="pct"/>
            <w:tcBorders>
              <w:top w:val="nil"/>
              <w:left w:val="nil"/>
              <w:bottom w:val="single" w:sz="8" w:space="0" w:color="BFBFBF"/>
              <w:right w:val="single" w:sz="8" w:space="0" w:color="BFBFBF"/>
            </w:tcBorders>
            <w:shd w:val="clear" w:color="auto" w:fill="auto"/>
            <w:noWrap/>
            <w:vAlign w:val="center"/>
            <w:hideMark/>
          </w:tcPr>
          <w:p w14:paraId="3973C61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tcBorders>
              <w:top w:val="nil"/>
              <w:left w:val="nil"/>
              <w:bottom w:val="single" w:sz="8" w:space="0" w:color="BFBFBF"/>
              <w:right w:val="single" w:sz="8" w:space="0" w:color="BFBFBF"/>
            </w:tcBorders>
            <w:shd w:val="clear" w:color="auto" w:fill="auto"/>
            <w:noWrap/>
            <w:vAlign w:val="center"/>
            <w:hideMark/>
          </w:tcPr>
          <w:p w14:paraId="29844D42"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w:t>
            </w:r>
          </w:p>
        </w:tc>
        <w:tc>
          <w:tcPr>
            <w:tcW w:w="1292" w:type="pct"/>
            <w:tcBorders>
              <w:top w:val="nil"/>
              <w:left w:val="nil"/>
              <w:bottom w:val="single" w:sz="8" w:space="0" w:color="BFBFBF"/>
              <w:right w:val="single" w:sz="8" w:space="0" w:color="BFBFBF"/>
            </w:tcBorders>
            <w:shd w:val="clear" w:color="auto" w:fill="auto"/>
            <w:vAlign w:val="center"/>
            <w:hideMark/>
          </w:tcPr>
          <w:p w14:paraId="5394A71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agregado de las 32 áreas urbanas de interés.</w:t>
            </w:r>
          </w:p>
        </w:tc>
      </w:tr>
      <w:tr w:rsidR="002752B5" w:rsidRPr="009A501D" w14:paraId="5D92E48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5BC86E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6C914B1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MOPRADEF</w:t>
            </w:r>
          </w:p>
        </w:tc>
        <w:tc>
          <w:tcPr>
            <w:tcW w:w="2003" w:type="pct"/>
            <w:tcBorders>
              <w:top w:val="nil"/>
              <w:left w:val="nil"/>
              <w:bottom w:val="single" w:sz="8" w:space="0" w:color="BFBFBF"/>
              <w:right w:val="single" w:sz="8" w:space="0" w:color="BFBFBF"/>
            </w:tcBorders>
            <w:shd w:val="clear" w:color="000000" w:fill="F2F2F2"/>
            <w:vAlign w:val="center"/>
            <w:hideMark/>
          </w:tcPr>
          <w:p w14:paraId="1CFAFAD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activa físicamente</w:t>
            </w:r>
          </w:p>
        </w:tc>
        <w:tc>
          <w:tcPr>
            <w:tcW w:w="428" w:type="pct"/>
            <w:tcBorders>
              <w:top w:val="nil"/>
              <w:left w:val="nil"/>
              <w:bottom w:val="single" w:sz="8" w:space="0" w:color="BFBFBF"/>
              <w:right w:val="single" w:sz="8" w:space="0" w:color="BFBFBF"/>
            </w:tcBorders>
            <w:shd w:val="clear" w:color="000000" w:fill="F2F2F2"/>
            <w:noWrap/>
            <w:vAlign w:val="center"/>
            <w:hideMark/>
          </w:tcPr>
          <w:p w14:paraId="6375CE3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974F217"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6</w:t>
            </w: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56783B9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 agregado de las 32 áreas urbanas de interés.</w:t>
            </w:r>
          </w:p>
        </w:tc>
      </w:tr>
      <w:tr w:rsidR="002752B5" w:rsidRPr="009A501D" w14:paraId="0054239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755CC4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189E92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2C33E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activa físicamente con nivel de intensidad suficiente de práctica físico-deportiva</w:t>
            </w:r>
          </w:p>
        </w:tc>
        <w:tc>
          <w:tcPr>
            <w:tcW w:w="428" w:type="pct"/>
            <w:tcBorders>
              <w:top w:val="nil"/>
              <w:left w:val="nil"/>
              <w:bottom w:val="single" w:sz="8" w:space="0" w:color="BFBFBF"/>
              <w:right w:val="single" w:sz="8" w:space="0" w:color="BFBFBF"/>
            </w:tcBorders>
            <w:shd w:val="clear" w:color="000000" w:fill="F2F2F2"/>
            <w:noWrap/>
            <w:vAlign w:val="center"/>
            <w:hideMark/>
          </w:tcPr>
          <w:p w14:paraId="1731AA8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6768FE4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1EEC6F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53905B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6E6F9C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608320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374721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activa físicamente con nivel de intensidad insuficiente de práctica físico-deportiva</w:t>
            </w:r>
          </w:p>
        </w:tc>
        <w:tc>
          <w:tcPr>
            <w:tcW w:w="428" w:type="pct"/>
            <w:tcBorders>
              <w:top w:val="nil"/>
              <w:left w:val="nil"/>
              <w:bottom w:val="single" w:sz="8" w:space="0" w:color="BFBFBF"/>
              <w:right w:val="single" w:sz="8" w:space="0" w:color="BFBFBF"/>
            </w:tcBorders>
            <w:shd w:val="clear" w:color="000000" w:fill="F2F2F2"/>
            <w:noWrap/>
            <w:vAlign w:val="center"/>
            <w:hideMark/>
          </w:tcPr>
          <w:p w14:paraId="7549A8A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25D7253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9BCA5F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FDBC33C"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79E4F9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F615B6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4FD6E8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inactiva físicamente</w:t>
            </w:r>
          </w:p>
        </w:tc>
        <w:tc>
          <w:tcPr>
            <w:tcW w:w="428" w:type="pct"/>
            <w:tcBorders>
              <w:top w:val="nil"/>
              <w:left w:val="nil"/>
              <w:bottom w:val="single" w:sz="8" w:space="0" w:color="BFBFBF"/>
              <w:right w:val="single" w:sz="8" w:space="0" w:color="BFBFBF"/>
            </w:tcBorders>
            <w:shd w:val="clear" w:color="000000" w:fill="F2F2F2"/>
            <w:noWrap/>
            <w:vAlign w:val="center"/>
            <w:hideMark/>
          </w:tcPr>
          <w:p w14:paraId="09868D6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09EBB07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1DE7F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489F03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CDDA3F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DE9474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495F456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inactiva físicamente que alguna vez realizó práctica físico-deportiva en el pasado</w:t>
            </w:r>
          </w:p>
        </w:tc>
        <w:tc>
          <w:tcPr>
            <w:tcW w:w="428" w:type="pct"/>
            <w:tcBorders>
              <w:top w:val="nil"/>
              <w:left w:val="nil"/>
              <w:bottom w:val="single" w:sz="8" w:space="0" w:color="BFBFBF"/>
              <w:right w:val="single" w:sz="8" w:space="0" w:color="BFBFBF"/>
            </w:tcBorders>
            <w:shd w:val="clear" w:color="000000" w:fill="F2F2F2"/>
            <w:noWrap/>
            <w:vAlign w:val="center"/>
            <w:hideMark/>
          </w:tcPr>
          <w:p w14:paraId="66F57FF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733C005F"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FE7393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BE4026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AD1E2B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0F2A9A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862F6D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de 18 años y más inactiva físicamente que nunca realizó práctica físico-deportiva en el pasado</w:t>
            </w:r>
          </w:p>
        </w:tc>
        <w:tc>
          <w:tcPr>
            <w:tcW w:w="428" w:type="pct"/>
            <w:tcBorders>
              <w:top w:val="nil"/>
              <w:left w:val="nil"/>
              <w:bottom w:val="single" w:sz="8" w:space="0" w:color="BFBFBF"/>
              <w:right w:val="single" w:sz="8" w:space="0" w:color="BFBFBF"/>
            </w:tcBorders>
            <w:shd w:val="clear" w:color="000000" w:fill="F2F2F2"/>
            <w:noWrap/>
            <w:vAlign w:val="center"/>
            <w:hideMark/>
          </w:tcPr>
          <w:p w14:paraId="67A425B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1F46C8C0"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990323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6571E2A"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653C5AA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76F2FA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ENCRIGE</w:t>
            </w:r>
          </w:p>
        </w:tc>
        <w:tc>
          <w:tcPr>
            <w:tcW w:w="2003" w:type="pct"/>
            <w:tcBorders>
              <w:top w:val="nil"/>
              <w:left w:val="nil"/>
              <w:bottom w:val="single" w:sz="8" w:space="0" w:color="BFBFBF"/>
              <w:right w:val="single" w:sz="8" w:space="0" w:color="BFBFBF"/>
            </w:tcBorders>
            <w:shd w:val="clear" w:color="auto" w:fill="auto"/>
            <w:vAlign w:val="center"/>
            <w:hideMark/>
          </w:tcPr>
          <w:p w14:paraId="5F8327B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que perciben que el marco regulatorio ha sido un obstáculo</w:t>
            </w:r>
          </w:p>
        </w:tc>
        <w:tc>
          <w:tcPr>
            <w:tcW w:w="428" w:type="pct"/>
            <w:tcBorders>
              <w:top w:val="nil"/>
              <w:left w:val="nil"/>
              <w:bottom w:val="single" w:sz="8" w:space="0" w:color="BFBFBF"/>
              <w:right w:val="single" w:sz="8" w:space="0" w:color="BFBFBF"/>
            </w:tcBorders>
            <w:shd w:val="clear" w:color="auto" w:fill="auto"/>
            <w:noWrap/>
            <w:vAlign w:val="center"/>
            <w:hideMark/>
          </w:tcPr>
          <w:p w14:paraId="4596F3A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B0EA157"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14</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0B50659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4A44638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72CFAD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39FCB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45AF64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el servicio de agua potable</w:t>
            </w:r>
          </w:p>
        </w:tc>
        <w:tc>
          <w:tcPr>
            <w:tcW w:w="428" w:type="pct"/>
            <w:tcBorders>
              <w:top w:val="nil"/>
              <w:left w:val="nil"/>
              <w:bottom w:val="single" w:sz="8" w:space="0" w:color="BFBFBF"/>
              <w:right w:val="single" w:sz="8" w:space="0" w:color="BFBFBF"/>
            </w:tcBorders>
            <w:shd w:val="clear" w:color="auto" w:fill="auto"/>
            <w:noWrap/>
            <w:vAlign w:val="center"/>
            <w:hideMark/>
          </w:tcPr>
          <w:p w14:paraId="60A7DEF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232147E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ED130A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2F0788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CAB7C0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9C2CD2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145F1A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el servicio de drenaje y alcantarillado</w:t>
            </w:r>
          </w:p>
        </w:tc>
        <w:tc>
          <w:tcPr>
            <w:tcW w:w="428" w:type="pct"/>
            <w:tcBorders>
              <w:top w:val="nil"/>
              <w:left w:val="nil"/>
              <w:bottom w:val="single" w:sz="8" w:space="0" w:color="BFBFBF"/>
              <w:right w:val="single" w:sz="8" w:space="0" w:color="BFBFBF"/>
            </w:tcBorders>
            <w:shd w:val="clear" w:color="auto" w:fill="auto"/>
            <w:noWrap/>
            <w:vAlign w:val="center"/>
            <w:hideMark/>
          </w:tcPr>
          <w:p w14:paraId="5354068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598C579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8092C2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1FB44E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E4D16F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E7774A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7C2D9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el servicio de policía</w:t>
            </w:r>
          </w:p>
        </w:tc>
        <w:tc>
          <w:tcPr>
            <w:tcW w:w="428" w:type="pct"/>
            <w:tcBorders>
              <w:top w:val="nil"/>
              <w:left w:val="nil"/>
              <w:bottom w:val="single" w:sz="8" w:space="0" w:color="BFBFBF"/>
              <w:right w:val="single" w:sz="8" w:space="0" w:color="BFBFBF"/>
            </w:tcBorders>
            <w:shd w:val="clear" w:color="auto" w:fill="auto"/>
            <w:noWrap/>
            <w:vAlign w:val="center"/>
            <w:hideMark/>
          </w:tcPr>
          <w:p w14:paraId="791ECB2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2D63A3B4"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28C0DD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8FF21D8"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F8EFEF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BD7907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17CEC79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el servicio de recolección de basura</w:t>
            </w:r>
          </w:p>
        </w:tc>
        <w:tc>
          <w:tcPr>
            <w:tcW w:w="428" w:type="pct"/>
            <w:tcBorders>
              <w:top w:val="nil"/>
              <w:left w:val="nil"/>
              <w:bottom w:val="single" w:sz="8" w:space="0" w:color="BFBFBF"/>
              <w:right w:val="single" w:sz="8" w:space="0" w:color="BFBFBF"/>
            </w:tcBorders>
            <w:shd w:val="clear" w:color="auto" w:fill="auto"/>
            <w:noWrap/>
            <w:vAlign w:val="center"/>
            <w:hideMark/>
          </w:tcPr>
          <w:p w14:paraId="72CB4D3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7C5DDF4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84C0F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E18276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EC23D5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CB77B8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760AFD3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el servicio del alumbrado público</w:t>
            </w:r>
          </w:p>
        </w:tc>
        <w:tc>
          <w:tcPr>
            <w:tcW w:w="428" w:type="pct"/>
            <w:tcBorders>
              <w:top w:val="nil"/>
              <w:left w:val="nil"/>
              <w:bottom w:val="single" w:sz="8" w:space="0" w:color="BFBFBF"/>
              <w:right w:val="single" w:sz="8" w:space="0" w:color="BFBFBF"/>
            </w:tcBorders>
            <w:shd w:val="clear" w:color="auto" w:fill="auto"/>
            <w:noWrap/>
            <w:vAlign w:val="center"/>
            <w:hideMark/>
          </w:tcPr>
          <w:p w14:paraId="1EA083D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0EEEA1C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3C02A0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2F6B1A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FAB84E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217B6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2C967E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las calles y avenidas</w:t>
            </w:r>
          </w:p>
        </w:tc>
        <w:tc>
          <w:tcPr>
            <w:tcW w:w="428" w:type="pct"/>
            <w:tcBorders>
              <w:top w:val="nil"/>
              <w:left w:val="nil"/>
              <w:bottom w:val="single" w:sz="8" w:space="0" w:color="BFBFBF"/>
              <w:right w:val="single" w:sz="8" w:space="0" w:color="BFBFBF"/>
            </w:tcBorders>
            <w:shd w:val="clear" w:color="auto" w:fill="auto"/>
            <w:noWrap/>
            <w:vAlign w:val="center"/>
            <w:hideMark/>
          </w:tcPr>
          <w:p w14:paraId="03A4694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5566B60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06161E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4188B5D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D09B3A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83EB82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92CAF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satisfecha con las carreteras y caminos sin cuota</w:t>
            </w:r>
          </w:p>
        </w:tc>
        <w:tc>
          <w:tcPr>
            <w:tcW w:w="428" w:type="pct"/>
            <w:tcBorders>
              <w:top w:val="nil"/>
              <w:left w:val="nil"/>
              <w:bottom w:val="single" w:sz="8" w:space="0" w:color="BFBFBF"/>
              <w:right w:val="single" w:sz="8" w:space="0" w:color="BFBFBF"/>
            </w:tcBorders>
            <w:shd w:val="clear" w:color="auto" w:fill="auto"/>
            <w:noWrap/>
            <w:vAlign w:val="center"/>
            <w:hideMark/>
          </w:tcPr>
          <w:p w14:paraId="025E457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759AD5D7"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00A98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66503A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4B60A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6B4E63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4F17E9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unidades económicas usuarias de internet</w:t>
            </w:r>
          </w:p>
        </w:tc>
        <w:tc>
          <w:tcPr>
            <w:tcW w:w="428" w:type="pct"/>
            <w:tcBorders>
              <w:top w:val="nil"/>
              <w:left w:val="nil"/>
              <w:bottom w:val="single" w:sz="8" w:space="0" w:color="BFBFBF"/>
              <w:right w:val="single" w:sz="8" w:space="0" w:color="BFBFBF"/>
            </w:tcBorders>
            <w:shd w:val="clear" w:color="auto" w:fill="auto"/>
            <w:noWrap/>
            <w:vAlign w:val="center"/>
            <w:hideMark/>
          </w:tcPr>
          <w:p w14:paraId="5F9224D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049B6E7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59E8E34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DE9F63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C49C8C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5A758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6FFEC05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Tasa de víctimas de corrupción</w:t>
            </w:r>
          </w:p>
        </w:tc>
        <w:tc>
          <w:tcPr>
            <w:tcW w:w="428" w:type="pct"/>
            <w:tcBorders>
              <w:top w:val="nil"/>
              <w:left w:val="nil"/>
              <w:bottom w:val="single" w:sz="8" w:space="0" w:color="BFBFBF"/>
              <w:right w:val="single" w:sz="8" w:space="0" w:color="BFBFBF"/>
            </w:tcBorders>
            <w:shd w:val="clear" w:color="auto" w:fill="auto"/>
            <w:noWrap/>
            <w:vAlign w:val="center"/>
            <w:hideMark/>
          </w:tcPr>
          <w:p w14:paraId="1B24E25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477" w:type="pct"/>
            <w:vMerge/>
            <w:tcBorders>
              <w:top w:val="nil"/>
              <w:left w:val="single" w:sz="8" w:space="0" w:color="BFBFBF"/>
              <w:bottom w:val="single" w:sz="8" w:space="0" w:color="BFBFBF"/>
              <w:right w:val="single" w:sz="8" w:space="0" w:color="BFBFBF"/>
            </w:tcBorders>
            <w:vAlign w:val="center"/>
            <w:hideMark/>
          </w:tcPr>
          <w:p w14:paraId="710C8B8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0950DAE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tamaño de la UE.</w:t>
            </w:r>
          </w:p>
        </w:tc>
      </w:tr>
      <w:tr w:rsidR="002752B5" w:rsidRPr="009A501D" w14:paraId="15A90A61"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1397FF0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DGIAI</w:t>
            </w:r>
          </w:p>
        </w:tc>
        <w:tc>
          <w:tcPr>
            <w:tcW w:w="428" w:type="pct"/>
            <w:tcBorders>
              <w:top w:val="nil"/>
              <w:left w:val="nil"/>
              <w:bottom w:val="single" w:sz="8" w:space="0" w:color="BFBFBF"/>
              <w:right w:val="single" w:sz="8" w:space="0" w:color="BFBFBF"/>
            </w:tcBorders>
            <w:shd w:val="clear" w:color="000000" w:fill="F2F2F2"/>
            <w:noWrap/>
            <w:vAlign w:val="center"/>
            <w:hideMark/>
          </w:tcPr>
          <w:p w14:paraId="491EFE5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ENBIARE</w:t>
            </w:r>
          </w:p>
        </w:tc>
        <w:tc>
          <w:tcPr>
            <w:tcW w:w="2003" w:type="pct"/>
            <w:tcBorders>
              <w:top w:val="nil"/>
              <w:left w:val="nil"/>
              <w:bottom w:val="single" w:sz="8" w:space="0" w:color="BFBFBF"/>
              <w:right w:val="single" w:sz="8" w:space="0" w:color="BFBFBF"/>
            </w:tcBorders>
            <w:shd w:val="clear" w:color="000000" w:fill="F2F2F2"/>
            <w:vAlign w:val="center"/>
            <w:hideMark/>
          </w:tcPr>
          <w:p w14:paraId="450F364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Índice de Bienestar </w:t>
            </w:r>
            <w:proofErr w:type="spellStart"/>
            <w:r w:rsidRPr="009A501D">
              <w:rPr>
                <w:rFonts w:ascii="Century Gothic" w:eastAsia="Times New Roman" w:hAnsi="Century Gothic" w:cs="Calibri"/>
                <w:color w:val="000000"/>
                <w:sz w:val="16"/>
                <w:szCs w:val="16"/>
                <w:lang w:eastAsia="es-MX"/>
              </w:rPr>
              <w:t>Autorreportado</w:t>
            </w:r>
            <w:proofErr w:type="spellEnd"/>
          </w:p>
        </w:tc>
        <w:tc>
          <w:tcPr>
            <w:tcW w:w="428" w:type="pct"/>
            <w:tcBorders>
              <w:top w:val="nil"/>
              <w:left w:val="nil"/>
              <w:bottom w:val="single" w:sz="8" w:space="0" w:color="BFBFBF"/>
              <w:right w:val="single" w:sz="8" w:space="0" w:color="BFBFBF"/>
            </w:tcBorders>
            <w:shd w:val="clear" w:color="000000" w:fill="F2F2F2"/>
            <w:noWrap/>
            <w:vAlign w:val="center"/>
            <w:hideMark/>
          </w:tcPr>
          <w:p w14:paraId="73A30FBF"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tcBorders>
              <w:top w:val="nil"/>
              <w:left w:val="nil"/>
              <w:bottom w:val="single" w:sz="8" w:space="0" w:color="BFBFBF"/>
              <w:right w:val="single" w:sz="8" w:space="0" w:color="BFBFBF"/>
            </w:tcBorders>
            <w:shd w:val="clear" w:color="000000" w:fill="F2F2F2"/>
            <w:noWrap/>
            <w:vAlign w:val="center"/>
            <w:hideMark/>
          </w:tcPr>
          <w:p w14:paraId="51A0022E"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33</w:t>
            </w:r>
          </w:p>
        </w:tc>
        <w:tc>
          <w:tcPr>
            <w:tcW w:w="1292" w:type="pct"/>
            <w:tcBorders>
              <w:top w:val="nil"/>
              <w:left w:val="nil"/>
              <w:bottom w:val="single" w:sz="8" w:space="0" w:color="BFBFBF"/>
              <w:right w:val="single" w:sz="8" w:space="0" w:color="BFBFBF"/>
            </w:tcBorders>
            <w:shd w:val="clear" w:color="000000" w:fill="F2F2F2"/>
            <w:vAlign w:val="center"/>
            <w:hideMark/>
          </w:tcPr>
          <w:p w14:paraId="028078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16A86092"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0FFF42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646162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ENFIH</w:t>
            </w:r>
          </w:p>
        </w:tc>
        <w:tc>
          <w:tcPr>
            <w:tcW w:w="2003" w:type="pct"/>
            <w:tcBorders>
              <w:top w:val="nil"/>
              <w:left w:val="nil"/>
              <w:bottom w:val="single" w:sz="8" w:space="0" w:color="BFBFBF"/>
              <w:right w:val="single" w:sz="8" w:space="0" w:color="BFBFBF"/>
            </w:tcBorders>
            <w:shd w:val="clear" w:color="auto" w:fill="auto"/>
            <w:vAlign w:val="center"/>
            <w:hideMark/>
          </w:tcPr>
          <w:p w14:paraId="09CD4A9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Ingreso corriente efectivo anualizado (miles de pesos)</w:t>
            </w:r>
          </w:p>
        </w:tc>
        <w:tc>
          <w:tcPr>
            <w:tcW w:w="428" w:type="pct"/>
            <w:tcBorders>
              <w:top w:val="nil"/>
              <w:left w:val="nil"/>
              <w:bottom w:val="single" w:sz="8" w:space="0" w:color="BFBFBF"/>
              <w:right w:val="single" w:sz="8" w:space="0" w:color="BFBFBF"/>
            </w:tcBorders>
            <w:shd w:val="clear" w:color="auto" w:fill="auto"/>
            <w:noWrap/>
            <w:vAlign w:val="center"/>
            <w:hideMark/>
          </w:tcPr>
          <w:p w14:paraId="23B3239A"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A698CE2"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2</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E4E8DF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w:t>
            </w:r>
          </w:p>
        </w:tc>
      </w:tr>
      <w:tr w:rsidR="002752B5" w:rsidRPr="009A501D" w14:paraId="5B0A572A"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48D8AD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514571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85DBFF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Riqueza neta al momento de la entrevista (miles de pesos)</w:t>
            </w:r>
          </w:p>
        </w:tc>
        <w:tc>
          <w:tcPr>
            <w:tcW w:w="428" w:type="pct"/>
            <w:tcBorders>
              <w:top w:val="nil"/>
              <w:left w:val="nil"/>
              <w:bottom w:val="single" w:sz="8" w:space="0" w:color="BFBFBF"/>
              <w:right w:val="single" w:sz="8" w:space="0" w:color="BFBFBF"/>
            </w:tcBorders>
            <w:shd w:val="clear" w:color="auto" w:fill="auto"/>
            <w:noWrap/>
            <w:vAlign w:val="center"/>
            <w:hideMark/>
          </w:tcPr>
          <w:p w14:paraId="0F98FE9B"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tcBorders>
              <w:top w:val="nil"/>
              <w:left w:val="single" w:sz="8" w:space="0" w:color="BFBFBF"/>
              <w:bottom w:val="single" w:sz="8" w:space="0" w:color="BFBFBF"/>
              <w:right w:val="single" w:sz="8" w:space="0" w:color="BFBFBF"/>
            </w:tcBorders>
            <w:vAlign w:val="center"/>
            <w:hideMark/>
          </w:tcPr>
          <w:p w14:paraId="7B6C3E6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2A3A55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5307164"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36BEC35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F58023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ENPOL</w:t>
            </w:r>
          </w:p>
        </w:tc>
        <w:tc>
          <w:tcPr>
            <w:tcW w:w="2003" w:type="pct"/>
            <w:tcBorders>
              <w:top w:val="nil"/>
              <w:left w:val="nil"/>
              <w:bottom w:val="single" w:sz="8" w:space="0" w:color="BFBFBF"/>
              <w:right w:val="single" w:sz="8" w:space="0" w:color="BFBFBF"/>
            </w:tcBorders>
            <w:shd w:val="clear" w:color="000000" w:fill="F2F2F2"/>
            <w:vAlign w:val="center"/>
            <w:hideMark/>
          </w:tcPr>
          <w:p w14:paraId="7E59171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privada de la libertad</w:t>
            </w:r>
          </w:p>
        </w:tc>
        <w:tc>
          <w:tcPr>
            <w:tcW w:w="428" w:type="pct"/>
            <w:tcBorders>
              <w:top w:val="nil"/>
              <w:left w:val="nil"/>
              <w:bottom w:val="single" w:sz="8" w:space="0" w:color="BFBFBF"/>
              <w:right w:val="single" w:sz="8" w:space="0" w:color="BFBFBF"/>
            </w:tcBorders>
            <w:shd w:val="clear" w:color="000000" w:fill="F2F2F2"/>
            <w:noWrap/>
            <w:vAlign w:val="center"/>
            <w:hideMark/>
          </w:tcPr>
          <w:p w14:paraId="3AD7F93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0A818D61"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462</w:t>
            </w:r>
          </w:p>
        </w:tc>
        <w:tc>
          <w:tcPr>
            <w:tcW w:w="1292" w:type="pct"/>
            <w:tcBorders>
              <w:top w:val="nil"/>
              <w:left w:val="nil"/>
              <w:bottom w:val="single" w:sz="8" w:space="0" w:color="BFBFBF"/>
              <w:right w:val="single" w:sz="8" w:space="0" w:color="BFBFBF"/>
            </w:tcBorders>
            <w:shd w:val="clear" w:color="000000" w:fill="F2F2F2"/>
            <w:vAlign w:val="center"/>
            <w:hideMark/>
          </w:tcPr>
          <w:p w14:paraId="27196B2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Según su situación jurídica</w:t>
            </w:r>
          </w:p>
        </w:tc>
      </w:tr>
      <w:tr w:rsidR="002752B5" w:rsidRPr="009A501D" w14:paraId="31757A6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E7AC1F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670539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E436B2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privada de la libertad que rindió su declaración ante el Ministerio Público y se declaró culpable.</w:t>
            </w:r>
          </w:p>
        </w:tc>
        <w:tc>
          <w:tcPr>
            <w:tcW w:w="428" w:type="pct"/>
            <w:tcBorders>
              <w:top w:val="nil"/>
              <w:left w:val="nil"/>
              <w:bottom w:val="single" w:sz="8" w:space="0" w:color="BFBFBF"/>
              <w:right w:val="single" w:sz="8" w:space="0" w:color="BFBFBF"/>
            </w:tcBorders>
            <w:shd w:val="clear" w:color="000000" w:fill="F2F2F2"/>
            <w:noWrap/>
            <w:vAlign w:val="center"/>
            <w:hideMark/>
          </w:tcPr>
          <w:p w14:paraId="5B72597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CDFCB3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val="restart"/>
            <w:tcBorders>
              <w:top w:val="nil"/>
              <w:left w:val="single" w:sz="8" w:space="0" w:color="BFBFBF"/>
              <w:bottom w:val="single" w:sz="8" w:space="0" w:color="BFBFBF"/>
              <w:right w:val="single" w:sz="8" w:space="0" w:color="BFBFBF"/>
            </w:tcBorders>
            <w:shd w:val="clear" w:color="000000" w:fill="F2F2F2"/>
            <w:vAlign w:val="center"/>
            <w:hideMark/>
          </w:tcPr>
          <w:p w14:paraId="4084607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2259375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2E51AE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A46022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ACE9EF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declaró haber sido implicada en la comisión de un delito.</w:t>
            </w:r>
          </w:p>
        </w:tc>
        <w:tc>
          <w:tcPr>
            <w:tcW w:w="428" w:type="pct"/>
            <w:tcBorders>
              <w:top w:val="nil"/>
              <w:left w:val="nil"/>
              <w:bottom w:val="single" w:sz="8" w:space="0" w:color="BFBFBF"/>
              <w:right w:val="single" w:sz="8" w:space="0" w:color="BFBFBF"/>
            </w:tcBorders>
            <w:shd w:val="clear" w:color="000000" w:fill="F2F2F2"/>
            <w:noWrap/>
            <w:vAlign w:val="center"/>
            <w:hideMark/>
          </w:tcPr>
          <w:p w14:paraId="43B63F8E"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1B0F6CA"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CF872C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2559D760"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53AD74D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4067A9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3DF88F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declaró haber sido víctima de al menos un delito ocurrido en el Centro penitenciario.</w:t>
            </w:r>
          </w:p>
        </w:tc>
        <w:tc>
          <w:tcPr>
            <w:tcW w:w="428" w:type="pct"/>
            <w:tcBorders>
              <w:top w:val="nil"/>
              <w:left w:val="nil"/>
              <w:bottom w:val="single" w:sz="8" w:space="0" w:color="BFBFBF"/>
              <w:right w:val="single" w:sz="8" w:space="0" w:color="BFBFBF"/>
            </w:tcBorders>
            <w:shd w:val="clear" w:color="000000" w:fill="F2F2F2"/>
            <w:noWrap/>
            <w:vAlign w:val="center"/>
            <w:hideMark/>
          </w:tcPr>
          <w:p w14:paraId="11956AC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2C2E3D5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4F425C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36D45E09"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2A84B6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D626E5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1430B07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identificó que el Centro penitenciario separa en instalaciones diferentes a internos sentenciados y a los internos procesados.</w:t>
            </w:r>
          </w:p>
        </w:tc>
        <w:tc>
          <w:tcPr>
            <w:tcW w:w="428" w:type="pct"/>
            <w:tcBorders>
              <w:top w:val="nil"/>
              <w:left w:val="nil"/>
              <w:bottom w:val="single" w:sz="8" w:space="0" w:color="BFBFBF"/>
              <w:right w:val="single" w:sz="8" w:space="0" w:color="BFBFBF"/>
            </w:tcBorders>
            <w:shd w:val="clear" w:color="000000" w:fill="F2F2F2"/>
            <w:noWrap/>
            <w:vAlign w:val="center"/>
            <w:hideMark/>
          </w:tcPr>
          <w:p w14:paraId="2AEF9FE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45D70BE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5EFAD3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743574C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0C28575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02AA5BF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5C96427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se siente insegura al interior del Centro penitenciario.</w:t>
            </w:r>
          </w:p>
        </w:tc>
        <w:tc>
          <w:tcPr>
            <w:tcW w:w="428" w:type="pct"/>
            <w:tcBorders>
              <w:top w:val="nil"/>
              <w:left w:val="nil"/>
              <w:bottom w:val="single" w:sz="8" w:space="0" w:color="BFBFBF"/>
              <w:right w:val="single" w:sz="8" w:space="0" w:color="BFBFBF"/>
            </w:tcBorders>
            <w:shd w:val="clear" w:color="000000" w:fill="F2F2F2"/>
            <w:noWrap/>
            <w:vAlign w:val="center"/>
            <w:hideMark/>
          </w:tcPr>
          <w:p w14:paraId="0B81544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7B8B38B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270B367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14D2790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41CDF8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15C9941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7141D86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señaló haber estado recluida previamente en un Centro penitenciario.</w:t>
            </w:r>
          </w:p>
        </w:tc>
        <w:tc>
          <w:tcPr>
            <w:tcW w:w="428" w:type="pct"/>
            <w:tcBorders>
              <w:top w:val="nil"/>
              <w:left w:val="nil"/>
              <w:bottom w:val="single" w:sz="8" w:space="0" w:color="BFBFBF"/>
              <w:right w:val="single" w:sz="8" w:space="0" w:color="BFBFBF"/>
            </w:tcBorders>
            <w:shd w:val="clear" w:color="000000" w:fill="F2F2F2"/>
            <w:noWrap/>
            <w:vAlign w:val="center"/>
            <w:hideMark/>
          </w:tcPr>
          <w:p w14:paraId="061859F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vMerge/>
            <w:tcBorders>
              <w:top w:val="nil"/>
              <w:left w:val="single" w:sz="8" w:space="0" w:color="BFBFBF"/>
              <w:bottom w:val="single" w:sz="8" w:space="0" w:color="BFBFBF"/>
              <w:right w:val="single" w:sz="8" w:space="0" w:color="BFBFBF"/>
            </w:tcBorders>
            <w:vAlign w:val="center"/>
            <w:hideMark/>
          </w:tcPr>
          <w:p w14:paraId="6F400B2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06F8E0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0CAB53A5"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9797DC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4DBD1C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300C856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fue detenida por alguna institución de seguridad pública.</w:t>
            </w:r>
          </w:p>
        </w:tc>
        <w:tc>
          <w:tcPr>
            <w:tcW w:w="428" w:type="pct"/>
            <w:tcBorders>
              <w:top w:val="nil"/>
              <w:left w:val="nil"/>
              <w:bottom w:val="single" w:sz="8" w:space="0" w:color="BFBFBF"/>
              <w:right w:val="single" w:sz="8" w:space="0" w:color="BFBFBF"/>
            </w:tcBorders>
            <w:shd w:val="clear" w:color="000000" w:fill="F2F2F2"/>
            <w:noWrap/>
            <w:vAlign w:val="center"/>
            <w:hideMark/>
          </w:tcPr>
          <w:p w14:paraId="6B65C74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3A9A13D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43F798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institución de seguridad pública</w:t>
            </w:r>
          </w:p>
        </w:tc>
      </w:tr>
      <w:tr w:rsidR="002752B5" w:rsidRPr="009A501D" w14:paraId="6BC8C3FD"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3B491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135E3F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6B77B47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Población privada de la libertad víctima de actos de corrupción (Tasa por cada mil personas privadas de la libertad).</w:t>
            </w:r>
          </w:p>
        </w:tc>
        <w:tc>
          <w:tcPr>
            <w:tcW w:w="428" w:type="pct"/>
            <w:tcBorders>
              <w:top w:val="nil"/>
              <w:left w:val="nil"/>
              <w:bottom w:val="single" w:sz="8" w:space="0" w:color="BFBFBF"/>
              <w:right w:val="single" w:sz="8" w:space="0" w:color="BFBFBF"/>
            </w:tcBorders>
            <w:shd w:val="clear" w:color="000000" w:fill="F2F2F2"/>
            <w:noWrap/>
            <w:vAlign w:val="center"/>
            <w:hideMark/>
          </w:tcPr>
          <w:p w14:paraId="6A53912C"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22F531B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3380B5B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lugar de ocurrencia</w:t>
            </w:r>
          </w:p>
        </w:tc>
      </w:tr>
      <w:tr w:rsidR="002752B5" w:rsidRPr="009A501D" w14:paraId="02C9F19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1013A0D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C0D5EF2"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000000" w:fill="F2F2F2"/>
            <w:vAlign w:val="center"/>
            <w:hideMark/>
          </w:tcPr>
          <w:p w14:paraId="08004EC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privada de la libertad que después de la detención sufrió algún acto de violencia, realizada o permitida por la policía o autoridad que realizó la detención.</w:t>
            </w:r>
          </w:p>
        </w:tc>
        <w:tc>
          <w:tcPr>
            <w:tcW w:w="428" w:type="pct"/>
            <w:tcBorders>
              <w:top w:val="nil"/>
              <w:left w:val="nil"/>
              <w:bottom w:val="single" w:sz="8" w:space="0" w:color="BFBFBF"/>
              <w:right w:val="single" w:sz="8" w:space="0" w:color="BFBFBF"/>
            </w:tcBorders>
            <w:shd w:val="clear" w:color="000000" w:fill="F2F2F2"/>
            <w:noWrap/>
            <w:vAlign w:val="center"/>
            <w:hideMark/>
          </w:tcPr>
          <w:p w14:paraId="0EDAA1C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66</w:t>
            </w:r>
          </w:p>
        </w:tc>
        <w:tc>
          <w:tcPr>
            <w:tcW w:w="477" w:type="pct"/>
            <w:vMerge/>
            <w:tcBorders>
              <w:top w:val="nil"/>
              <w:left w:val="single" w:sz="8" w:space="0" w:color="BFBFBF"/>
              <w:bottom w:val="single" w:sz="8" w:space="0" w:color="BFBFBF"/>
              <w:right w:val="single" w:sz="8" w:space="0" w:color="BFBFBF"/>
            </w:tcBorders>
            <w:vAlign w:val="center"/>
            <w:hideMark/>
          </w:tcPr>
          <w:p w14:paraId="747D0A55"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000000" w:fill="F2F2F2"/>
            <w:vAlign w:val="center"/>
            <w:hideMark/>
          </w:tcPr>
          <w:p w14:paraId="7C02642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 Por tipo de violencia</w:t>
            </w:r>
          </w:p>
        </w:tc>
      </w:tr>
      <w:tr w:rsidR="002752B5" w:rsidRPr="009A501D" w14:paraId="25097023"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845B5E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55F169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ENCUCI</w:t>
            </w:r>
          </w:p>
        </w:tc>
        <w:tc>
          <w:tcPr>
            <w:tcW w:w="2003" w:type="pct"/>
            <w:tcBorders>
              <w:top w:val="nil"/>
              <w:left w:val="nil"/>
              <w:bottom w:val="single" w:sz="8" w:space="0" w:color="BFBFBF"/>
              <w:right w:val="single" w:sz="8" w:space="0" w:color="BFBFBF"/>
            </w:tcBorders>
            <w:shd w:val="clear" w:color="auto" w:fill="auto"/>
            <w:vAlign w:val="center"/>
            <w:hideMark/>
          </w:tcPr>
          <w:p w14:paraId="6BF1680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por tipo de participación ciudadana directa y no electoral</w:t>
            </w:r>
          </w:p>
        </w:tc>
        <w:tc>
          <w:tcPr>
            <w:tcW w:w="428" w:type="pct"/>
            <w:tcBorders>
              <w:top w:val="nil"/>
              <w:left w:val="nil"/>
              <w:bottom w:val="single" w:sz="8" w:space="0" w:color="BFBFBF"/>
              <w:right w:val="single" w:sz="8" w:space="0" w:color="BFBFBF"/>
            </w:tcBorders>
            <w:shd w:val="clear" w:color="auto" w:fill="auto"/>
            <w:noWrap/>
            <w:vAlign w:val="center"/>
            <w:hideMark/>
          </w:tcPr>
          <w:p w14:paraId="2730CCF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16338296"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84</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125751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región</w:t>
            </w:r>
          </w:p>
        </w:tc>
      </w:tr>
      <w:tr w:rsidR="002752B5" w:rsidRPr="009A501D" w14:paraId="61A4556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61FA97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7B4D6E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2FA631D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confía completamente [08,09,10] en la mayoría de las personas</w:t>
            </w:r>
          </w:p>
        </w:tc>
        <w:tc>
          <w:tcPr>
            <w:tcW w:w="428" w:type="pct"/>
            <w:tcBorders>
              <w:top w:val="nil"/>
              <w:left w:val="nil"/>
              <w:bottom w:val="single" w:sz="8" w:space="0" w:color="BFBFBF"/>
              <w:right w:val="single" w:sz="8" w:space="0" w:color="BFBFBF"/>
            </w:tcBorders>
            <w:shd w:val="clear" w:color="auto" w:fill="auto"/>
            <w:noWrap/>
            <w:vAlign w:val="center"/>
            <w:hideMark/>
          </w:tcPr>
          <w:p w14:paraId="15D1F21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tcBorders>
              <w:top w:val="nil"/>
              <w:left w:val="single" w:sz="8" w:space="0" w:color="BFBFBF"/>
              <w:bottom w:val="single" w:sz="8" w:space="0" w:color="BFBFBF"/>
              <w:right w:val="single" w:sz="8" w:space="0" w:color="BFBFBF"/>
            </w:tcBorders>
            <w:vAlign w:val="center"/>
            <w:hideMark/>
          </w:tcPr>
          <w:p w14:paraId="32417463"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141AC28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8579553"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86C62D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7119EFC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B10C5B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confía completamente [08,09,10] en la mayoría de las personas que conoce personalmente</w:t>
            </w:r>
          </w:p>
        </w:tc>
        <w:tc>
          <w:tcPr>
            <w:tcW w:w="428" w:type="pct"/>
            <w:tcBorders>
              <w:top w:val="nil"/>
              <w:left w:val="nil"/>
              <w:bottom w:val="single" w:sz="8" w:space="0" w:color="BFBFBF"/>
              <w:right w:val="single" w:sz="8" w:space="0" w:color="BFBFBF"/>
            </w:tcBorders>
            <w:shd w:val="clear" w:color="auto" w:fill="auto"/>
            <w:noWrap/>
            <w:vAlign w:val="center"/>
            <w:hideMark/>
          </w:tcPr>
          <w:p w14:paraId="1D7DD34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tcBorders>
              <w:top w:val="nil"/>
              <w:left w:val="single" w:sz="8" w:space="0" w:color="BFBFBF"/>
              <w:bottom w:val="single" w:sz="8" w:space="0" w:color="BFBFBF"/>
              <w:right w:val="single" w:sz="8" w:space="0" w:color="BFBFBF"/>
            </w:tcBorders>
            <w:vAlign w:val="center"/>
            <w:hideMark/>
          </w:tcPr>
          <w:p w14:paraId="7F1EFD71"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2EDD02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58E580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308889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96CD0D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E95771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considera que la adopción de decisiones del gobierno es inclusiva y participativa</w:t>
            </w:r>
          </w:p>
        </w:tc>
        <w:tc>
          <w:tcPr>
            <w:tcW w:w="428" w:type="pct"/>
            <w:tcBorders>
              <w:top w:val="nil"/>
              <w:left w:val="nil"/>
              <w:bottom w:val="single" w:sz="8" w:space="0" w:color="BFBFBF"/>
              <w:right w:val="single" w:sz="8" w:space="0" w:color="BFBFBF"/>
            </w:tcBorders>
            <w:shd w:val="clear" w:color="auto" w:fill="auto"/>
            <w:noWrap/>
            <w:vAlign w:val="center"/>
            <w:hideMark/>
          </w:tcPr>
          <w:p w14:paraId="170782A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tcBorders>
              <w:top w:val="nil"/>
              <w:left w:val="single" w:sz="8" w:space="0" w:color="BFBFBF"/>
              <w:bottom w:val="single" w:sz="8" w:space="0" w:color="BFBFBF"/>
              <w:right w:val="single" w:sz="8" w:space="0" w:color="BFBFBF"/>
            </w:tcBorders>
            <w:vAlign w:val="center"/>
            <w:hideMark/>
          </w:tcPr>
          <w:p w14:paraId="162C28D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726C63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97804F4"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20D526D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2C40F04F"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524FE27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considera que posee habilidades y conocimientos políticos</w:t>
            </w:r>
          </w:p>
        </w:tc>
        <w:tc>
          <w:tcPr>
            <w:tcW w:w="428" w:type="pct"/>
            <w:tcBorders>
              <w:top w:val="nil"/>
              <w:left w:val="nil"/>
              <w:bottom w:val="single" w:sz="8" w:space="0" w:color="BFBFBF"/>
              <w:right w:val="single" w:sz="8" w:space="0" w:color="BFBFBF"/>
            </w:tcBorders>
            <w:shd w:val="clear" w:color="auto" w:fill="auto"/>
            <w:noWrap/>
            <w:vAlign w:val="center"/>
            <w:hideMark/>
          </w:tcPr>
          <w:p w14:paraId="5DB09C7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tcBorders>
              <w:top w:val="nil"/>
              <w:left w:val="single" w:sz="8" w:space="0" w:color="BFBFBF"/>
              <w:bottom w:val="single" w:sz="8" w:space="0" w:color="BFBFBF"/>
              <w:right w:val="single" w:sz="8" w:space="0" w:color="BFBFBF"/>
            </w:tcBorders>
            <w:vAlign w:val="center"/>
            <w:hideMark/>
          </w:tcPr>
          <w:p w14:paraId="5B6E7C62"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38A6939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F1CA78B"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3C62F85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BDD99B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3F5FBEBA"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considera que tener derechos es la característica principal de la ciudadanía</w:t>
            </w:r>
          </w:p>
        </w:tc>
        <w:tc>
          <w:tcPr>
            <w:tcW w:w="428" w:type="pct"/>
            <w:tcBorders>
              <w:top w:val="nil"/>
              <w:left w:val="nil"/>
              <w:bottom w:val="single" w:sz="8" w:space="0" w:color="BFBFBF"/>
              <w:right w:val="single" w:sz="8" w:space="0" w:color="BFBFBF"/>
            </w:tcBorders>
            <w:shd w:val="clear" w:color="auto" w:fill="auto"/>
            <w:noWrap/>
            <w:vAlign w:val="center"/>
            <w:hideMark/>
          </w:tcPr>
          <w:p w14:paraId="5724C1F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477" w:type="pct"/>
            <w:vMerge/>
            <w:tcBorders>
              <w:top w:val="nil"/>
              <w:left w:val="single" w:sz="8" w:space="0" w:color="BFBFBF"/>
              <w:bottom w:val="single" w:sz="8" w:space="0" w:color="BFBFBF"/>
              <w:right w:val="single" w:sz="8" w:space="0" w:color="BFBFBF"/>
            </w:tcBorders>
            <w:vAlign w:val="center"/>
            <w:hideMark/>
          </w:tcPr>
          <w:p w14:paraId="3831AC6C"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64B06B99"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68B8314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9546CF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66E5280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003D8EC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15 años y más que está de acuerdo en que las personas de grupos de minorías participen en las elecciones a cargos públicos</w:t>
            </w:r>
          </w:p>
        </w:tc>
        <w:tc>
          <w:tcPr>
            <w:tcW w:w="428" w:type="pct"/>
            <w:tcBorders>
              <w:top w:val="nil"/>
              <w:left w:val="nil"/>
              <w:bottom w:val="single" w:sz="8" w:space="0" w:color="BFBFBF"/>
              <w:right w:val="single" w:sz="8" w:space="0" w:color="BFBFBF"/>
            </w:tcBorders>
            <w:shd w:val="clear" w:color="auto" w:fill="auto"/>
            <w:noWrap/>
            <w:vAlign w:val="center"/>
            <w:hideMark/>
          </w:tcPr>
          <w:p w14:paraId="549A3F67"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477" w:type="pct"/>
            <w:vMerge/>
            <w:tcBorders>
              <w:top w:val="nil"/>
              <w:left w:val="single" w:sz="8" w:space="0" w:color="BFBFBF"/>
              <w:bottom w:val="single" w:sz="8" w:space="0" w:color="BFBFBF"/>
              <w:right w:val="single" w:sz="8" w:space="0" w:color="BFBFBF"/>
            </w:tcBorders>
            <w:vAlign w:val="center"/>
            <w:hideMark/>
          </w:tcPr>
          <w:p w14:paraId="3C7F429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792A597E"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región; Por grupo de minoría</w:t>
            </w:r>
          </w:p>
        </w:tc>
      </w:tr>
      <w:tr w:rsidR="002752B5" w:rsidRPr="009A501D" w14:paraId="10B2EEA7"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D47706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38AFB958"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2003" w:type="pct"/>
            <w:tcBorders>
              <w:top w:val="nil"/>
              <w:left w:val="nil"/>
              <w:bottom w:val="single" w:sz="8" w:space="0" w:color="BFBFBF"/>
              <w:right w:val="single" w:sz="8" w:space="0" w:color="BFBFBF"/>
            </w:tcBorders>
            <w:shd w:val="clear" w:color="auto" w:fill="auto"/>
            <w:vAlign w:val="center"/>
            <w:hideMark/>
          </w:tcPr>
          <w:p w14:paraId="486639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de 18 años y más que declaró un motivo para no integrarse a las formas de participación</w:t>
            </w:r>
          </w:p>
        </w:tc>
        <w:tc>
          <w:tcPr>
            <w:tcW w:w="428" w:type="pct"/>
            <w:tcBorders>
              <w:top w:val="nil"/>
              <w:left w:val="nil"/>
              <w:bottom w:val="single" w:sz="8" w:space="0" w:color="BFBFBF"/>
              <w:right w:val="single" w:sz="8" w:space="0" w:color="BFBFBF"/>
            </w:tcBorders>
            <w:shd w:val="clear" w:color="auto" w:fill="auto"/>
            <w:noWrap/>
            <w:vAlign w:val="center"/>
            <w:hideMark/>
          </w:tcPr>
          <w:p w14:paraId="14A9E6B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477" w:type="pct"/>
            <w:vMerge/>
            <w:tcBorders>
              <w:top w:val="nil"/>
              <w:left w:val="single" w:sz="8" w:space="0" w:color="BFBFBF"/>
              <w:bottom w:val="single" w:sz="8" w:space="0" w:color="BFBFBF"/>
              <w:right w:val="single" w:sz="8" w:space="0" w:color="BFBFBF"/>
            </w:tcBorders>
            <w:vAlign w:val="center"/>
            <w:hideMark/>
          </w:tcPr>
          <w:p w14:paraId="550440B6"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tcBorders>
              <w:top w:val="nil"/>
              <w:left w:val="nil"/>
              <w:bottom w:val="single" w:sz="8" w:space="0" w:color="BFBFBF"/>
              <w:right w:val="single" w:sz="8" w:space="0" w:color="BFBFBF"/>
            </w:tcBorders>
            <w:shd w:val="clear" w:color="auto" w:fill="auto"/>
            <w:vAlign w:val="center"/>
            <w:hideMark/>
          </w:tcPr>
          <w:p w14:paraId="1F335E3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región; Por motivo declarado</w:t>
            </w:r>
          </w:p>
        </w:tc>
      </w:tr>
      <w:tr w:rsidR="002752B5" w:rsidRPr="009A501D" w14:paraId="3D25303B"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3B7A41C1"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428" w:type="pct"/>
            <w:tcBorders>
              <w:top w:val="nil"/>
              <w:left w:val="nil"/>
              <w:bottom w:val="single" w:sz="8" w:space="0" w:color="BFBFBF"/>
              <w:right w:val="single" w:sz="8" w:space="0" w:color="BFBFBF"/>
            </w:tcBorders>
            <w:shd w:val="clear" w:color="000000" w:fill="F2F2F2"/>
            <w:noWrap/>
            <w:vAlign w:val="center"/>
            <w:hideMark/>
          </w:tcPr>
          <w:p w14:paraId="5C394EB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ENVI</w:t>
            </w:r>
          </w:p>
        </w:tc>
        <w:tc>
          <w:tcPr>
            <w:tcW w:w="2003" w:type="pct"/>
            <w:tcBorders>
              <w:top w:val="nil"/>
              <w:left w:val="nil"/>
              <w:bottom w:val="single" w:sz="8" w:space="0" w:color="BFBFBF"/>
              <w:right w:val="single" w:sz="8" w:space="0" w:color="BFBFBF"/>
            </w:tcBorders>
            <w:shd w:val="clear" w:color="000000" w:fill="F2F2F2"/>
            <w:vAlign w:val="center"/>
            <w:hideMark/>
          </w:tcPr>
          <w:p w14:paraId="1D8DDF3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Viviendas particulares</w:t>
            </w:r>
          </w:p>
        </w:tc>
        <w:tc>
          <w:tcPr>
            <w:tcW w:w="428" w:type="pct"/>
            <w:tcBorders>
              <w:top w:val="nil"/>
              <w:left w:val="nil"/>
              <w:bottom w:val="single" w:sz="8" w:space="0" w:color="BFBFBF"/>
              <w:right w:val="single" w:sz="8" w:space="0" w:color="BFBFBF"/>
            </w:tcBorders>
            <w:shd w:val="clear" w:color="000000" w:fill="F2F2F2"/>
            <w:noWrap/>
            <w:vAlign w:val="center"/>
            <w:hideMark/>
          </w:tcPr>
          <w:p w14:paraId="66B9B3F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477" w:type="pct"/>
            <w:tcBorders>
              <w:top w:val="nil"/>
              <w:left w:val="nil"/>
              <w:bottom w:val="single" w:sz="8" w:space="0" w:color="BFBFBF"/>
              <w:right w:val="single" w:sz="8" w:space="0" w:color="BFBFBF"/>
            </w:tcBorders>
            <w:shd w:val="clear" w:color="000000" w:fill="F2F2F2"/>
            <w:noWrap/>
            <w:vAlign w:val="center"/>
            <w:hideMark/>
          </w:tcPr>
          <w:p w14:paraId="7D3A339E"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33</w:t>
            </w:r>
          </w:p>
        </w:tc>
        <w:tc>
          <w:tcPr>
            <w:tcW w:w="1292" w:type="pct"/>
            <w:tcBorders>
              <w:top w:val="nil"/>
              <w:left w:val="nil"/>
              <w:bottom w:val="single" w:sz="8" w:space="0" w:color="BFBFBF"/>
              <w:right w:val="single" w:sz="8" w:space="0" w:color="BFBFBF"/>
            </w:tcBorders>
            <w:shd w:val="clear" w:color="000000" w:fill="F2F2F2"/>
            <w:vAlign w:val="center"/>
            <w:hideMark/>
          </w:tcPr>
          <w:p w14:paraId="3CDB1E4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entidad federativa.</w:t>
            </w:r>
          </w:p>
        </w:tc>
      </w:tr>
      <w:tr w:rsidR="002752B5" w:rsidRPr="009A501D" w14:paraId="0D5796DB"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6B8283D"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tcBorders>
              <w:top w:val="nil"/>
              <w:left w:val="nil"/>
              <w:bottom w:val="nil"/>
              <w:right w:val="single" w:sz="8" w:space="0" w:color="BFBFBF"/>
            </w:tcBorders>
            <w:shd w:val="clear" w:color="auto" w:fill="auto"/>
            <w:vAlign w:val="center"/>
            <w:hideMark/>
          </w:tcPr>
          <w:p w14:paraId="71ECA01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val="en-US" w:eastAsia="es-MX"/>
              </w:rPr>
              <w:t>ECOVID-IE</w:t>
            </w:r>
          </w:p>
        </w:tc>
        <w:tc>
          <w:tcPr>
            <w:tcW w:w="200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DC5D2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Número de empresas con paro técnico o cierre temporal ante la contingencia originada por COVID-19</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92FB4F9"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477" w:type="pct"/>
            <w:vMerge w:val="restart"/>
            <w:tcBorders>
              <w:top w:val="nil"/>
              <w:left w:val="single" w:sz="8" w:space="0" w:color="BFBFBF"/>
              <w:bottom w:val="single" w:sz="8" w:space="0" w:color="BFBFBF"/>
              <w:right w:val="single" w:sz="8" w:space="0" w:color="BFBFBF"/>
            </w:tcBorders>
            <w:shd w:val="clear" w:color="000000" w:fill="FFFFFF"/>
            <w:noWrap/>
            <w:vAlign w:val="center"/>
            <w:hideMark/>
          </w:tcPr>
          <w:p w14:paraId="463E9FE7"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36</w:t>
            </w:r>
          </w:p>
        </w:tc>
        <w:tc>
          <w:tcPr>
            <w:tcW w:w="1292" w:type="pct"/>
            <w:vMerge w:val="restart"/>
            <w:tcBorders>
              <w:top w:val="nil"/>
              <w:left w:val="single" w:sz="8" w:space="0" w:color="BFBFBF"/>
              <w:bottom w:val="single" w:sz="8" w:space="0" w:color="BFBFBF"/>
              <w:right w:val="single" w:sz="8" w:space="0" w:color="BFBFBF"/>
            </w:tcBorders>
            <w:shd w:val="clear" w:color="000000" w:fill="FFFFFF"/>
            <w:vAlign w:val="center"/>
            <w:hideMark/>
          </w:tcPr>
          <w:p w14:paraId="6B894CE3"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tamaño de empresa; Por sector.</w:t>
            </w:r>
          </w:p>
        </w:tc>
      </w:tr>
      <w:tr w:rsidR="002752B5" w:rsidRPr="009A501D" w14:paraId="5971523F"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744302B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nil"/>
              <w:right w:val="single" w:sz="8" w:space="0" w:color="BFBFBF"/>
            </w:tcBorders>
            <w:shd w:val="clear" w:color="auto" w:fill="auto"/>
            <w:vAlign w:val="center"/>
            <w:hideMark/>
          </w:tcPr>
          <w:p w14:paraId="49CCC275"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(1a, 2a &amp;</w:t>
            </w:r>
          </w:p>
        </w:tc>
        <w:tc>
          <w:tcPr>
            <w:tcW w:w="2003" w:type="pct"/>
            <w:vMerge/>
            <w:tcBorders>
              <w:top w:val="nil"/>
              <w:left w:val="single" w:sz="8" w:space="0" w:color="BFBFBF"/>
              <w:bottom w:val="single" w:sz="8" w:space="0" w:color="BFBFBF"/>
              <w:right w:val="single" w:sz="8" w:space="0" w:color="BFBFBF"/>
            </w:tcBorders>
            <w:vAlign w:val="center"/>
            <w:hideMark/>
          </w:tcPr>
          <w:p w14:paraId="4F4CEC8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51AD1B5"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77" w:type="pct"/>
            <w:vMerge/>
            <w:tcBorders>
              <w:top w:val="nil"/>
              <w:left w:val="single" w:sz="8" w:space="0" w:color="BFBFBF"/>
              <w:bottom w:val="single" w:sz="8" w:space="0" w:color="BFBFBF"/>
              <w:right w:val="single" w:sz="8" w:space="0" w:color="BFBFBF"/>
            </w:tcBorders>
            <w:vAlign w:val="center"/>
            <w:hideMark/>
          </w:tcPr>
          <w:p w14:paraId="00EBDE5B"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3BDF51D"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E6E5C31"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B6D11E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single" w:sz="8" w:space="0" w:color="BFBFBF"/>
              <w:right w:val="single" w:sz="8" w:space="0" w:color="BFBFBF"/>
            </w:tcBorders>
            <w:shd w:val="clear" w:color="auto" w:fill="auto"/>
            <w:vAlign w:val="center"/>
            <w:hideMark/>
          </w:tcPr>
          <w:p w14:paraId="5253BA2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 3a ronda)</w:t>
            </w:r>
          </w:p>
        </w:tc>
        <w:tc>
          <w:tcPr>
            <w:tcW w:w="2003" w:type="pct"/>
            <w:tcBorders>
              <w:top w:val="nil"/>
              <w:left w:val="nil"/>
              <w:bottom w:val="single" w:sz="8" w:space="0" w:color="BFBFBF"/>
              <w:right w:val="single" w:sz="8" w:space="0" w:color="BFBFBF"/>
            </w:tcBorders>
            <w:shd w:val="clear" w:color="auto" w:fill="auto"/>
            <w:vAlign w:val="center"/>
            <w:hideMark/>
          </w:tcPr>
          <w:p w14:paraId="71196D1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roofErr w:type="gramStart"/>
            <w:r w:rsidRPr="009A501D">
              <w:rPr>
                <w:rFonts w:ascii="Century Gothic" w:eastAsia="Times New Roman" w:hAnsi="Century Gothic" w:cs="Calibri"/>
                <w:color w:val="000000"/>
                <w:sz w:val="16"/>
                <w:szCs w:val="16"/>
                <w:lang w:eastAsia="es-MX"/>
              </w:rPr>
              <w:t>Total</w:t>
            </w:r>
            <w:proofErr w:type="gramEnd"/>
            <w:r w:rsidRPr="009A501D">
              <w:rPr>
                <w:rFonts w:ascii="Century Gothic" w:eastAsia="Times New Roman" w:hAnsi="Century Gothic" w:cs="Calibri"/>
                <w:color w:val="000000"/>
                <w:sz w:val="16"/>
                <w:szCs w:val="16"/>
                <w:lang w:eastAsia="es-MX"/>
              </w:rPr>
              <w:t xml:space="preserve"> de empresas con algún tipo de afectación</w:t>
            </w:r>
          </w:p>
        </w:tc>
        <w:tc>
          <w:tcPr>
            <w:tcW w:w="428" w:type="pct"/>
            <w:tcBorders>
              <w:top w:val="nil"/>
              <w:left w:val="nil"/>
              <w:bottom w:val="single" w:sz="8" w:space="0" w:color="BFBFBF"/>
              <w:right w:val="single" w:sz="8" w:space="0" w:color="BFBFBF"/>
            </w:tcBorders>
            <w:shd w:val="clear" w:color="auto" w:fill="auto"/>
            <w:noWrap/>
            <w:vAlign w:val="center"/>
            <w:hideMark/>
          </w:tcPr>
          <w:p w14:paraId="777A0B86"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477" w:type="pct"/>
            <w:vMerge/>
            <w:tcBorders>
              <w:top w:val="nil"/>
              <w:left w:val="single" w:sz="8" w:space="0" w:color="BFBFBF"/>
              <w:bottom w:val="single" w:sz="8" w:space="0" w:color="BFBFBF"/>
              <w:right w:val="single" w:sz="8" w:space="0" w:color="BFBFBF"/>
            </w:tcBorders>
            <w:vAlign w:val="center"/>
            <w:hideMark/>
          </w:tcPr>
          <w:p w14:paraId="201918AE"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7DD48E91"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r w:rsidR="002752B5" w:rsidRPr="009A501D" w14:paraId="59DABE8F" w14:textId="77777777" w:rsidTr="00430123">
        <w:trPr>
          <w:trHeight w:val="20"/>
        </w:trPr>
        <w:tc>
          <w:tcPr>
            <w:tcW w:w="372" w:type="pct"/>
            <w:tcBorders>
              <w:top w:val="nil"/>
              <w:left w:val="single" w:sz="8" w:space="0" w:color="BFBFBF"/>
              <w:bottom w:val="single" w:sz="8" w:space="0" w:color="BFBFBF"/>
              <w:right w:val="single" w:sz="8" w:space="0" w:color="BFBFBF"/>
            </w:tcBorders>
            <w:shd w:val="clear" w:color="000000" w:fill="F2F2F2"/>
            <w:noWrap/>
            <w:vAlign w:val="center"/>
            <w:hideMark/>
          </w:tcPr>
          <w:p w14:paraId="4AD3A60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428" w:type="pct"/>
            <w:tcBorders>
              <w:top w:val="nil"/>
              <w:left w:val="nil"/>
              <w:bottom w:val="single" w:sz="8" w:space="0" w:color="BFBFBF"/>
              <w:right w:val="single" w:sz="8" w:space="0" w:color="BFBFBF"/>
            </w:tcBorders>
            <w:shd w:val="clear" w:color="000000" w:fill="F2F2F2"/>
            <w:noWrap/>
            <w:vAlign w:val="center"/>
            <w:hideMark/>
          </w:tcPr>
          <w:p w14:paraId="34955FC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ENAF</w:t>
            </w:r>
          </w:p>
        </w:tc>
        <w:tc>
          <w:tcPr>
            <w:tcW w:w="2003" w:type="pct"/>
            <w:tcBorders>
              <w:top w:val="nil"/>
              <w:left w:val="nil"/>
              <w:bottom w:val="single" w:sz="8" w:space="0" w:color="BFBFBF"/>
              <w:right w:val="single" w:sz="8" w:space="0" w:color="BFBFBF"/>
            </w:tcBorders>
            <w:shd w:val="clear" w:color="000000" w:fill="F2F2F2"/>
            <w:vAlign w:val="center"/>
            <w:hideMark/>
          </w:tcPr>
          <w:p w14:paraId="6187BA64"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Promedio diario de servicios funerarios que realizaron las empresas ante la contingencia originada por COVID-19 según mes del 2020</w:t>
            </w:r>
          </w:p>
        </w:tc>
        <w:tc>
          <w:tcPr>
            <w:tcW w:w="428" w:type="pct"/>
            <w:tcBorders>
              <w:top w:val="nil"/>
              <w:left w:val="nil"/>
              <w:bottom w:val="single" w:sz="8" w:space="0" w:color="BFBFBF"/>
              <w:right w:val="single" w:sz="8" w:space="0" w:color="BFBFBF"/>
            </w:tcBorders>
            <w:shd w:val="clear" w:color="000000" w:fill="F2F2F2"/>
            <w:noWrap/>
            <w:vAlign w:val="center"/>
            <w:hideMark/>
          </w:tcPr>
          <w:p w14:paraId="2F068684"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477" w:type="pct"/>
            <w:tcBorders>
              <w:top w:val="nil"/>
              <w:left w:val="nil"/>
              <w:bottom w:val="single" w:sz="8" w:space="0" w:color="BFBFBF"/>
              <w:right w:val="single" w:sz="8" w:space="0" w:color="BFBFBF"/>
            </w:tcBorders>
            <w:shd w:val="clear" w:color="000000" w:fill="F2F2F2"/>
            <w:noWrap/>
            <w:vAlign w:val="center"/>
            <w:hideMark/>
          </w:tcPr>
          <w:p w14:paraId="286336EB"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15</w:t>
            </w:r>
          </w:p>
        </w:tc>
        <w:tc>
          <w:tcPr>
            <w:tcW w:w="1292" w:type="pct"/>
            <w:tcBorders>
              <w:top w:val="nil"/>
              <w:left w:val="nil"/>
              <w:bottom w:val="single" w:sz="8" w:space="0" w:color="BFBFBF"/>
              <w:right w:val="single" w:sz="8" w:space="0" w:color="BFBFBF"/>
            </w:tcBorders>
            <w:shd w:val="clear" w:color="000000" w:fill="F2F2F2"/>
            <w:vAlign w:val="center"/>
            <w:hideMark/>
          </w:tcPr>
          <w:p w14:paraId="013E9B5C"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Nacional; Por tamaño de empresa; Por mes (meses: febrero, abril y mayo).</w:t>
            </w:r>
          </w:p>
        </w:tc>
      </w:tr>
      <w:tr w:rsidR="002752B5" w:rsidRPr="009A501D" w14:paraId="1B06A1A6" w14:textId="77777777" w:rsidTr="00430123">
        <w:trPr>
          <w:trHeight w:val="20"/>
        </w:trPr>
        <w:tc>
          <w:tcPr>
            <w:tcW w:w="372"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37CD5F4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428" w:type="pct"/>
            <w:tcBorders>
              <w:top w:val="nil"/>
              <w:left w:val="nil"/>
              <w:bottom w:val="nil"/>
              <w:right w:val="single" w:sz="8" w:space="0" w:color="BFBFBF"/>
            </w:tcBorders>
            <w:shd w:val="clear" w:color="auto" w:fill="auto"/>
            <w:vAlign w:val="center"/>
            <w:hideMark/>
          </w:tcPr>
          <w:p w14:paraId="5CCBDD62"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ECADEFI</w:t>
            </w:r>
          </w:p>
        </w:tc>
        <w:tc>
          <w:tcPr>
            <w:tcW w:w="2003"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13F8EF37"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Porcentaje de la población efectiva en situación de desplazamiento forzado interno</w:t>
            </w:r>
          </w:p>
        </w:tc>
        <w:tc>
          <w:tcPr>
            <w:tcW w:w="428"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4FFDD910"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477" w:type="pct"/>
            <w:vMerge w:val="restart"/>
            <w:tcBorders>
              <w:top w:val="nil"/>
              <w:left w:val="single" w:sz="8" w:space="0" w:color="BFBFBF"/>
              <w:bottom w:val="single" w:sz="8" w:space="0" w:color="BFBFBF"/>
              <w:right w:val="single" w:sz="8" w:space="0" w:color="BFBFBF"/>
            </w:tcBorders>
            <w:shd w:val="clear" w:color="auto" w:fill="auto"/>
            <w:noWrap/>
            <w:vAlign w:val="center"/>
            <w:hideMark/>
          </w:tcPr>
          <w:p w14:paraId="587D0A9C" w14:textId="77777777" w:rsidR="002752B5" w:rsidRPr="009A501D" w:rsidRDefault="002752B5" w:rsidP="00430123">
            <w:pPr>
              <w:spacing w:after="0" w:line="240" w:lineRule="auto"/>
              <w:jc w:val="center"/>
              <w:rPr>
                <w:rFonts w:ascii="Century Gothic" w:eastAsia="Times New Roman" w:hAnsi="Century Gothic" w:cs="Calibri"/>
                <w:b/>
                <w:bCs/>
                <w:color w:val="000000"/>
                <w:sz w:val="16"/>
                <w:szCs w:val="16"/>
                <w:lang w:eastAsia="es-MX"/>
              </w:rPr>
            </w:pPr>
            <w:r w:rsidRPr="009A501D">
              <w:rPr>
                <w:rFonts w:ascii="Century Gothic" w:eastAsia="Times New Roman" w:hAnsi="Century Gothic" w:cs="Calibri"/>
                <w:b/>
                <w:bCs/>
                <w:color w:val="000000"/>
                <w:sz w:val="16"/>
                <w:szCs w:val="16"/>
                <w:lang w:eastAsia="es-MX"/>
              </w:rPr>
              <w:t>1</w:t>
            </w:r>
          </w:p>
        </w:tc>
        <w:tc>
          <w:tcPr>
            <w:tcW w:w="1292"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500CEDA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Entidad federativa CHIH</w:t>
            </w:r>
          </w:p>
        </w:tc>
      </w:tr>
      <w:tr w:rsidR="002752B5" w:rsidRPr="009A501D" w14:paraId="71D48A96" w14:textId="77777777" w:rsidTr="00430123">
        <w:trPr>
          <w:trHeight w:val="20"/>
        </w:trPr>
        <w:tc>
          <w:tcPr>
            <w:tcW w:w="372" w:type="pct"/>
            <w:vMerge/>
            <w:tcBorders>
              <w:top w:val="nil"/>
              <w:left w:val="single" w:sz="8" w:space="0" w:color="BFBFBF"/>
              <w:bottom w:val="single" w:sz="8" w:space="0" w:color="BFBFBF"/>
              <w:right w:val="single" w:sz="8" w:space="0" w:color="BFBFBF"/>
            </w:tcBorders>
            <w:vAlign w:val="center"/>
            <w:hideMark/>
          </w:tcPr>
          <w:p w14:paraId="68741FB0"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tcBorders>
              <w:top w:val="nil"/>
              <w:left w:val="nil"/>
              <w:bottom w:val="single" w:sz="8" w:space="0" w:color="BFBFBF"/>
              <w:right w:val="single" w:sz="8" w:space="0" w:color="BFBFBF"/>
            </w:tcBorders>
            <w:shd w:val="clear" w:color="auto" w:fill="auto"/>
            <w:vAlign w:val="center"/>
            <w:hideMark/>
          </w:tcPr>
          <w:p w14:paraId="49F0A098" w14:textId="77777777" w:rsidR="002752B5" w:rsidRPr="009A501D" w:rsidRDefault="002752B5" w:rsidP="00430123">
            <w:pPr>
              <w:spacing w:after="0" w:line="240" w:lineRule="auto"/>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-CHIH</w:t>
            </w:r>
          </w:p>
        </w:tc>
        <w:tc>
          <w:tcPr>
            <w:tcW w:w="2003" w:type="pct"/>
            <w:vMerge/>
            <w:tcBorders>
              <w:top w:val="nil"/>
              <w:left w:val="single" w:sz="8" w:space="0" w:color="BFBFBF"/>
              <w:bottom w:val="single" w:sz="8" w:space="0" w:color="BFBFBF"/>
              <w:right w:val="single" w:sz="8" w:space="0" w:color="BFBFBF"/>
            </w:tcBorders>
            <w:vAlign w:val="center"/>
            <w:hideMark/>
          </w:tcPr>
          <w:p w14:paraId="2F4DB226"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28" w:type="pct"/>
            <w:vMerge/>
            <w:tcBorders>
              <w:top w:val="nil"/>
              <w:left w:val="single" w:sz="8" w:space="0" w:color="BFBFBF"/>
              <w:bottom w:val="single" w:sz="8" w:space="0" w:color="BFBFBF"/>
              <w:right w:val="single" w:sz="8" w:space="0" w:color="BFBFBF"/>
            </w:tcBorders>
            <w:vAlign w:val="center"/>
            <w:hideMark/>
          </w:tcPr>
          <w:p w14:paraId="52B827D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c>
          <w:tcPr>
            <w:tcW w:w="477" w:type="pct"/>
            <w:vMerge/>
            <w:tcBorders>
              <w:top w:val="nil"/>
              <w:left w:val="single" w:sz="8" w:space="0" w:color="BFBFBF"/>
              <w:bottom w:val="single" w:sz="8" w:space="0" w:color="BFBFBF"/>
              <w:right w:val="single" w:sz="8" w:space="0" w:color="BFBFBF"/>
            </w:tcBorders>
            <w:vAlign w:val="center"/>
            <w:hideMark/>
          </w:tcPr>
          <w:p w14:paraId="7DDDE468" w14:textId="77777777" w:rsidR="002752B5" w:rsidRPr="009A501D" w:rsidRDefault="002752B5" w:rsidP="00430123">
            <w:pPr>
              <w:spacing w:after="0" w:line="240" w:lineRule="auto"/>
              <w:rPr>
                <w:rFonts w:ascii="Century Gothic" w:eastAsia="Times New Roman" w:hAnsi="Century Gothic" w:cs="Calibri"/>
                <w:b/>
                <w:bCs/>
                <w:color w:val="000000"/>
                <w:sz w:val="16"/>
                <w:szCs w:val="16"/>
                <w:lang w:eastAsia="es-MX"/>
              </w:rPr>
            </w:pPr>
          </w:p>
        </w:tc>
        <w:tc>
          <w:tcPr>
            <w:tcW w:w="1292" w:type="pct"/>
            <w:vMerge/>
            <w:tcBorders>
              <w:top w:val="nil"/>
              <w:left w:val="single" w:sz="8" w:space="0" w:color="BFBFBF"/>
              <w:bottom w:val="single" w:sz="8" w:space="0" w:color="BFBFBF"/>
              <w:right w:val="single" w:sz="8" w:space="0" w:color="BFBFBF"/>
            </w:tcBorders>
            <w:vAlign w:val="center"/>
            <w:hideMark/>
          </w:tcPr>
          <w:p w14:paraId="4490608B" w14:textId="77777777" w:rsidR="002752B5" w:rsidRPr="009A501D" w:rsidRDefault="002752B5" w:rsidP="00430123">
            <w:pPr>
              <w:spacing w:after="0" w:line="240" w:lineRule="auto"/>
              <w:rPr>
                <w:rFonts w:ascii="Century Gothic" w:eastAsia="Times New Roman" w:hAnsi="Century Gothic" w:cs="Calibri"/>
                <w:color w:val="000000"/>
                <w:sz w:val="16"/>
                <w:szCs w:val="16"/>
                <w:lang w:eastAsia="es-MX"/>
              </w:rPr>
            </w:pPr>
          </w:p>
        </w:tc>
      </w:tr>
    </w:tbl>
    <w:p w14:paraId="275028C4" w14:textId="77777777" w:rsidR="002752B5" w:rsidRPr="009A501D" w:rsidRDefault="002752B5">
      <w:pPr>
        <w:rPr>
          <w:rFonts w:ascii="Century Gothic" w:hAnsi="Century Gothic"/>
          <w:sz w:val="19"/>
          <w:szCs w:val="19"/>
        </w:rPr>
      </w:pPr>
    </w:p>
    <w:p w14:paraId="55FA3819" w14:textId="304A23E7" w:rsidR="00105A12" w:rsidRPr="009A501D" w:rsidRDefault="00514E11">
      <w:pPr>
        <w:rPr>
          <w:rFonts w:ascii="Century Gothic" w:hAnsi="Century Gothic"/>
          <w:sz w:val="19"/>
          <w:szCs w:val="19"/>
        </w:rPr>
      </w:pPr>
      <w:r w:rsidRPr="009A501D">
        <w:rPr>
          <w:rFonts w:ascii="Century Gothic" w:hAnsi="Century Gothic"/>
          <w:sz w:val="19"/>
          <w:szCs w:val="19"/>
        </w:rPr>
        <w:br w:type="page"/>
      </w:r>
      <w:bookmarkEnd w:id="39"/>
    </w:p>
    <w:p w14:paraId="1D0B7BCC" w14:textId="4BF3DB4A" w:rsidR="00105A12" w:rsidRPr="009A501D" w:rsidRDefault="00105A12" w:rsidP="00224E0F">
      <w:pPr>
        <w:pStyle w:val="Ttulo2"/>
        <w:spacing w:after="120"/>
        <w:rPr>
          <w:rFonts w:ascii="Century Gothic" w:eastAsiaTheme="minorHAnsi" w:hAnsi="Century Gothic" w:cstheme="minorBidi"/>
          <w:bCs/>
          <w:color w:val="0079BF"/>
          <w:sz w:val="24"/>
          <w:szCs w:val="24"/>
        </w:rPr>
      </w:pPr>
      <w:bookmarkStart w:id="40" w:name="_Toc131161818"/>
      <w:r w:rsidRPr="009A501D">
        <w:rPr>
          <w:rFonts w:ascii="Century Gothic" w:eastAsiaTheme="minorHAnsi" w:hAnsi="Century Gothic" w:cstheme="minorBidi"/>
          <w:bCs/>
          <w:color w:val="0079BF"/>
          <w:sz w:val="24"/>
          <w:szCs w:val="24"/>
        </w:rPr>
        <w:lastRenderedPageBreak/>
        <w:t xml:space="preserve">Anexo </w:t>
      </w:r>
      <w:r w:rsidR="00797776" w:rsidRPr="009A501D">
        <w:rPr>
          <w:rFonts w:ascii="Century Gothic" w:eastAsiaTheme="minorHAnsi" w:hAnsi="Century Gothic" w:cstheme="minorBidi"/>
          <w:bCs/>
          <w:color w:val="0079BF"/>
          <w:sz w:val="24"/>
          <w:szCs w:val="24"/>
        </w:rPr>
        <w:t>7</w:t>
      </w:r>
      <w:r w:rsidRPr="009A501D">
        <w:rPr>
          <w:rFonts w:ascii="Century Gothic" w:eastAsiaTheme="minorHAnsi" w:hAnsi="Century Gothic" w:cstheme="minorBidi"/>
          <w:bCs/>
          <w:color w:val="0079BF"/>
          <w:sz w:val="24"/>
          <w:szCs w:val="24"/>
        </w:rPr>
        <w:t xml:space="preserve">: Costos por </w:t>
      </w:r>
      <w:r w:rsidR="00B90BCB" w:rsidRPr="009A501D">
        <w:rPr>
          <w:rFonts w:ascii="Century Gothic" w:eastAsiaTheme="minorHAnsi" w:hAnsi="Century Gothic" w:cstheme="minorBidi"/>
          <w:bCs/>
          <w:color w:val="0079BF"/>
          <w:sz w:val="24"/>
          <w:szCs w:val="24"/>
        </w:rPr>
        <w:t>proceso y fase</w:t>
      </w:r>
      <w:bookmarkEnd w:id="40"/>
    </w:p>
    <w:tbl>
      <w:tblPr>
        <w:tblW w:w="145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BFBFBF" w:themeFill="background1" w:themeFillShade="BF"/>
        <w:tblCellMar>
          <w:left w:w="70" w:type="dxa"/>
          <w:right w:w="70" w:type="dxa"/>
        </w:tblCellMar>
        <w:tblLook w:val="04A0" w:firstRow="1" w:lastRow="0" w:firstColumn="1" w:lastColumn="0" w:noHBand="0" w:noVBand="1"/>
      </w:tblPr>
      <w:tblGrid>
        <w:gridCol w:w="880"/>
        <w:gridCol w:w="2349"/>
        <w:gridCol w:w="1019"/>
        <w:gridCol w:w="1312"/>
        <w:gridCol w:w="1480"/>
        <w:gridCol w:w="760"/>
        <w:gridCol w:w="1200"/>
        <w:gridCol w:w="1000"/>
        <w:gridCol w:w="1420"/>
        <w:gridCol w:w="1180"/>
        <w:gridCol w:w="860"/>
        <w:gridCol w:w="1100"/>
      </w:tblGrid>
      <w:tr w:rsidR="00FE3FE8" w:rsidRPr="009A501D" w14:paraId="477DB745" w14:textId="77777777" w:rsidTr="00224E0F">
        <w:trPr>
          <w:trHeight w:val="170"/>
          <w:tblHeader/>
        </w:trPr>
        <w:tc>
          <w:tcPr>
            <w:tcW w:w="880" w:type="dxa"/>
            <w:shd w:val="clear" w:color="auto" w:fill="002060"/>
            <w:vAlign w:val="center"/>
            <w:hideMark/>
          </w:tcPr>
          <w:p w14:paraId="7467B2C3"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UA</w:t>
            </w:r>
          </w:p>
        </w:tc>
        <w:tc>
          <w:tcPr>
            <w:tcW w:w="2466" w:type="dxa"/>
            <w:shd w:val="clear" w:color="auto" w:fill="002060"/>
            <w:vAlign w:val="center"/>
            <w:hideMark/>
          </w:tcPr>
          <w:p w14:paraId="4941DFAC"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Nombre</w:t>
            </w:r>
          </w:p>
        </w:tc>
        <w:tc>
          <w:tcPr>
            <w:tcW w:w="902" w:type="dxa"/>
            <w:shd w:val="clear" w:color="auto" w:fill="002060"/>
            <w:vAlign w:val="center"/>
            <w:hideMark/>
          </w:tcPr>
          <w:p w14:paraId="7F2E94A2"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Acrónimo</w:t>
            </w:r>
          </w:p>
        </w:tc>
        <w:tc>
          <w:tcPr>
            <w:tcW w:w="1312" w:type="dxa"/>
            <w:shd w:val="clear" w:color="auto" w:fill="002060"/>
            <w:vAlign w:val="center"/>
            <w:hideMark/>
          </w:tcPr>
          <w:p w14:paraId="3909122C"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Costos totales (millones de pesos)</w:t>
            </w:r>
          </w:p>
        </w:tc>
        <w:tc>
          <w:tcPr>
            <w:tcW w:w="1480" w:type="dxa"/>
            <w:shd w:val="clear" w:color="auto" w:fill="002060"/>
            <w:vAlign w:val="center"/>
            <w:hideMark/>
          </w:tcPr>
          <w:p w14:paraId="2C0AFDA0"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Documentación de necesidades</w:t>
            </w:r>
          </w:p>
        </w:tc>
        <w:tc>
          <w:tcPr>
            <w:tcW w:w="760" w:type="dxa"/>
            <w:shd w:val="clear" w:color="auto" w:fill="002060"/>
            <w:vAlign w:val="center"/>
            <w:hideMark/>
          </w:tcPr>
          <w:p w14:paraId="3CB09C39"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Diseño</w:t>
            </w:r>
          </w:p>
        </w:tc>
        <w:tc>
          <w:tcPr>
            <w:tcW w:w="1200" w:type="dxa"/>
            <w:shd w:val="clear" w:color="auto" w:fill="002060"/>
            <w:vAlign w:val="center"/>
            <w:hideMark/>
          </w:tcPr>
          <w:p w14:paraId="5E65F9EB"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Construcción</w:t>
            </w:r>
          </w:p>
        </w:tc>
        <w:tc>
          <w:tcPr>
            <w:tcW w:w="1000" w:type="dxa"/>
            <w:shd w:val="clear" w:color="auto" w:fill="002060"/>
            <w:vAlign w:val="center"/>
            <w:hideMark/>
          </w:tcPr>
          <w:p w14:paraId="09318397"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Captación</w:t>
            </w:r>
          </w:p>
        </w:tc>
        <w:tc>
          <w:tcPr>
            <w:tcW w:w="1420" w:type="dxa"/>
            <w:shd w:val="clear" w:color="auto" w:fill="002060"/>
            <w:vAlign w:val="center"/>
            <w:hideMark/>
          </w:tcPr>
          <w:p w14:paraId="4B91FBD1"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Procesamiento</w:t>
            </w:r>
          </w:p>
        </w:tc>
        <w:tc>
          <w:tcPr>
            <w:tcW w:w="1180" w:type="dxa"/>
            <w:shd w:val="clear" w:color="auto" w:fill="002060"/>
            <w:vAlign w:val="center"/>
            <w:hideMark/>
          </w:tcPr>
          <w:p w14:paraId="3A76511A"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Análisis de la producción</w:t>
            </w:r>
          </w:p>
        </w:tc>
        <w:tc>
          <w:tcPr>
            <w:tcW w:w="860" w:type="dxa"/>
            <w:shd w:val="clear" w:color="auto" w:fill="002060"/>
            <w:vAlign w:val="center"/>
            <w:hideMark/>
          </w:tcPr>
          <w:p w14:paraId="6812138E"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Difusión</w:t>
            </w:r>
          </w:p>
        </w:tc>
        <w:tc>
          <w:tcPr>
            <w:tcW w:w="1100" w:type="dxa"/>
            <w:shd w:val="clear" w:color="auto" w:fill="002060"/>
            <w:vAlign w:val="center"/>
            <w:hideMark/>
          </w:tcPr>
          <w:p w14:paraId="188528DF"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Evaluación del proceso</w:t>
            </w:r>
          </w:p>
        </w:tc>
      </w:tr>
      <w:tr w:rsidR="00FE3FE8" w:rsidRPr="009A501D" w14:paraId="6E571230" w14:textId="77777777" w:rsidTr="00224E0F">
        <w:trPr>
          <w:trHeight w:val="170"/>
        </w:trPr>
        <w:tc>
          <w:tcPr>
            <w:tcW w:w="880" w:type="dxa"/>
            <w:shd w:val="clear" w:color="auto" w:fill="F2F2F2" w:themeFill="background1" w:themeFillShade="F2"/>
            <w:noWrap/>
            <w:vAlign w:val="center"/>
            <w:hideMark/>
          </w:tcPr>
          <w:p w14:paraId="3CECBE1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6146358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Agropecuario</w:t>
            </w:r>
          </w:p>
        </w:tc>
        <w:tc>
          <w:tcPr>
            <w:tcW w:w="902" w:type="dxa"/>
            <w:shd w:val="clear" w:color="auto" w:fill="F2F2F2" w:themeFill="background1" w:themeFillShade="F2"/>
            <w:noWrap/>
            <w:vAlign w:val="center"/>
            <w:hideMark/>
          </w:tcPr>
          <w:p w14:paraId="5D80517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w:t>
            </w:r>
          </w:p>
        </w:tc>
        <w:tc>
          <w:tcPr>
            <w:tcW w:w="1312" w:type="dxa"/>
            <w:shd w:val="clear" w:color="auto" w:fill="F2F2F2" w:themeFill="background1" w:themeFillShade="F2"/>
            <w:noWrap/>
            <w:vAlign w:val="center"/>
            <w:hideMark/>
          </w:tcPr>
          <w:p w14:paraId="1EC1F86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2654.4</w:t>
            </w:r>
          </w:p>
        </w:tc>
        <w:tc>
          <w:tcPr>
            <w:tcW w:w="1480" w:type="dxa"/>
            <w:shd w:val="clear" w:color="auto" w:fill="F2F2F2" w:themeFill="background1" w:themeFillShade="F2"/>
            <w:noWrap/>
            <w:vAlign w:val="center"/>
            <w:hideMark/>
          </w:tcPr>
          <w:p w14:paraId="12636DC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F2F2F2" w:themeFill="background1" w:themeFillShade="F2"/>
            <w:noWrap/>
            <w:vAlign w:val="center"/>
            <w:hideMark/>
          </w:tcPr>
          <w:p w14:paraId="0B76FD0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F2F2F2" w:themeFill="background1" w:themeFillShade="F2"/>
            <w:noWrap/>
            <w:vAlign w:val="center"/>
            <w:hideMark/>
          </w:tcPr>
          <w:p w14:paraId="6ED6B76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3E4803C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81%</w:t>
            </w:r>
          </w:p>
        </w:tc>
        <w:tc>
          <w:tcPr>
            <w:tcW w:w="1420" w:type="dxa"/>
            <w:shd w:val="clear" w:color="auto" w:fill="F2F2F2" w:themeFill="background1" w:themeFillShade="F2"/>
            <w:noWrap/>
            <w:vAlign w:val="center"/>
            <w:hideMark/>
          </w:tcPr>
          <w:p w14:paraId="6BC4C24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F2F2F2" w:themeFill="background1" w:themeFillShade="F2"/>
            <w:noWrap/>
            <w:vAlign w:val="center"/>
            <w:hideMark/>
          </w:tcPr>
          <w:p w14:paraId="765DFC5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F2F2F2" w:themeFill="background1" w:themeFillShade="F2"/>
            <w:noWrap/>
            <w:vAlign w:val="center"/>
            <w:hideMark/>
          </w:tcPr>
          <w:p w14:paraId="0EA6EB8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100" w:type="dxa"/>
            <w:shd w:val="clear" w:color="auto" w:fill="F2F2F2" w:themeFill="background1" w:themeFillShade="F2"/>
            <w:noWrap/>
            <w:vAlign w:val="center"/>
            <w:hideMark/>
          </w:tcPr>
          <w:p w14:paraId="34A6640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r>
      <w:tr w:rsidR="00FE3FE8" w:rsidRPr="009A501D" w14:paraId="553BBE84" w14:textId="77777777" w:rsidTr="00224E0F">
        <w:trPr>
          <w:trHeight w:val="170"/>
        </w:trPr>
        <w:tc>
          <w:tcPr>
            <w:tcW w:w="880" w:type="dxa"/>
            <w:shd w:val="clear" w:color="auto" w:fill="F2F2F2" w:themeFill="background1" w:themeFillShade="F2"/>
            <w:noWrap/>
            <w:vAlign w:val="center"/>
            <w:hideMark/>
          </w:tcPr>
          <w:p w14:paraId="1D61B28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4809A41A"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Censos Económicos (Estructura Permanente)</w:t>
            </w:r>
          </w:p>
        </w:tc>
        <w:tc>
          <w:tcPr>
            <w:tcW w:w="902" w:type="dxa"/>
            <w:shd w:val="clear" w:color="auto" w:fill="F2F2F2" w:themeFill="background1" w:themeFillShade="F2"/>
            <w:noWrap/>
            <w:vAlign w:val="center"/>
            <w:hideMark/>
          </w:tcPr>
          <w:p w14:paraId="34E95DD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w:t>
            </w:r>
          </w:p>
        </w:tc>
        <w:tc>
          <w:tcPr>
            <w:tcW w:w="1312" w:type="dxa"/>
            <w:shd w:val="clear" w:color="auto" w:fill="F2F2F2" w:themeFill="background1" w:themeFillShade="F2"/>
            <w:noWrap/>
            <w:vAlign w:val="center"/>
            <w:hideMark/>
          </w:tcPr>
          <w:p w14:paraId="77C236F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100.9</w:t>
            </w:r>
          </w:p>
        </w:tc>
        <w:tc>
          <w:tcPr>
            <w:tcW w:w="1480" w:type="dxa"/>
            <w:shd w:val="clear" w:color="auto" w:fill="F2F2F2" w:themeFill="background1" w:themeFillShade="F2"/>
            <w:noWrap/>
            <w:vAlign w:val="center"/>
            <w:hideMark/>
          </w:tcPr>
          <w:p w14:paraId="70C328C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760" w:type="dxa"/>
            <w:shd w:val="clear" w:color="auto" w:fill="F2F2F2" w:themeFill="background1" w:themeFillShade="F2"/>
            <w:noWrap/>
            <w:vAlign w:val="center"/>
            <w:hideMark/>
          </w:tcPr>
          <w:p w14:paraId="0A0010C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49%</w:t>
            </w:r>
          </w:p>
        </w:tc>
        <w:tc>
          <w:tcPr>
            <w:tcW w:w="1200" w:type="dxa"/>
            <w:shd w:val="clear" w:color="auto" w:fill="F2F2F2" w:themeFill="background1" w:themeFillShade="F2"/>
            <w:noWrap/>
            <w:vAlign w:val="center"/>
            <w:hideMark/>
          </w:tcPr>
          <w:p w14:paraId="3F900B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140839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F2F2F2" w:themeFill="background1" w:themeFillShade="F2"/>
            <w:noWrap/>
            <w:vAlign w:val="center"/>
            <w:hideMark/>
          </w:tcPr>
          <w:p w14:paraId="1A815A7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6F77C67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860" w:type="dxa"/>
            <w:shd w:val="clear" w:color="auto" w:fill="F2F2F2" w:themeFill="background1" w:themeFillShade="F2"/>
            <w:noWrap/>
            <w:vAlign w:val="center"/>
            <w:hideMark/>
          </w:tcPr>
          <w:p w14:paraId="6106AC0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5801B9A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2DF8CBBD" w14:textId="77777777" w:rsidTr="00224E0F">
        <w:trPr>
          <w:trHeight w:val="170"/>
        </w:trPr>
        <w:tc>
          <w:tcPr>
            <w:tcW w:w="880" w:type="dxa"/>
            <w:shd w:val="clear" w:color="auto" w:fill="auto"/>
            <w:noWrap/>
            <w:vAlign w:val="center"/>
            <w:hideMark/>
          </w:tcPr>
          <w:p w14:paraId="7008A40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168A2EE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Derechos Humanos Estatal</w:t>
            </w:r>
          </w:p>
        </w:tc>
        <w:tc>
          <w:tcPr>
            <w:tcW w:w="902" w:type="dxa"/>
            <w:shd w:val="clear" w:color="auto" w:fill="auto"/>
            <w:noWrap/>
            <w:vAlign w:val="center"/>
            <w:hideMark/>
          </w:tcPr>
          <w:p w14:paraId="4E357BB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CNDHE</w:t>
            </w:r>
          </w:p>
        </w:tc>
        <w:tc>
          <w:tcPr>
            <w:tcW w:w="1312" w:type="dxa"/>
            <w:shd w:val="clear" w:color="auto" w:fill="auto"/>
            <w:noWrap/>
            <w:vAlign w:val="center"/>
            <w:hideMark/>
          </w:tcPr>
          <w:p w14:paraId="74D8706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21.6</w:t>
            </w:r>
          </w:p>
        </w:tc>
        <w:tc>
          <w:tcPr>
            <w:tcW w:w="1480" w:type="dxa"/>
            <w:shd w:val="clear" w:color="auto" w:fill="auto"/>
            <w:noWrap/>
            <w:vAlign w:val="center"/>
            <w:hideMark/>
          </w:tcPr>
          <w:p w14:paraId="2E5DE7F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760" w:type="dxa"/>
            <w:shd w:val="clear" w:color="auto" w:fill="auto"/>
            <w:noWrap/>
            <w:vAlign w:val="center"/>
            <w:hideMark/>
          </w:tcPr>
          <w:p w14:paraId="63994EB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200" w:type="dxa"/>
            <w:shd w:val="clear" w:color="auto" w:fill="auto"/>
            <w:noWrap/>
            <w:vAlign w:val="center"/>
            <w:hideMark/>
          </w:tcPr>
          <w:p w14:paraId="0B6CB33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auto"/>
            <w:noWrap/>
            <w:vAlign w:val="center"/>
            <w:hideMark/>
          </w:tcPr>
          <w:p w14:paraId="642439C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420" w:type="dxa"/>
            <w:shd w:val="clear" w:color="auto" w:fill="auto"/>
            <w:noWrap/>
            <w:vAlign w:val="center"/>
            <w:hideMark/>
          </w:tcPr>
          <w:p w14:paraId="5CCA016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auto"/>
            <w:noWrap/>
            <w:vAlign w:val="center"/>
            <w:hideMark/>
          </w:tcPr>
          <w:p w14:paraId="4CA4B2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860" w:type="dxa"/>
            <w:shd w:val="clear" w:color="auto" w:fill="auto"/>
            <w:noWrap/>
            <w:vAlign w:val="center"/>
            <w:hideMark/>
          </w:tcPr>
          <w:p w14:paraId="655CAEB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00" w:type="dxa"/>
            <w:shd w:val="clear" w:color="auto" w:fill="auto"/>
            <w:noWrap/>
            <w:vAlign w:val="center"/>
            <w:hideMark/>
          </w:tcPr>
          <w:p w14:paraId="2FA6D2F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r>
      <w:tr w:rsidR="00FE3FE8" w:rsidRPr="009A501D" w14:paraId="5AD88B6F" w14:textId="77777777" w:rsidTr="00224E0F">
        <w:trPr>
          <w:trHeight w:val="170"/>
        </w:trPr>
        <w:tc>
          <w:tcPr>
            <w:tcW w:w="880" w:type="dxa"/>
            <w:shd w:val="clear" w:color="auto" w:fill="auto"/>
            <w:noWrap/>
            <w:vAlign w:val="center"/>
            <w:hideMark/>
          </w:tcPr>
          <w:p w14:paraId="3CACE25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4F74AEF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Derechos Humanos Federal</w:t>
            </w:r>
          </w:p>
        </w:tc>
        <w:tc>
          <w:tcPr>
            <w:tcW w:w="902" w:type="dxa"/>
            <w:shd w:val="clear" w:color="auto" w:fill="auto"/>
            <w:noWrap/>
            <w:vAlign w:val="center"/>
            <w:hideMark/>
          </w:tcPr>
          <w:p w14:paraId="4A687DB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CNDHF</w:t>
            </w:r>
          </w:p>
        </w:tc>
        <w:tc>
          <w:tcPr>
            <w:tcW w:w="1312" w:type="dxa"/>
            <w:shd w:val="clear" w:color="auto" w:fill="auto"/>
            <w:noWrap/>
            <w:vAlign w:val="center"/>
            <w:hideMark/>
          </w:tcPr>
          <w:p w14:paraId="25AB9C5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8.4</w:t>
            </w:r>
          </w:p>
        </w:tc>
        <w:tc>
          <w:tcPr>
            <w:tcW w:w="1480" w:type="dxa"/>
            <w:shd w:val="clear" w:color="auto" w:fill="auto"/>
            <w:noWrap/>
            <w:vAlign w:val="center"/>
            <w:hideMark/>
          </w:tcPr>
          <w:p w14:paraId="439A6F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760" w:type="dxa"/>
            <w:shd w:val="clear" w:color="auto" w:fill="auto"/>
            <w:noWrap/>
            <w:vAlign w:val="center"/>
            <w:hideMark/>
          </w:tcPr>
          <w:p w14:paraId="16A817E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w:t>
            </w:r>
          </w:p>
        </w:tc>
        <w:tc>
          <w:tcPr>
            <w:tcW w:w="1200" w:type="dxa"/>
            <w:shd w:val="clear" w:color="auto" w:fill="auto"/>
            <w:noWrap/>
            <w:vAlign w:val="center"/>
            <w:hideMark/>
          </w:tcPr>
          <w:p w14:paraId="49AA74E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auto"/>
            <w:noWrap/>
            <w:vAlign w:val="center"/>
            <w:hideMark/>
          </w:tcPr>
          <w:p w14:paraId="2B53964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420" w:type="dxa"/>
            <w:shd w:val="clear" w:color="auto" w:fill="auto"/>
            <w:noWrap/>
            <w:vAlign w:val="center"/>
            <w:hideMark/>
          </w:tcPr>
          <w:p w14:paraId="40B95C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auto"/>
            <w:noWrap/>
            <w:vAlign w:val="center"/>
            <w:hideMark/>
          </w:tcPr>
          <w:p w14:paraId="2221E0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860" w:type="dxa"/>
            <w:shd w:val="clear" w:color="auto" w:fill="auto"/>
            <w:noWrap/>
            <w:vAlign w:val="center"/>
            <w:hideMark/>
          </w:tcPr>
          <w:p w14:paraId="08A1F7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00" w:type="dxa"/>
            <w:shd w:val="clear" w:color="auto" w:fill="auto"/>
            <w:noWrap/>
            <w:vAlign w:val="center"/>
            <w:hideMark/>
          </w:tcPr>
          <w:p w14:paraId="48A41C2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r>
      <w:tr w:rsidR="00FE3FE8" w:rsidRPr="009A501D" w14:paraId="41784C3C" w14:textId="77777777" w:rsidTr="00224E0F">
        <w:trPr>
          <w:trHeight w:val="170"/>
        </w:trPr>
        <w:tc>
          <w:tcPr>
            <w:tcW w:w="880" w:type="dxa"/>
            <w:shd w:val="clear" w:color="auto" w:fill="F2F2F2" w:themeFill="background1" w:themeFillShade="F2"/>
            <w:noWrap/>
            <w:vAlign w:val="center"/>
            <w:hideMark/>
          </w:tcPr>
          <w:p w14:paraId="406A12E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406482E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Gobiernos Estatales</w:t>
            </w:r>
          </w:p>
        </w:tc>
        <w:tc>
          <w:tcPr>
            <w:tcW w:w="902" w:type="dxa"/>
            <w:shd w:val="clear" w:color="auto" w:fill="F2F2F2" w:themeFill="background1" w:themeFillShade="F2"/>
            <w:noWrap/>
            <w:vAlign w:val="center"/>
            <w:hideMark/>
          </w:tcPr>
          <w:p w14:paraId="6AFFE23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CNGE</w:t>
            </w:r>
          </w:p>
        </w:tc>
        <w:tc>
          <w:tcPr>
            <w:tcW w:w="1312" w:type="dxa"/>
            <w:shd w:val="clear" w:color="auto" w:fill="F2F2F2" w:themeFill="background1" w:themeFillShade="F2"/>
            <w:noWrap/>
            <w:vAlign w:val="center"/>
            <w:hideMark/>
          </w:tcPr>
          <w:p w14:paraId="759543B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67.6</w:t>
            </w:r>
          </w:p>
        </w:tc>
        <w:tc>
          <w:tcPr>
            <w:tcW w:w="1480" w:type="dxa"/>
            <w:shd w:val="clear" w:color="auto" w:fill="F2F2F2" w:themeFill="background1" w:themeFillShade="F2"/>
            <w:noWrap/>
            <w:vAlign w:val="center"/>
            <w:hideMark/>
          </w:tcPr>
          <w:p w14:paraId="7A52F20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760" w:type="dxa"/>
            <w:shd w:val="clear" w:color="auto" w:fill="F2F2F2" w:themeFill="background1" w:themeFillShade="F2"/>
            <w:noWrap/>
            <w:vAlign w:val="center"/>
            <w:hideMark/>
          </w:tcPr>
          <w:p w14:paraId="5B1C0C2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200" w:type="dxa"/>
            <w:shd w:val="clear" w:color="auto" w:fill="F2F2F2" w:themeFill="background1" w:themeFillShade="F2"/>
            <w:noWrap/>
            <w:vAlign w:val="center"/>
            <w:hideMark/>
          </w:tcPr>
          <w:p w14:paraId="5E0BEA2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000" w:type="dxa"/>
            <w:shd w:val="clear" w:color="auto" w:fill="F2F2F2" w:themeFill="background1" w:themeFillShade="F2"/>
            <w:noWrap/>
            <w:vAlign w:val="center"/>
            <w:hideMark/>
          </w:tcPr>
          <w:p w14:paraId="0A22787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420" w:type="dxa"/>
            <w:shd w:val="clear" w:color="auto" w:fill="F2F2F2" w:themeFill="background1" w:themeFillShade="F2"/>
            <w:noWrap/>
            <w:vAlign w:val="center"/>
            <w:hideMark/>
          </w:tcPr>
          <w:p w14:paraId="6773493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180" w:type="dxa"/>
            <w:shd w:val="clear" w:color="auto" w:fill="F2F2F2" w:themeFill="background1" w:themeFillShade="F2"/>
            <w:noWrap/>
            <w:vAlign w:val="center"/>
            <w:hideMark/>
          </w:tcPr>
          <w:p w14:paraId="4CCC85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860" w:type="dxa"/>
            <w:shd w:val="clear" w:color="auto" w:fill="F2F2F2" w:themeFill="background1" w:themeFillShade="F2"/>
            <w:noWrap/>
            <w:vAlign w:val="center"/>
            <w:hideMark/>
          </w:tcPr>
          <w:p w14:paraId="5D253E7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00" w:type="dxa"/>
            <w:shd w:val="clear" w:color="auto" w:fill="F2F2F2" w:themeFill="background1" w:themeFillShade="F2"/>
            <w:noWrap/>
            <w:vAlign w:val="center"/>
            <w:hideMark/>
          </w:tcPr>
          <w:p w14:paraId="78D93F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r>
      <w:tr w:rsidR="00FE3FE8" w:rsidRPr="009A501D" w14:paraId="0381BDD2" w14:textId="77777777" w:rsidTr="00224E0F">
        <w:trPr>
          <w:trHeight w:val="170"/>
        </w:trPr>
        <w:tc>
          <w:tcPr>
            <w:tcW w:w="880" w:type="dxa"/>
            <w:shd w:val="clear" w:color="auto" w:fill="F2F2F2" w:themeFill="background1" w:themeFillShade="F2"/>
            <w:noWrap/>
            <w:vAlign w:val="center"/>
            <w:hideMark/>
          </w:tcPr>
          <w:p w14:paraId="3F1181B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1DAA6D9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Gobierno Federal</w:t>
            </w:r>
          </w:p>
        </w:tc>
        <w:tc>
          <w:tcPr>
            <w:tcW w:w="902" w:type="dxa"/>
            <w:shd w:val="clear" w:color="auto" w:fill="F2F2F2" w:themeFill="background1" w:themeFillShade="F2"/>
            <w:noWrap/>
            <w:vAlign w:val="center"/>
            <w:hideMark/>
          </w:tcPr>
          <w:p w14:paraId="2E3A724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CNGF</w:t>
            </w:r>
          </w:p>
        </w:tc>
        <w:tc>
          <w:tcPr>
            <w:tcW w:w="1312" w:type="dxa"/>
            <w:shd w:val="clear" w:color="auto" w:fill="F2F2F2" w:themeFill="background1" w:themeFillShade="F2"/>
            <w:noWrap/>
            <w:vAlign w:val="center"/>
            <w:hideMark/>
          </w:tcPr>
          <w:p w14:paraId="133FBB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11.3</w:t>
            </w:r>
          </w:p>
        </w:tc>
        <w:tc>
          <w:tcPr>
            <w:tcW w:w="1480" w:type="dxa"/>
            <w:shd w:val="clear" w:color="auto" w:fill="F2F2F2" w:themeFill="background1" w:themeFillShade="F2"/>
            <w:noWrap/>
            <w:vAlign w:val="center"/>
            <w:hideMark/>
          </w:tcPr>
          <w:p w14:paraId="0F18752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760" w:type="dxa"/>
            <w:shd w:val="clear" w:color="auto" w:fill="F2F2F2" w:themeFill="background1" w:themeFillShade="F2"/>
            <w:noWrap/>
            <w:vAlign w:val="center"/>
            <w:hideMark/>
          </w:tcPr>
          <w:p w14:paraId="3852D95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200" w:type="dxa"/>
            <w:shd w:val="clear" w:color="auto" w:fill="F2F2F2" w:themeFill="background1" w:themeFillShade="F2"/>
            <w:noWrap/>
            <w:vAlign w:val="center"/>
            <w:hideMark/>
          </w:tcPr>
          <w:p w14:paraId="5D67E03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F2F2F2" w:themeFill="background1" w:themeFillShade="F2"/>
            <w:noWrap/>
            <w:vAlign w:val="center"/>
            <w:hideMark/>
          </w:tcPr>
          <w:p w14:paraId="7510F45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420" w:type="dxa"/>
            <w:shd w:val="clear" w:color="auto" w:fill="F2F2F2" w:themeFill="background1" w:themeFillShade="F2"/>
            <w:noWrap/>
            <w:vAlign w:val="center"/>
            <w:hideMark/>
          </w:tcPr>
          <w:p w14:paraId="2679C7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F2F2F2" w:themeFill="background1" w:themeFillShade="F2"/>
            <w:noWrap/>
            <w:vAlign w:val="center"/>
            <w:hideMark/>
          </w:tcPr>
          <w:p w14:paraId="28F7BC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860" w:type="dxa"/>
            <w:shd w:val="clear" w:color="auto" w:fill="F2F2F2" w:themeFill="background1" w:themeFillShade="F2"/>
            <w:noWrap/>
            <w:vAlign w:val="center"/>
            <w:hideMark/>
          </w:tcPr>
          <w:p w14:paraId="430FAE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F2F2F2" w:themeFill="background1" w:themeFillShade="F2"/>
            <w:noWrap/>
            <w:vAlign w:val="center"/>
            <w:hideMark/>
          </w:tcPr>
          <w:p w14:paraId="4BAE947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r>
      <w:tr w:rsidR="00FE3FE8" w:rsidRPr="009A501D" w14:paraId="23F62A35" w14:textId="77777777" w:rsidTr="00224E0F">
        <w:trPr>
          <w:trHeight w:val="170"/>
        </w:trPr>
        <w:tc>
          <w:tcPr>
            <w:tcW w:w="880" w:type="dxa"/>
            <w:shd w:val="clear" w:color="auto" w:fill="auto"/>
            <w:noWrap/>
            <w:vAlign w:val="center"/>
            <w:hideMark/>
          </w:tcPr>
          <w:p w14:paraId="235BE40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17489A7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Gobiernos Municipales y Demarcaciones Territoriales de la Ciudad de México</w:t>
            </w:r>
          </w:p>
        </w:tc>
        <w:tc>
          <w:tcPr>
            <w:tcW w:w="902" w:type="dxa"/>
            <w:shd w:val="clear" w:color="auto" w:fill="auto"/>
            <w:noWrap/>
            <w:vAlign w:val="center"/>
            <w:hideMark/>
          </w:tcPr>
          <w:p w14:paraId="575BB07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CNGMD</w:t>
            </w:r>
          </w:p>
        </w:tc>
        <w:tc>
          <w:tcPr>
            <w:tcW w:w="1312" w:type="dxa"/>
            <w:shd w:val="clear" w:color="auto" w:fill="auto"/>
            <w:noWrap/>
            <w:vAlign w:val="center"/>
            <w:hideMark/>
          </w:tcPr>
          <w:p w14:paraId="738D6CC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17.5</w:t>
            </w:r>
          </w:p>
        </w:tc>
        <w:tc>
          <w:tcPr>
            <w:tcW w:w="1480" w:type="dxa"/>
            <w:shd w:val="clear" w:color="auto" w:fill="auto"/>
            <w:noWrap/>
            <w:vAlign w:val="center"/>
            <w:hideMark/>
          </w:tcPr>
          <w:p w14:paraId="13937DF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760" w:type="dxa"/>
            <w:shd w:val="clear" w:color="auto" w:fill="auto"/>
            <w:noWrap/>
            <w:vAlign w:val="center"/>
            <w:hideMark/>
          </w:tcPr>
          <w:p w14:paraId="1C552F7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200" w:type="dxa"/>
            <w:shd w:val="clear" w:color="auto" w:fill="auto"/>
            <w:noWrap/>
            <w:vAlign w:val="center"/>
            <w:hideMark/>
          </w:tcPr>
          <w:p w14:paraId="0B0A0EC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000" w:type="dxa"/>
            <w:shd w:val="clear" w:color="auto" w:fill="auto"/>
            <w:noWrap/>
            <w:vAlign w:val="center"/>
            <w:hideMark/>
          </w:tcPr>
          <w:p w14:paraId="1BE553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420" w:type="dxa"/>
            <w:shd w:val="clear" w:color="auto" w:fill="auto"/>
            <w:noWrap/>
            <w:vAlign w:val="center"/>
            <w:hideMark/>
          </w:tcPr>
          <w:p w14:paraId="47C862A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auto"/>
            <w:noWrap/>
            <w:vAlign w:val="center"/>
            <w:hideMark/>
          </w:tcPr>
          <w:p w14:paraId="6D7D60B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860" w:type="dxa"/>
            <w:shd w:val="clear" w:color="auto" w:fill="auto"/>
            <w:noWrap/>
            <w:vAlign w:val="center"/>
            <w:hideMark/>
          </w:tcPr>
          <w:p w14:paraId="7DF4CB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00" w:type="dxa"/>
            <w:shd w:val="clear" w:color="auto" w:fill="auto"/>
            <w:noWrap/>
            <w:vAlign w:val="center"/>
            <w:hideMark/>
          </w:tcPr>
          <w:p w14:paraId="332B6CB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6950D48B" w14:textId="77777777" w:rsidTr="00224E0F">
        <w:trPr>
          <w:trHeight w:val="170"/>
        </w:trPr>
        <w:tc>
          <w:tcPr>
            <w:tcW w:w="880" w:type="dxa"/>
            <w:shd w:val="clear" w:color="auto" w:fill="auto"/>
            <w:noWrap/>
            <w:vAlign w:val="center"/>
            <w:hideMark/>
          </w:tcPr>
          <w:p w14:paraId="35BDED8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524EF9D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Impartición de Justicia Estatal</w:t>
            </w:r>
          </w:p>
        </w:tc>
        <w:tc>
          <w:tcPr>
            <w:tcW w:w="902" w:type="dxa"/>
            <w:shd w:val="clear" w:color="auto" w:fill="auto"/>
            <w:noWrap/>
            <w:vAlign w:val="center"/>
            <w:hideMark/>
          </w:tcPr>
          <w:p w14:paraId="3AD368C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CNIJE</w:t>
            </w:r>
          </w:p>
        </w:tc>
        <w:tc>
          <w:tcPr>
            <w:tcW w:w="1312" w:type="dxa"/>
            <w:shd w:val="clear" w:color="auto" w:fill="auto"/>
            <w:noWrap/>
            <w:vAlign w:val="center"/>
            <w:hideMark/>
          </w:tcPr>
          <w:p w14:paraId="5B6657B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22.5</w:t>
            </w:r>
          </w:p>
        </w:tc>
        <w:tc>
          <w:tcPr>
            <w:tcW w:w="1480" w:type="dxa"/>
            <w:shd w:val="clear" w:color="auto" w:fill="auto"/>
            <w:noWrap/>
            <w:vAlign w:val="center"/>
            <w:hideMark/>
          </w:tcPr>
          <w:p w14:paraId="003F78F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760" w:type="dxa"/>
            <w:shd w:val="clear" w:color="auto" w:fill="auto"/>
            <w:noWrap/>
            <w:vAlign w:val="center"/>
            <w:hideMark/>
          </w:tcPr>
          <w:p w14:paraId="1E0FAC9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200" w:type="dxa"/>
            <w:shd w:val="clear" w:color="auto" w:fill="auto"/>
            <w:noWrap/>
            <w:vAlign w:val="center"/>
            <w:hideMark/>
          </w:tcPr>
          <w:p w14:paraId="5A5DCE9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auto"/>
            <w:noWrap/>
            <w:vAlign w:val="center"/>
            <w:hideMark/>
          </w:tcPr>
          <w:p w14:paraId="5BCA562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420" w:type="dxa"/>
            <w:shd w:val="clear" w:color="auto" w:fill="auto"/>
            <w:noWrap/>
            <w:vAlign w:val="center"/>
            <w:hideMark/>
          </w:tcPr>
          <w:p w14:paraId="7C573EC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80" w:type="dxa"/>
            <w:shd w:val="clear" w:color="auto" w:fill="auto"/>
            <w:noWrap/>
            <w:vAlign w:val="center"/>
            <w:hideMark/>
          </w:tcPr>
          <w:p w14:paraId="3A11204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860" w:type="dxa"/>
            <w:shd w:val="clear" w:color="auto" w:fill="auto"/>
            <w:noWrap/>
            <w:vAlign w:val="center"/>
            <w:hideMark/>
          </w:tcPr>
          <w:p w14:paraId="3E0F391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auto"/>
            <w:noWrap/>
            <w:vAlign w:val="center"/>
            <w:hideMark/>
          </w:tcPr>
          <w:p w14:paraId="690E6BF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4E84856C" w14:textId="77777777" w:rsidTr="00224E0F">
        <w:trPr>
          <w:trHeight w:val="170"/>
        </w:trPr>
        <w:tc>
          <w:tcPr>
            <w:tcW w:w="880" w:type="dxa"/>
            <w:shd w:val="clear" w:color="auto" w:fill="F2F2F2" w:themeFill="background1" w:themeFillShade="F2"/>
            <w:noWrap/>
            <w:vAlign w:val="center"/>
            <w:hideMark/>
          </w:tcPr>
          <w:p w14:paraId="5CF6D55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0462C28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Impartición de Justicia Federal</w:t>
            </w:r>
          </w:p>
        </w:tc>
        <w:tc>
          <w:tcPr>
            <w:tcW w:w="902" w:type="dxa"/>
            <w:shd w:val="clear" w:color="auto" w:fill="F2F2F2" w:themeFill="background1" w:themeFillShade="F2"/>
            <w:noWrap/>
            <w:vAlign w:val="center"/>
            <w:hideMark/>
          </w:tcPr>
          <w:p w14:paraId="5BCD3B5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CNIJF</w:t>
            </w:r>
          </w:p>
        </w:tc>
        <w:tc>
          <w:tcPr>
            <w:tcW w:w="1312" w:type="dxa"/>
            <w:shd w:val="clear" w:color="auto" w:fill="F2F2F2" w:themeFill="background1" w:themeFillShade="F2"/>
            <w:noWrap/>
            <w:vAlign w:val="center"/>
            <w:hideMark/>
          </w:tcPr>
          <w:p w14:paraId="6B6A35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8.2</w:t>
            </w:r>
          </w:p>
        </w:tc>
        <w:tc>
          <w:tcPr>
            <w:tcW w:w="1480" w:type="dxa"/>
            <w:shd w:val="clear" w:color="auto" w:fill="F2F2F2" w:themeFill="background1" w:themeFillShade="F2"/>
            <w:noWrap/>
            <w:vAlign w:val="center"/>
            <w:hideMark/>
          </w:tcPr>
          <w:p w14:paraId="64A562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760" w:type="dxa"/>
            <w:shd w:val="clear" w:color="auto" w:fill="F2F2F2" w:themeFill="background1" w:themeFillShade="F2"/>
            <w:noWrap/>
            <w:vAlign w:val="center"/>
            <w:hideMark/>
          </w:tcPr>
          <w:p w14:paraId="37B6441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200" w:type="dxa"/>
            <w:shd w:val="clear" w:color="auto" w:fill="F2F2F2" w:themeFill="background1" w:themeFillShade="F2"/>
            <w:noWrap/>
            <w:vAlign w:val="center"/>
            <w:hideMark/>
          </w:tcPr>
          <w:p w14:paraId="665E9A8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565A9F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420" w:type="dxa"/>
            <w:shd w:val="clear" w:color="auto" w:fill="F2F2F2" w:themeFill="background1" w:themeFillShade="F2"/>
            <w:noWrap/>
            <w:vAlign w:val="center"/>
            <w:hideMark/>
          </w:tcPr>
          <w:p w14:paraId="6D9F50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F2F2F2" w:themeFill="background1" w:themeFillShade="F2"/>
            <w:noWrap/>
            <w:vAlign w:val="center"/>
            <w:hideMark/>
          </w:tcPr>
          <w:p w14:paraId="13E0296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860" w:type="dxa"/>
            <w:shd w:val="clear" w:color="auto" w:fill="F2F2F2" w:themeFill="background1" w:themeFillShade="F2"/>
            <w:noWrap/>
            <w:vAlign w:val="center"/>
            <w:hideMark/>
          </w:tcPr>
          <w:p w14:paraId="19A1F5D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00" w:type="dxa"/>
            <w:shd w:val="clear" w:color="auto" w:fill="F2F2F2" w:themeFill="background1" w:themeFillShade="F2"/>
            <w:noWrap/>
            <w:vAlign w:val="center"/>
            <w:hideMark/>
          </w:tcPr>
          <w:p w14:paraId="7562131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0476BD2D" w14:textId="77777777" w:rsidTr="00224E0F">
        <w:trPr>
          <w:trHeight w:val="170"/>
        </w:trPr>
        <w:tc>
          <w:tcPr>
            <w:tcW w:w="880" w:type="dxa"/>
            <w:shd w:val="clear" w:color="auto" w:fill="F2F2F2" w:themeFill="background1" w:themeFillShade="F2"/>
            <w:noWrap/>
            <w:vAlign w:val="center"/>
            <w:hideMark/>
          </w:tcPr>
          <w:p w14:paraId="4CFF4F2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798BAF74"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Procuración de Justicia Estatal</w:t>
            </w:r>
          </w:p>
        </w:tc>
        <w:tc>
          <w:tcPr>
            <w:tcW w:w="902" w:type="dxa"/>
            <w:shd w:val="clear" w:color="auto" w:fill="F2F2F2" w:themeFill="background1" w:themeFillShade="F2"/>
            <w:noWrap/>
            <w:vAlign w:val="center"/>
            <w:hideMark/>
          </w:tcPr>
          <w:p w14:paraId="7ED6E8C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CNPJE</w:t>
            </w:r>
          </w:p>
        </w:tc>
        <w:tc>
          <w:tcPr>
            <w:tcW w:w="1312" w:type="dxa"/>
            <w:shd w:val="clear" w:color="auto" w:fill="F2F2F2" w:themeFill="background1" w:themeFillShade="F2"/>
            <w:noWrap/>
            <w:vAlign w:val="center"/>
            <w:hideMark/>
          </w:tcPr>
          <w:p w14:paraId="15AC187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22.8</w:t>
            </w:r>
          </w:p>
        </w:tc>
        <w:tc>
          <w:tcPr>
            <w:tcW w:w="1480" w:type="dxa"/>
            <w:shd w:val="clear" w:color="auto" w:fill="F2F2F2" w:themeFill="background1" w:themeFillShade="F2"/>
            <w:noWrap/>
            <w:vAlign w:val="center"/>
            <w:hideMark/>
          </w:tcPr>
          <w:p w14:paraId="0632894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760" w:type="dxa"/>
            <w:shd w:val="clear" w:color="auto" w:fill="F2F2F2" w:themeFill="background1" w:themeFillShade="F2"/>
            <w:noWrap/>
            <w:vAlign w:val="center"/>
            <w:hideMark/>
          </w:tcPr>
          <w:p w14:paraId="5BC96E0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200" w:type="dxa"/>
            <w:shd w:val="clear" w:color="auto" w:fill="F2F2F2" w:themeFill="background1" w:themeFillShade="F2"/>
            <w:noWrap/>
            <w:vAlign w:val="center"/>
            <w:hideMark/>
          </w:tcPr>
          <w:p w14:paraId="598E67A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F2F2F2" w:themeFill="background1" w:themeFillShade="F2"/>
            <w:noWrap/>
            <w:vAlign w:val="center"/>
            <w:hideMark/>
          </w:tcPr>
          <w:p w14:paraId="472AF6C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420" w:type="dxa"/>
            <w:shd w:val="clear" w:color="auto" w:fill="F2F2F2" w:themeFill="background1" w:themeFillShade="F2"/>
            <w:noWrap/>
            <w:vAlign w:val="center"/>
            <w:hideMark/>
          </w:tcPr>
          <w:p w14:paraId="56497E2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80" w:type="dxa"/>
            <w:shd w:val="clear" w:color="auto" w:fill="F2F2F2" w:themeFill="background1" w:themeFillShade="F2"/>
            <w:noWrap/>
            <w:vAlign w:val="center"/>
            <w:hideMark/>
          </w:tcPr>
          <w:p w14:paraId="5C79FD9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860" w:type="dxa"/>
            <w:shd w:val="clear" w:color="auto" w:fill="F2F2F2" w:themeFill="background1" w:themeFillShade="F2"/>
            <w:noWrap/>
            <w:vAlign w:val="center"/>
            <w:hideMark/>
          </w:tcPr>
          <w:p w14:paraId="4F02EFC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100" w:type="dxa"/>
            <w:shd w:val="clear" w:color="auto" w:fill="F2F2F2" w:themeFill="background1" w:themeFillShade="F2"/>
            <w:noWrap/>
            <w:vAlign w:val="center"/>
            <w:hideMark/>
          </w:tcPr>
          <w:p w14:paraId="3EB6C37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06AC88A6" w14:textId="77777777" w:rsidTr="00224E0F">
        <w:trPr>
          <w:trHeight w:val="170"/>
        </w:trPr>
        <w:tc>
          <w:tcPr>
            <w:tcW w:w="880" w:type="dxa"/>
            <w:shd w:val="clear" w:color="auto" w:fill="auto"/>
            <w:noWrap/>
            <w:vAlign w:val="center"/>
            <w:hideMark/>
          </w:tcPr>
          <w:p w14:paraId="5A44194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0189850B"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Procuración de Justicia Federal</w:t>
            </w:r>
          </w:p>
        </w:tc>
        <w:tc>
          <w:tcPr>
            <w:tcW w:w="902" w:type="dxa"/>
            <w:shd w:val="clear" w:color="auto" w:fill="auto"/>
            <w:noWrap/>
            <w:vAlign w:val="center"/>
            <w:hideMark/>
          </w:tcPr>
          <w:p w14:paraId="13C1B3D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CNPJF</w:t>
            </w:r>
          </w:p>
        </w:tc>
        <w:tc>
          <w:tcPr>
            <w:tcW w:w="1312" w:type="dxa"/>
            <w:shd w:val="clear" w:color="auto" w:fill="auto"/>
            <w:noWrap/>
            <w:vAlign w:val="center"/>
            <w:hideMark/>
          </w:tcPr>
          <w:p w14:paraId="091D057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11.3</w:t>
            </w:r>
          </w:p>
        </w:tc>
        <w:tc>
          <w:tcPr>
            <w:tcW w:w="1480" w:type="dxa"/>
            <w:shd w:val="clear" w:color="auto" w:fill="auto"/>
            <w:noWrap/>
            <w:vAlign w:val="center"/>
            <w:hideMark/>
          </w:tcPr>
          <w:p w14:paraId="39677AB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760" w:type="dxa"/>
            <w:shd w:val="clear" w:color="auto" w:fill="auto"/>
            <w:noWrap/>
            <w:vAlign w:val="center"/>
            <w:hideMark/>
          </w:tcPr>
          <w:p w14:paraId="51DB7D7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200" w:type="dxa"/>
            <w:shd w:val="clear" w:color="auto" w:fill="auto"/>
            <w:noWrap/>
            <w:vAlign w:val="center"/>
            <w:hideMark/>
          </w:tcPr>
          <w:p w14:paraId="6C68D1D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auto"/>
            <w:noWrap/>
            <w:vAlign w:val="center"/>
            <w:hideMark/>
          </w:tcPr>
          <w:p w14:paraId="0C47D5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420" w:type="dxa"/>
            <w:shd w:val="clear" w:color="auto" w:fill="auto"/>
            <w:noWrap/>
            <w:vAlign w:val="center"/>
            <w:hideMark/>
          </w:tcPr>
          <w:p w14:paraId="3AD2298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auto"/>
            <w:noWrap/>
            <w:vAlign w:val="center"/>
            <w:hideMark/>
          </w:tcPr>
          <w:p w14:paraId="2B9015D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860" w:type="dxa"/>
            <w:shd w:val="clear" w:color="auto" w:fill="auto"/>
            <w:noWrap/>
            <w:vAlign w:val="center"/>
            <w:hideMark/>
          </w:tcPr>
          <w:p w14:paraId="51A2548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auto"/>
            <w:noWrap/>
            <w:vAlign w:val="center"/>
            <w:hideMark/>
          </w:tcPr>
          <w:p w14:paraId="5B91E28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r>
      <w:tr w:rsidR="00FE3FE8" w:rsidRPr="009A501D" w14:paraId="2A52CAEC" w14:textId="77777777" w:rsidTr="00224E0F">
        <w:trPr>
          <w:trHeight w:val="170"/>
        </w:trPr>
        <w:tc>
          <w:tcPr>
            <w:tcW w:w="880" w:type="dxa"/>
            <w:shd w:val="clear" w:color="auto" w:fill="auto"/>
            <w:noWrap/>
            <w:vAlign w:val="center"/>
            <w:hideMark/>
          </w:tcPr>
          <w:p w14:paraId="24030AD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23C3BF5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Sistemas Penitenciarios Estatales</w:t>
            </w:r>
          </w:p>
        </w:tc>
        <w:tc>
          <w:tcPr>
            <w:tcW w:w="902" w:type="dxa"/>
            <w:shd w:val="clear" w:color="auto" w:fill="auto"/>
            <w:noWrap/>
            <w:vAlign w:val="center"/>
            <w:hideMark/>
          </w:tcPr>
          <w:p w14:paraId="279008E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CNSIPEE</w:t>
            </w:r>
          </w:p>
        </w:tc>
        <w:tc>
          <w:tcPr>
            <w:tcW w:w="1312" w:type="dxa"/>
            <w:shd w:val="clear" w:color="auto" w:fill="auto"/>
            <w:noWrap/>
            <w:vAlign w:val="center"/>
            <w:hideMark/>
          </w:tcPr>
          <w:p w14:paraId="5BB35F4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24.3</w:t>
            </w:r>
          </w:p>
        </w:tc>
        <w:tc>
          <w:tcPr>
            <w:tcW w:w="1480" w:type="dxa"/>
            <w:shd w:val="clear" w:color="auto" w:fill="auto"/>
            <w:noWrap/>
            <w:vAlign w:val="center"/>
            <w:hideMark/>
          </w:tcPr>
          <w:p w14:paraId="0B5A6E2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760" w:type="dxa"/>
            <w:shd w:val="clear" w:color="auto" w:fill="auto"/>
            <w:noWrap/>
            <w:vAlign w:val="center"/>
            <w:hideMark/>
          </w:tcPr>
          <w:p w14:paraId="2740755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200" w:type="dxa"/>
            <w:shd w:val="clear" w:color="auto" w:fill="auto"/>
            <w:noWrap/>
            <w:vAlign w:val="center"/>
            <w:hideMark/>
          </w:tcPr>
          <w:p w14:paraId="6EE2FDD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auto"/>
            <w:noWrap/>
            <w:vAlign w:val="center"/>
            <w:hideMark/>
          </w:tcPr>
          <w:p w14:paraId="153052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420" w:type="dxa"/>
            <w:shd w:val="clear" w:color="auto" w:fill="auto"/>
            <w:noWrap/>
            <w:vAlign w:val="center"/>
            <w:hideMark/>
          </w:tcPr>
          <w:p w14:paraId="79D44AA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180" w:type="dxa"/>
            <w:shd w:val="clear" w:color="auto" w:fill="auto"/>
            <w:noWrap/>
            <w:vAlign w:val="center"/>
            <w:hideMark/>
          </w:tcPr>
          <w:p w14:paraId="604070C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860" w:type="dxa"/>
            <w:shd w:val="clear" w:color="auto" w:fill="auto"/>
            <w:noWrap/>
            <w:vAlign w:val="center"/>
            <w:hideMark/>
          </w:tcPr>
          <w:p w14:paraId="2332B3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00" w:type="dxa"/>
            <w:shd w:val="clear" w:color="auto" w:fill="auto"/>
            <w:noWrap/>
            <w:vAlign w:val="center"/>
            <w:hideMark/>
          </w:tcPr>
          <w:p w14:paraId="6B2FF8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r>
      <w:tr w:rsidR="00FE3FE8" w:rsidRPr="009A501D" w14:paraId="41133F75" w14:textId="77777777" w:rsidTr="00224E0F">
        <w:trPr>
          <w:trHeight w:val="170"/>
        </w:trPr>
        <w:tc>
          <w:tcPr>
            <w:tcW w:w="880" w:type="dxa"/>
            <w:shd w:val="clear" w:color="auto" w:fill="F2F2F2" w:themeFill="background1" w:themeFillShade="F2"/>
            <w:noWrap/>
            <w:vAlign w:val="center"/>
            <w:hideMark/>
          </w:tcPr>
          <w:p w14:paraId="453F915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32B73C4D"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Sistema Penitenciario Federal</w:t>
            </w:r>
          </w:p>
        </w:tc>
        <w:tc>
          <w:tcPr>
            <w:tcW w:w="902" w:type="dxa"/>
            <w:shd w:val="clear" w:color="auto" w:fill="F2F2F2" w:themeFill="background1" w:themeFillShade="F2"/>
            <w:noWrap/>
            <w:vAlign w:val="center"/>
            <w:hideMark/>
          </w:tcPr>
          <w:p w14:paraId="3A91285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CNSIPEF</w:t>
            </w:r>
          </w:p>
        </w:tc>
        <w:tc>
          <w:tcPr>
            <w:tcW w:w="1312" w:type="dxa"/>
            <w:shd w:val="clear" w:color="auto" w:fill="F2F2F2" w:themeFill="background1" w:themeFillShade="F2"/>
            <w:noWrap/>
            <w:vAlign w:val="center"/>
            <w:hideMark/>
          </w:tcPr>
          <w:p w14:paraId="6DC49D2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8.8</w:t>
            </w:r>
          </w:p>
        </w:tc>
        <w:tc>
          <w:tcPr>
            <w:tcW w:w="1480" w:type="dxa"/>
            <w:shd w:val="clear" w:color="auto" w:fill="F2F2F2" w:themeFill="background1" w:themeFillShade="F2"/>
            <w:noWrap/>
            <w:vAlign w:val="center"/>
            <w:hideMark/>
          </w:tcPr>
          <w:p w14:paraId="2ACE4A1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760" w:type="dxa"/>
            <w:shd w:val="clear" w:color="auto" w:fill="F2F2F2" w:themeFill="background1" w:themeFillShade="F2"/>
            <w:noWrap/>
            <w:vAlign w:val="center"/>
            <w:hideMark/>
          </w:tcPr>
          <w:p w14:paraId="46FE567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w:t>
            </w:r>
          </w:p>
        </w:tc>
        <w:tc>
          <w:tcPr>
            <w:tcW w:w="1200" w:type="dxa"/>
            <w:shd w:val="clear" w:color="auto" w:fill="F2F2F2" w:themeFill="background1" w:themeFillShade="F2"/>
            <w:noWrap/>
            <w:vAlign w:val="center"/>
            <w:hideMark/>
          </w:tcPr>
          <w:p w14:paraId="2647C67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2A963FD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420" w:type="dxa"/>
            <w:shd w:val="clear" w:color="auto" w:fill="F2F2F2" w:themeFill="background1" w:themeFillShade="F2"/>
            <w:noWrap/>
            <w:vAlign w:val="center"/>
            <w:hideMark/>
          </w:tcPr>
          <w:p w14:paraId="611AF45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F2F2F2" w:themeFill="background1" w:themeFillShade="F2"/>
            <w:noWrap/>
            <w:vAlign w:val="center"/>
            <w:hideMark/>
          </w:tcPr>
          <w:p w14:paraId="621B948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860" w:type="dxa"/>
            <w:shd w:val="clear" w:color="auto" w:fill="F2F2F2" w:themeFill="background1" w:themeFillShade="F2"/>
            <w:noWrap/>
            <w:vAlign w:val="center"/>
            <w:hideMark/>
          </w:tcPr>
          <w:p w14:paraId="571DD5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F2F2F2" w:themeFill="background1" w:themeFillShade="F2"/>
            <w:noWrap/>
            <w:vAlign w:val="center"/>
            <w:hideMark/>
          </w:tcPr>
          <w:p w14:paraId="2E8F0DD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22186931" w14:textId="77777777" w:rsidTr="00224E0F">
        <w:trPr>
          <w:trHeight w:val="170"/>
        </w:trPr>
        <w:tc>
          <w:tcPr>
            <w:tcW w:w="880" w:type="dxa"/>
            <w:shd w:val="clear" w:color="auto" w:fill="F2F2F2" w:themeFill="background1" w:themeFillShade="F2"/>
            <w:noWrap/>
            <w:vAlign w:val="center"/>
            <w:hideMark/>
          </w:tcPr>
          <w:p w14:paraId="1A764E7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47ADC2DD"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Seguridad Pública Estatal</w:t>
            </w:r>
          </w:p>
        </w:tc>
        <w:tc>
          <w:tcPr>
            <w:tcW w:w="902" w:type="dxa"/>
            <w:shd w:val="clear" w:color="auto" w:fill="F2F2F2" w:themeFill="background1" w:themeFillShade="F2"/>
            <w:noWrap/>
            <w:vAlign w:val="center"/>
            <w:hideMark/>
          </w:tcPr>
          <w:p w14:paraId="70196DA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CNSPE</w:t>
            </w:r>
          </w:p>
        </w:tc>
        <w:tc>
          <w:tcPr>
            <w:tcW w:w="1312" w:type="dxa"/>
            <w:shd w:val="clear" w:color="auto" w:fill="F2F2F2" w:themeFill="background1" w:themeFillShade="F2"/>
            <w:noWrap/>
            <w:vAlign w:val="center"/>
            <w:hideMark/>
          </w:tcPr>
          <w:p w14:paraId="1A8F8F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21.8</w:t>
            </w:r>
          </w:p>
        </w:tc>
        <w:tc>
          <w:tcPr>
            <w:tcW w:w="1480" w:type="dxa"/>
            <w:shd w:val="clear" w:color="auto" w:fill="F2F2F2" w:themeFill="background1" w:themeFillShade="F2"/>
            <w:noWrap/>
            <w:vAlign w:val="center"/>
            <w:hideMark/>
          </w:tcPr>
          <w:p w14:paraId="106FF6B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760" w:type="dxa"/>
            <w:shd w:val="clear" w:color="auto" w:fill="F2F2F2" w:themeFill="background1" w:themeFillShade="F2"/>
            <w:noWrap/>
            <w:vAlign w:val="center"/>
            <w:hideMark/>
          </w:tcPr>
          <w:p w14:paraId="325869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200" w:type="dxa"/>
            <w:shd w:val="clear" w:color="auto" w:fill="F2F2F2" w:themeFill="background1" w:themeFillShade="F2"/>
            <w:noWrap/>
            <w:vAlign w:val="center"/>
            <w:hideMark/>
          </w:tcPr>
          <w:p w14:paraId="04DFB47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F2F2F2" w:themeFill="background1" w:themeFillShade="F2"/>
            <w:noWrap/>
            <w:vAlign w:val="center"/>
            <w:hideMark/>
          </w:tcPr>
          <w:p w14:paraId="151B0EA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420" w:type="dxa"/>
            <w:shd w:val="clear" w:color="auto" w:fill="F2F2F2" w:themeFill="background1" w:themeFillShade="F2"/>
            <w:noWrap/>
            <w:vAlign w:val="center"/>
            <w:hideMark/>
          </w:tcPr>
          <w:p w14:paraId="4A0DD2D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F2F2F2" w:themeFill="background1" w:themeFillShade="F2"/>
            <w:noWrap/>
            <w:vAlign w:val="center"/>
            <w:hideMark/>
          </w:tcPr>
          <w:p w14:paraId="0F5E687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860" w:type="dxa"/>
            <w:shd w:val="clear" w:color="auto" w:fill="F2F2F2" w:themeFill="background1" w:themeFillShade="F2"/>
            <w:noWrap/>
            <w:vAlign w:val="center"/>
            <w:hideMark/>
          </w:tcPr>
          <w:p w14:paraId="33DA2EF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00" w:type="dxa"/>
            <w:shd w:val="clear" w:color="auto" w:fill="F2F2F2" w:themeFill="background1" w:themeFillShade="F2"/>
            <w:noWrap/>
            <w:vAlign w:val="center"/>
            <w:hideMark/>
          </w:tcPr>
          <w:p w14:paraId="54497B9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r>
      <w:tr w:rsidR="00FE3FE8" w:rsidRPr="009A501D" w14:paraId="23DADE78" w14:textId="77777777" w:rsidTr="00224E0F">
        <w:trPr>
          <w:trHeight w:val="170"/>
        </w:trPr>
        <w:tc>
          <w:tcPr>
            <w:tcW w:w="880" w:type="dxa"/>
            <w:shd w:val="clear" w:color="auto" w:fill="auto"/>
            <w:noWrap/>
            <w:vAlign w:val="center"/>
            <w:hideMark/>
          </w:tcPr>
          <w:p w14:paraId="1D883BE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0E6E716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Nacional de Seguridad Pública Federal</w:t>
            </w:r>
          </w:p>
        </w:tc>
        <w:tc>
          <w:tcPr>
            <w:tcW w:w="902" w:type="dxa"/>
            <w:shd w:val="clear" w:color="auto" w:fill="auto"/>
            <w:noWrap/>
            <w:vAlign w:val="center"/>
            <w:hideMark/>
          </w:tcPr>
          <w:p w14:paraId="3E01FCA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CNSPF</w:t>
            </w:r>
          </w:p>
        </w:tc>
        <w:tc>
          <w:tcPr>
            <w:tcW w:w="1312" w:type="dxa"/>
            <w:shd w:val="clear" w:color="auto" w:fill="auto"/>
            <w:noWrap/>
            <w:vAlign w:val="center"/>
            <w:hideMark/>
          </w:tcPr>
          <w:p w14:paraId="6D47346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11.1</w:t>
            </w:r>
          </w:p>
        </w:tc>
        <w:tc>
          <w:tcPr>
            <w:tcW w:w="1480" w:type="dxa"/>
            <w:shd w:val="clear" w:color="auto" w:fill="auto"/>
            <w:noWrap/>
            <w:vAlign w:val="center"/>
            <w:hideMark/>
          </w:tcPr>
          <w:p w14:paraId="5FB2AFD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760" w:type="dxa"/>
            <w:shd w:val="clear" w:color="auto" w:fill="auto"/>
            <w:noWrap/>
            <w:vAlign w:val="center"/>
            <w:hideMark/>
          </w:tcPr>
          <w:p w14:paraId="65114D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200" w:type="dxa"/>
            <w:shd w:val="clear" w:color="auto" w:fill="auto"/>
            <w:noWrap/>
            <w:vAlign w:val="center"/>
            <w:hideMark/>
          </w:tcPr>
          <w:p w14:paraId="63D286D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auto"/>
            <w:noWrap/>
            <w:vAlign w:val="center"/>
            <w:hideMark/>
          </w:tcPr>
          <w:p w14:paraId="1E8C931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420" w:type="dxa"/>
            <w:shd w:val="clear" w:color="auto" w:fill="auto"/>
            <w:noWrap/>
            <w:vAlign w:val="center"/>
            <w:hideMark/>
          </w:tcPr>
          <w:p w14:paraId="11F3CC2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auto"/>
            <w:noWrap/>
            <w:vAlign w:val="center"/>
            <w:hideMark/>
          </w:tcPr>
          <w:p w14:paraId="50EB8BC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860" w:type="dxa"/>
            <w:shd w:val="clear" w:color="auto" w:fill="auto"/>
            <w:noWrap/>
            <w:vAlign w:val="center"/>
            <w:hideMark/>
          </w:tcPr>
          <w:p w14:paraId="775DE6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00" w:type="dxa"/>
            <w:shd w:val="clear" w:color="auto" w:fill="auto"/>
            <w:noWrap/>
            <w:vAlign w:val="center"/>
            <w:hideMark/>
          </w:tcPr>
          <w:p w14:paraId="68691F1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r>
      <w:tr w:rsidR="00FE3FE8" w:rsidRPr="009A501D" w14:paraId="56B395E0" w14:textId="77777777" w:rsidTr="00224E0F">
        <w:trPr>
          <w:trHeight w:val="170"/>
        </w:trPr>
        <w:tc>
          <w:tcPr>
            <w:tcW w:w="880" w:type="dxa"/>
            <w:shd w:val="clear" w:color="auto" w:fill="auto"/>
            <w:noWrap/>
            <w:vAlign w:val="center"/>
            <w:hideMark/>
          </w:tcPr>
          <w:p w14:paraId="1E957A0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6776857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Censo de Población y Vivienda (Estructura Permanente)</w:t>
            </w:r>
          </w:p>
        </w:tc>
        <w:tc>
          <w:tcPr>
            <w:tcW w:w="902" w:type="dxa"/>
            <w:shd w:val="clear" w:color="auto" w:fill="auto"/>
            <w:noWrap/>
            <w:vAlign w:val="center"/>
            <w:hideMark/>
          </w:tcPr>
          <w:p w14:paraId="48EA8E1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CPV</w:t>
            </w:r>
          </w:p>
        </w:tc>
        <w:tc>
          <w:tcPr>
            <w:tcW w:w="1312" w:type="dxa"/>
            <w:shd w:val="clear" w:color="auto" w:fill="auto"/>
            <w:noWrap/>
            <w:vAlign w:val="center"/>
            <w:hideMark/>
          </w:tcPr>
          <w:p w14:paraId="695A68E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201.4</w:t>
            </w:r>
          </w:p>
        </w:tc>
        <w:tc>
          <w:tcPr>
            <w:tcW w:w="1480" w:type="dxa"/>
            <w:shd w:val="clear" w:color="auto" w:fill="auto"/>
            <w:noWrap/>
            <w:vAlign w:val="center"/>
            <w:hideMark/>
          </w:tcPr>
          <w:p w14:paraId="4C77C1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w:t>
            </w:r>
          </w:p>
        </w:tc>
        <w:tc>
          <w:tcPr>
            <w:tcW w:w="760" w:type="dxa"/>
            <w:shd w:val="clear" w:color="auto" w:fill="auto"/>
            <w:noWrap/>
            <w:vAlign w:val="center"/>
            <w:hideMark/>
          </w:tcPr>
          <w:p w14:paraId="293FC78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w:t>
            </w:r>
          </w:p>
        </w:tc>
        <w:tc>
          <w:tcPr>
            <w:tcW w:w="1200" w:type="dxa"/>
            <w:shd w:val="clear" w:color="auto" w:fill="auto"/>
            <w:noWrap/>
            <w:vAlign w:val="center"/>
            <w:hideMark/>
          </w:tcPr>
          <w:p w14:paraId="0ED7032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69A0B8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auto"/>
            <w:noWrap/>
            <w:vAlign w:val="center"/>
            <w:hideMark/>
          </w:tcPr>
          <w:p w14:paraId="55E4FF1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auto"/>
            <w:noWrap/>
            <w:vAlign w:val="center"/>
            <w:hideMark/>
          </w:tcPr>
          <w:p w14:paraId="4D1A54D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860" w:type="dxa"/>
            <w:shd w:val="clear" w:color="auto" w:fill="auto"/>
            <w:noWrap/>
            <w:vAlign w:val="center"/>
            <w:hideMark/>
          </w:tcPr>
          <w:p w14:paraId="0635AD4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54442E5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44%</w:t>
            </w:r>
          </w:p>
        </w:tc>
      </w:tr>
      <w:tr w:rsidR="00FE3FE8" w:rsidRPr="009A501D" w14:paraId="766346B5" w14:textId="77777777" w:rsidTr="00224E0F">
        <w:trPr>
          <w:trHeight w:val="170"/>
        </w:trPr>
        <w:tc>
          <w:tcPr>
            <w:tcW w:w="880" w:type="dxa"/>
            <w:shd w:val="clear" w:color="auto" w:fill="F2F2F2" w:themeFill="background1" w:themeFillShade="F2"/>
            <w:noWrap/>
            <w:vAlign w:val="center"/>
            <w:hideMark/>
          </w:tcPr>
          <w:p w14:paraId="4289A86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360DBB0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comercio</w:t>
            </w:r>
          </w:p>
        </w:tc>
        <w:tc>
          <w:tcPr>
            <w:tcW w:w="902" w:type="dxa"/>
            <w:shd w:val="clear" w:color="auto" w:fill="F2F2F2" w:themeFill="background1" w:themeFillShade="F2"/>
            <w:noWrap/>
            <w:vAlign w:val="center"/>
            <w:hideMark/>
          </w:tcPr>
          <w:p w14:paraId="47CCC5F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EAC</w:t>
            </w:r>
          </w:p>
        </w:tc>
        <w:tc>
          <w:tcPr>
            <w:tcW w:w="1312" w:type="dxa"/>
            <w:shd w:val="clear" w:color="auto" w:fill="F2F2F2" w:themeFill="background1" w:themeFillShade="F2"/>
            <w:noWrap/>
            <w:vAlign w:val="center"/>
            <w:hideMark/>
          </w:tcPr>
          <w:p w14:paraId="15D2BCE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220.2</w:t>
            </w:r>
          </w:p>
        </w:tc>
        <w:tc>
          <w:tcPr>
            <w:tcW w:w="1480" w:type="dxa"/>
            <w:shd w:val="clear" w:color="auto" w:fill="F2F2F2" w:themeFill="background1" w:themeFillShade="F2"/>
            <w:noWrap/>
            <w:vAlign w:val="center"/>
            <w:hideMark/>
          </w:tcPr>
          <w:p w14:paraId="50A63B5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143F6C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F2F2F2" w:themeFill="background1" w:themeFillShade="F2"/>
            <w:noWrap/>
            <w:vAlign w:val="center"/>
            <w:hideMark/>
          </w:tcPr>
          <w:p w14:paraId="603BA3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F2F2F2" w:themeFill="background1" w:themeFillShade="F2"/>
            <w:noWrap/>
            <w:vAlign w:val="center"/>
            <w:hideMark/>
          </w:tcPr>
          <w:p w14:paraId="6B03A20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80%</w:t>
            </w:r>
          </w:p>
        </w:tc>
        <w:tc>
          <w:tcPr>
            <w:tcW w:w="1420" w:type="dxa"/>
            <w:shd w:val="clear" w:color="auto" w:fill="F2F2F2" w:themeFill="background1" w:themeFillShade="F2"/>
            <w:noWrap/>
            <w:vAlign w:val="center"/>
            <w:hideMark/>
          </w:tcPr>
          <w:p w14:paraId="056ADF0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80" w:type="dxa"/>
            <w:shd w:val="clear" w:color="auto" w:fill="F2F2F2" w:themeFill="background1" w:themeFillShade="F2"/>
            <w:noWrap/>
            <w:vAlign w:val="center"/>
            <w:hideMark/>
          </w:tcPr>
          <w:p w14:paraId="6FF9C6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860" w:type="dxa"/>
            <w:shd w:val="clear" w:color="auto" w:fill="F2F2F2" w:themeFill="background1" w:themeFillShade="F2"/>
            <w:noWrap/>
            <w:vAlign w:val="center"/>
            <w:hideMark/>
          </w:tcPr>
          <w:p w14:paraId="5C3B9C9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75F295A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6E3A079A" w14:textId="77777777" w:rsidTr="00224E0F">
        <w:trPr>
          <w:trHeight w:val="170"/>
        </w:trPr>
        <w:tc>
          <w:tcPr>
            <w:tcW w:w="880" w:type="dxa"/>
            <w:shd w:val="clear" w:color="auto" w:fill="F2F2F2" w:themeFill="background1" w:themeFillShade="F2"/>
            <w:noWrap/>
            <w:vAlign w:val="center"/>
            <w:hideMark/>
          </w:tcPr>
          <w:p w14:paraId="599C8C7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65C5445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empresas constructoras</w:t>
            </w:r>
          </w:p>
        </w:tc>
        <w:tc>
          <w:tcPr>
            <w:tcW w:w="902" w:type="dxa"/>
            <w:shd w:val="clear" w:color="auto" w:fill="F2F2F2" w:themeFill="background1" w:themeFillShade="F2"/>
            <w:noWrap/>
            <w:vAlign w:val="center"/>
            <w:hideMark/>
          </w:tcPr>
          <w:p w14:paraId="5BDB7D4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EAEC</w:t>
            </w:r>
          </w:p>
        </w:tc>
        <w:tc>
          <w:tcPr>
            <w:tcW w:w="1312" w:type="dxa"/>
            <w:shd w:val="clear" w:color="auto" w:fill="F2F2F2" w:themeFill="background1" w:themeFillShade="F2"/>
            <w:noWrap/>
            <w:vAlign w:val="center"/>
            <w:hideMark/>
          </w:tcPr>
          <w:p w14:paraId="0E628F3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117.2</w:t>
            </w:r>
          </w:p>
        </w:tc>
        <w:tc>
          <w:tcPr>
            <w:tcW w:w="1480" w:type="dxa"/>
            <w:shd w:val="clear" w:color="auto" w:fill="F2F2F2" w:themeFill="background1" w:themeFillShade="F2"/>
            <w:noWrap/>
            <w:vAlign w:val="center"/>
            <w:hideMark/>
          </w:tcPr>
          <w:p w14:paraId="761D438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5BB4EA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F2F2F2" w:themeFill="background1" w:themeFillShade="F2"/>
            <w:noWrap/>
            <w:vAlign w:val="center"/>
            <w:hideMark/>
          </w:tcPr>
          <w:p w14:paraId="4684351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F2F2F2" w:themeFill="background1" w:themeFillShade="F2"/>
            <w:noWrap/>
            <w:vAlign w:val="center"/>
            <w:hideMark/>
          </w:tcPr>
          <w:p w14:paraId="58F48B1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68%</w:t>
            </w:r>
          </w:p>
        </w:tc>
        <w:tc>
          <w:tcPr>
            <w:tcW w:w="1420" w:type="dxa"/>
            <w:shd w:val="clear" w:color="auto" w:fill="F2F2F2" w:themeFill="background1" w:themeFillShade="F2"/>
            <w:noWrap/>
            <w:vAlign w:val="center"/>
            <w:hideMark/>
          </w:tcPr>
          <w:p w14:paraId="3887E65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1180" w:type="dxa"/>
            <w:shd w:val="clear" w:color="auto" w:fill="F2F2F2" w:themeFill="background1" w:themeFillShade="F2"/>
            <w:noWrap/>
            <w:vAlign w:val="center"/>
            <w:hideMark/>
          </w:tcPr>
          <w:p w14:paraId="509D59C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860" w:type="dxa"/>
            <w:shd w:val="clear" w:color="auto" w:fill="F2F2F2" w:themeFill="background1" w:themeFillShade="F2"/>
            <w:noWrap/>
            <w:vAlign w:val="center"/>
            <w:hideMark/>
          </w:tcPr>
          <w:p w14:paraId="3F8AC30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496978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12DFEAFA" w14:textId="77777777" w:rsidTr="00224E0F">
        <w:trPr>
          <w:trHeight w:val="170"/>
        </w:trPr>
        <w:tc>
          <w:tcPr>
            <w:tcW w:w="880" w:type="dxa"/>
            <w:shd w:val="clear" w:color="auto" w:fill="auto"/>
            <w:noWrap/>
            <w:vAlign w:val="center"/>
            <w:hideMark/>
          </w:tcPr>
          <w:p w14:paraId="43429E0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DGEE</w:t>
            </w:r>
          </w:p>
        </w:tc>
        <w:tc>
          <w:tcPr>
            <w:tcW w:w="2466" w:type="dxa"/>
            <w:shd w:val="clear" w:color="auto" w:fill="auto"/>
            <w:vAlign w:val="center"/>
            <w:hideMark/>
          </w:tcPr>
          <w:p w14:paraId="6DB5286A"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industrias manufactureras</w:t>
            </w:r>
          </w:p>
        </w:tc>
        <w:tc>
          <w:tcPr>
            <w:tcW w:w="902" w:type="dxa"/>
            <w:shd w:val="clear" w:color="auto" w:fill="auto"/>
            <w:noWrap/>
            <w:vAlign w:val="center"/>
            <w:hideMark/>
          </w:tcPr>
          <w:p w14:paraId="59DC5B5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EAIM</w:t>
            </w:r>
          </w:p>
        </w:tc>
        <w:tc>
          <w:tcPr>
            <w:tcW w:w="1312" w:type="dxa"/>
            <w:shd w:val="clear" w:color="auto" w:fill="auto"/>
            <w:noWrap/>
            <w:vAlign w:val="center"/>
            <w:hideMark/>
          </w:tcPr>
          <w:p w14:paraId="75A9547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279.4</w:t>
            </w:r>
          </w:p>
        </w:tc>
        <w:tc>
          <w:tcPr>
            <w:tcW w:w="1480" w:type="dxa"/>
            <w:shd w:val="clear" w:color="auto" w:fill="auto"/>
            <w:noWrap/>
            <w:vAlign w:val="center"/>
            <w:hideMark/>
          </w:tcPr>
          <w:p w14:paraId="7C19A7E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7F4C1B8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25C890D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1A6A362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72%</w:t>
            </w:r>
          </w:p>
        </w:tc>
        <w:tc>
          <w:tcPr>
            <w:tcW w:w="1420" w:type="dxa"/>
            <w:shd w:val="clear" w:color="auto" w:fill="auto"/>
            <w:noWrap/>
            <w:vAlign w:val="center"/>
            <w:hideMark/>
          </w:tcPr>
          <w:p w14:paraId="77ABE45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180" w:type="dxa"/>
            <w:shd w:val="clear" w:color="auto" w:fill="auto"/>
            <w:noWrap/>
            <w:vAlign w:val="center"/>
            <w:hideMark/>
          </w:tcPr>
          <w:p w14:paraId="1863883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860" w:type="dxa"/>
            <w:shd w:val="clear" w:color="auto" w:fill="auto"/>
            <w:noWrap/>
            <w:vAlign w:val="center"/>
            <w:hideMark/>
          </w:tcPr>
          <w:p w14:paraId="3D6E73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5157082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052F7B50" w14:textId="77777777" w:rsidTr="00224E0F">
        <w:trPr>
          <w:trHeight w:val="170"/>
        </w:trPr>
        <w:tc>
          <w:tcPr>
            <w:tcW w:w="880" w:type="dxa"/>
            <w:shd w:val="clear" w:color="auto" w:fill="auto"/>
            <w:noWrap/>
            <w:vAlign w:val="center"/>
            <w:hideMark/>
          </w:tcPr>
          <w:p w14:paraId="33463E8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28D8B1DB"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servicios y transportes</w:t>
            </w:r>
          </w:p>
        </w:tc>
        <w:tc>
          <w:tcPr>
            <w:tcW w:w="902" w:type="dxa"/>
            <w:shd w:val="clear" w:color="auto" w:fill="auto"/>
            <w:noWrap/>
            <w:vAlign w:val="center"/>
            <w:hideMark/>
          </w:tcPr>
          <w:p w14:paraId="1C2BF3F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EASPNF</w:t>
            </w:r>
          </w:p>
        </w:tc>
        <w:tc>
          <w:tcPr>
            <w:tcW w:w="1312" w:type="dxa"/>
            <w:shd w:val="clear" w:color="auto" w:fill="auto"/>
            <w:noWrap/>
            <w:vAlign w:val="center"/>
            <w:hideMark/>
          </w:tcPr>
          <w:p w14:paraId="5D3B9A5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253.6</w:t>
            </w:r>
          </w:p>
        </w:tc>
        <w:tc>
          <w:tcPr>
            <w:tcW w:w="1480" w:type="dxa"/>
            <w:shd w:val="clear" w:color="auto" w:fill="auto"/>
            <w:noWrap/>
            <w:vAlign w:val="center"/>
            <w:hideMark/>
          </w:tcPr>
          <w:p w14:paraId="529D7B6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7E9449A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19D9813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483E67F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78%</w:t>
            </w:r>
          </w:p>
        </w:tc>
        <w:tc>
          <w:tcPr>
            <w:tcW w:w="1420" w:type="dxa"/>
            <w:shd w:val="clear" w:color="auto" w:fill="auto"/>
            <w:noWrap/>
            <w:vAlign w:val="center"/>
            <w:hideMark/>
          </w:tcPr>
          <w:p w14:paraId="1D26E11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180" w:type="dxa"/>
            <w:shd w:val="clear" w:color="auto" w:fill="auto"/>
            <w:noWrap/>
            <w:vAlign w:val="center"/>
            <w:hideMark/>
          </w:tcPr>
          <w:p w14:paraId="77962D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860" w:type="dxa"/>
            <w:shd w:val="clear" w:color="auto" w:fill="auto"/>
            <w:noWrap/>
            <w:vAlign w:val="center"/>
            <w:hideMark/>
          </w:tcPr>
          <w:p w14:paraId="575516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764D0E6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69699437" w14:textId="77777777" w:rsidTr="00224E0F">
        <w:trPr>
          <w:trHeight w:val="170"/>
        </w:trPr>
        <w:tc>
          <w:tcPr>
            <w:tcW w:w="880" w:type="dxa"/>
            <w:shd w:val="clear" w:color="auto" w:fill="F2F2F2" w:themeFill="background1" w:themeFillShade="F2"/>
            <w:noWrap/>
            <w:vAlign w:val="center"/>
            <w:hideMark/>
          </w:tcPr>
          <w:p w14:paraId="099A6E8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048EE8F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de Comercio Internacional de Servicios y Digitalización</w:t>
            </w:r>
          </w:p>
        </w:tc>
        <w:tc>
          <w:tcPr>
            <w:tcW w:w="902" w:type="dxa"/>
            <w:shd w:val="clear" w:color="auto" w:fill="F2F2F2" w:themeFill="background1" w:themeFillShade="F2"/>
            <w:noWrap/>
            <w:vAlign w:val="center"/>
            <w:hideMark/>
          </w:tcPr>
          <w:p w14:paraId="798B2C5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ECIS</w:t>
            </w:r>
          </w:p>
        </w:tc>
        <w:tc>
          <w:tcPr>
            <w:tcW w:w="1312" w:type="dxa"/>
            <w:shd w:val="clear" w:color="auto" w:fill="F2F2F2" w:themeFill="background1" w:themeFillShade="F2"/>
            <w:noWrap/>
            <w:vAlign w:val="center"/>
            <w:hideMark/>
          </w:tcPr>
          <w:p w14:paraId="6B3191D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30.2</w:t>
            </w:r>
          </w:p>
        </w:tc>
        <w:tc>
          <w:tcPr>
            <w:tcW w:w="1480" w:type="dxa"/>
            <w:shd w:val="clear" w:color="auto" w:fill="F2F2F2" w:themeFill="background1" w:themeFillShade="F2"/>
            <w:noWrap/>
            <w:vAlign w:val="center"/>
            <w:hideMark/>
          </w:tcPr>
          <w:p w14:paraId="67B5162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760" w:type="dxa"/>
            <w:shd w:val="clear" w:color="auto" w:fill="F2F2F2" w:themeFill="background1" w:themeFillShade="F2"/>
            <w:noWrap/>
            <w:vAlign w:val="center"/>
            <w:hideMark/>
          </w:tcPr>
          <w:p w14:paraId="2920052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200" w:type="dxa"/>
            <w:shd w:val="clear" w:color="auto" w:fill="F2F2F2" w:themeFill="background1" w:themeFillShade="F2"/>
            <w:noWrap/>
            <w:vAlign w:val="center"/>
            <w:hideMark/>
          </w:tcPr>
          <w:p w14:paraId="4C717B7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000" w:type="dxa"/>
            <w:shd w:val="clear" w:color="auto" w:fill="F2F2F2" w:themeFill="background1" w:themeFillShade="F2"/>
            <w:noWrap/>
            <w:vAlign w:val="center"/>
            <w:hideMark/>
          </w:tcPr>
          <w:p w14:paraId="389B1C3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420" w:type="dxa"/>
            <w:shd w:val="clear" w:color="auto" w:fill="F2F2F2" w:themeFill="background1" w:themeFillShade="F2"/>
            <w:noWrap/>
            <w:vAlign w:val="center"/>
            <w:hideMark/>
          </w:tcPr>
          <w:p w14:paraId="319721F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180" w:type="dxa"/>
            <w:shd w:val="clear" w:color="auto" w:fill="F2F2F2" w:themeFill="background1" w:themeFillShade="F2"/>
            <w:noWrap/>
            <w:vAlign w:val="center"/>
            <w:hideMark/>
          </w:tcPr>
          <w:p w14:paraId="0DFF818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860" w:type="dxa"/>
            <w:shd w:val="clear" w:color="auto" w:fill="F2F2F2" w:themeFill="background1" w:themeFillShade="F2"/>
            <w:noWrap/>
            <w:vAlign w:val="center"/>
            <w:hideMark/>
          </w:tcPr>
          <w:p w14:paraId="1E18449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00" w:type="dxa"/>
            <w:shd w:val="clear" w:color="auto" w:fill="F2F2F2" w:themeFill="background1" w:themeFillShade="F2"/>
            <w:noWrap/>
            <w:vAlign w:val="center"/>
            <w:hideMark/>
          </w:tcPr>
          <w:p w14:paraId="240B87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r>
      <w:tr w:rsidR="00FE3FE8" w:rsidRPr="009A501D" w14:paraId="1082D2D7" w14:textId="77777777" w:rsidTr="00224E0F">
        <w:trPr>
          <w:trHeight w:val="170"/>
        </w:trPr>
        <w:tc>
          <w:tcPr>
            <w:tcW w:w="880" w:type="dxa"/>
            <w:shd w:val="clear" w:color="auto" w:fill="F2F2F2" w:themeFill="background1" w:themeFillShade="F2"/>
            <w:noWrap/>
            <w:vAlign w:val="center"/>
            <w:hideMark/>
          </w:tcPr>
          <w:p w14:paraId="1267E00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3609D1B8"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opinión empresarial</w:t>
            </w:r>
          </w:p>
        </w:tc>
        <w:tc>
          <w:tcPr>
            <w:tcW w:w="902" w:type="dxa"/>
            <w:shd w:val="clear" w:color="auto" w:fill="F2F2F2" w:themeFill="background1" w:themeFillShade="F2"/>
            <w:noWrap/>
            <w:vAlign w:val="center"/>
            <w:hideMark/>
          </w:tcPr>
          <w:p w14:paraId="31BF58A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EMOE</w:t>
            </w:r>
          </w:p>
        </w:tc>
        <w:tc>
          <w:tcPr>
            <w:tcW w:w="1312" w:type="dxa"/>
            <w:shd w:val="clear" w:color="auto" w:fill="F2F2F2" w:themeFill="background1" w:themeFillShade="F2"/>
            <w:noWrap/>
            <w:vAlign w:val="center"/>
            <w:hideMark/>
          </w:tcPr>
          <w:p w14:paraId="14B822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62.4</w:t>
            </w:r>
          </w:p>
        </w:tc>
        <w:tc>
          <w:tcPr>
            <w:tcW w:w="1480" w:type="dxa"/>
            <w:shd w:val="clear" w:color="auto" w:fill="F2F2F2" w:themeFill="background1" w:themeFillShade="F2"/>
            <w:noWrap/>
            <w:vAlign w:val="center"/>
            <w:hideMark/>
          </w:tcPr>
          <w:p w14:paraId="76FF5FC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F2F2F2" w:themeFill="background1" w:themeFillShade="F2"/>
            <w:noWrap/>
            <w:vAlign w:val="center"/>
            <w:hideMark/>
          </w:tcPr>
          <w:p w14:paraId="3E0B51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F2F2F2" w:themeFill="background1" w:themeFillShade="F2"/>
            <w:noWrap/>
            <w:vAlign w:val="center"/>
            <w:hideMark/>
          </w:tcPr>
          <w:p w14:paraId="5336288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5FBE971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47%</w:t>
            </w:r>
          </w:p>
        </w:tc>
        <w:tc>
          <w:tcPr>
            <w:tcW w:w="1420" w:type="dxa"/>
            <w:shd w:val="clear" w:color="auto" w:fill="F2F2F2" w:themeFill="background1" w:themeFillShade="F2"/>
            <w:noWrap/>
            <w:vAlign w:val="center"/>
            <w:hideMark/>
          </w:tcPr>
          <w:p w14:paraId="2DB64BF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180" w:type="dxa"/>
            <w:shd w:val="clear" w:color="auto" w:fill="F2F2F2" w:themeFill="background1" w:themeFillShade="F2"/>
            <w:noWrap/>
            <w:vAlign w:val="center"/>
            <w:hideMark/>
          </w:tcPr>
          <w:p w14:paraId="458CB53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860" w:type="dxa"/>
            <w:shd w:val="clear" w:color="auto" w:fill="F2F2F2" w:themeFill="background1" w:themeFillShade="F2"/>
            <w:noWrap/>
            <w:vAlign w:val="center"/>
            <w:hideMark/>
          </w:tcPr>
          <w:p w14:paraId="4211F1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45595E4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3B7A0FA7" w14:textId="77777777" w:rsidTr="00224E0F">
        <w:trPr>
          <w:trHeight w:val="170"/>
        </w:trPr>
        <w:tc>
          <w:tcPr>
            <w:tcW w:w="880" w:type="dxa"/>
            <w:shd w:val="clear" w:color="auto" w:fill="auto"/>
            <w:noWrap/>
            <w:vAlign w:val="center"/>
            <w:hideMark/>
          </w:tcPr>
          <w:p w14:paraId="05DF3E0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605C382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Disponibilidad y Uso de Tecnologías de la Información en los Hogares</w:t>
            </w:r>
          </w:p>
        </w:tc>
        <w:tc>
          <w:tcPr>
            <w:tcW w:w="902" w:type="dxa"/>
            <w:shd w:val="clear" w:color="auto" w:fill="auto"/>
            <w:noWrap/>
            <w:vAlign w:val="center"/>
            <w:hideMark/>
          </w:tcPr>
          <w:p w14:paraId="4CE45D8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ENDUTIH</w:t>
            </w:r>
          </w:p>
        </w:tc>
        <w:tc>
          <w:tcPr>
            <w:tcW w:w="1312" w:type="dxa"/>
            <w:shd w:val="clear" w:color="auto" w:fill="auto"/>
            <w:noWrap/>
            <w:vAlign w:val="center"/>
            <w:hideMark/>
          </w:tcPr>
          <w:p w14:paraId="6FE4166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140.6</w:t>
            </w:r>
          </w:p>
        </w:tc>
        <w:tc>
          <w:tcPr>
            <w:tcW w:w="1480" w:type="dxa"/>
            <w:shd w:val="clear" w:color="auto" w:fill="auto"/>
            <w:noWrap/>
            <w:vAlign w:val="center"/>
            <w:hideMark/>
          </w:tcPr>
          <w:p w14:paraId="1C3D110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6DC3845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200" w:type="dxa"/>
            <w:shd w:val="clear" w:color="auto" w:fill="auto"/>
            <w:noWrap/>
            <w:vAlign w:val="center"/>
            <w:hideMark/>
          </w:tcPr>
          <w:p w14:paraId="00BA254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000" w:type="dxa"/>
            <w:shd w:val="clear" w:color="auto" w:fill="auto"/>
            <w:noWrap/>
            <w:vAlign w:val="center"/>
            <w:hideMark/>
          </w:tcPr>
          <w:p w14:paraId="0033E21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42%</w:t>
            </w:r>
          </w:p>
        </w:tc>
        <w:tc>
          <w:tcPr>
            <w:tcW w:w="1420" w:type="dxa"/>
            <w:shd w:val="clear" w:color="auto" w:fill="auto"/>
            <w:noWrap/>
            <w:vAlign w:val="center"/>
            <w:hideMark/>
          </w:tcPr>
          <w:p w14:paraId="61755E0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180" w:type="dxa"/>
            <w:shd w:val="clear" w:color="auto" w:fill="auto"/>
            <w:noWrap/>
            <w:vAlign w:val="center"/>
            <w:hideMark/>
          </w:tcPr>
          <w:p w14:paraId="6EA5176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860" w:type="dxa"/>
            <w:shd w:val="clear" w:color="auto" w:fill="auto"/>
            <w:noWrap/>
            <w:vAlign w:val="center"/>
            <w:hideMark/>
          </w:tcPr>
          <w:p w14:paraId="4E80C61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3D3BD57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556F9232" w14:textId="77777777" w:rsidTr="00224E0F">
        <w:trPr>
          <w:trHeight w:val="170"/>
        </w:trPr>
        <w:tc>
          <w:tcPr>
            <w:tcW w:w="880" w:type="dxa"/>
            <w:shd w:val="clear" w:color="auto" w:fill="auto"/>
            <w:noWrap/>
            <w:vAlign w:val="center"/>
            <w:hideMark/>
          </w:tcPr>
          <w:p w14:paraId="54B73B1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14625E1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Encuestas de viajeros internacionales</w:t>
            </w:r>
          </w:p>
        </w:tc>
        <w:tc>
          <w:tcPr>
            <w:tcW w:w="902" w:type="dxa"/>
            <w:shd w:val="clear" w:color="auto" w:fill="auto"/>
            <w:noWrap/>
            <w:vAlign w:val="center"/>
            <w:hideMark/>
          </w:tcPr>
          <w:p w14:paraId="1CBF3F9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EVI</w:t>
            </w:r>
          </w:p>
        </w:tc>
        <w:tc>
          <w:tcPr>
            <w:tcW w:w="1312" w:type="dxa"/>
            <w:shd w:val="clear" w:color="auto" w:fill="auto"/>
            <w:noWrap/>
            <w:vAlign w:val="center"/>
            <w:hideMark/>
          </w:tcPr>
          <w:p w14:paraId="6FF74B0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77.5</w:t>
            </w:r>
          </w:p>
        </w:tc>
        <w:tc>
          <w:tcPr>
            <w:tcW w:w="1480" w:type="dxa"/>
            <w:shd w:val="clear" w:color="auto" w:fill="auto"/>
            <w:noWrap/>
            <w:vAlign w:val="center"/>
            <w:hideMark/>
          </w:tcPr>
          <w:p w14:paraId="7D06878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7E8A88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auto"/>
            <w:noWrap/>
            <w:vAlign w:val="center"/>
            <w:hideMark/>
          </w:tcPr>
          <w:p w14:paraId="23B3FD8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4B1239F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82%</w:t>
            </w:r>
          </w:p>
        </w:tc>
        <w:tc>
          <w:tcPr>
            <w:tcW w:w="1420" w:type="dxa"/>
            <w:shd w:val="clear" w:color="auto" w:fill="auto"/>
            <w:noWrap/>
            <w:vAlign w:val="center"/>
            <w:hideMark/>
          </w:tcPr>
          <w:p w14:paraId="1546F1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auto"/>
            <w:noWrap/>
            <w:vAlign w:val="center"/>
            <w:hideMark/>
          </w:tcPr>
          <w:p w14:paraId="5D9A79A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860" w:type="dxa"/>
            <w:shd w:val="clear" w:color="auto" w:fill="auto"/>
            <w:noWrap/>
            <w:vAlign w:val="center"/>
            <w:hideMark/>
          </w:tcPr>
          <w:p w14:paraId="0A3903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484D38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23BA7AB0" w14:textId="77777777" w:rsidTr="00224E0F">
        <w:trPr>
          <w:trHeight w:val="170"/>
        </w:trPr>
        <w:tc>
          <w:tcPr>
            <w:tcW w:w="880" w:type="dxa"/>
            <w:shd w:val="clear" w:color="auto" w:fill="F2F2F2" w:themeFill="background1" w:themeFillShade="F2"/>
            <w:noWrap/>
            <w:vAlign w:val="center"/>
            <w:hideMark/>
          </w:tcPr>
          <w:p w14:paraId="34486F3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59DE7B4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Discriminación</w:t>
            </w:r>
          </w:p>
        </w:tc>
        <w:tc>
          <w:tcPr>
            <w:tcW w:w="902" w:type="dxa"/>
            <w:shd w:val="clear" w:color="auto" w:fill="F2F2F2" w:themeFill="background1" w:themeFillShade="F2"/>
            <w:noWrap/>
            <w:vAlign w:val="center"/>
            <w:hideMark/>
          </w:tcPr>
          <w:p w14:paraId="472C096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ENADIS</w:t>
            </w:r>
          </w:p>
        </w:tc>
        <w:tc>
          <w:tcPr>
            <w:tcW w:w="1312" w:type="dxa"/>
            <w:shd w:val="clear" w:color="auto" w:fill="F2F2F2" w:themeFill="background1" w:themeFillShade="F2"/>
            <w:noWrap/>
            <w:vAlign w:val="center"/>
            <w:hideMark/>
          </w:tcPr>
          <w:p w14:paraId="7F7211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82.8</w:t>
            </w:r>
          </w:p>
        </w:tc>
        <w:tc>
          <w:tcPr>
            <w:tcW w:w="1480" w:type="dxa"/>
            <w:shd w:val="clear" w:color="auto" w:fill="F2F2F2" w:themeFill="background1" w:themeFillShade="F2"/>
            <w:noWrap/>
            <w:vAlign w:val="center"/>
            <w:hideMark/>
          </w:tcPr>
          <w:p w14:paraId="560EC97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F2F2F2" w:themeFill="background1" w:themeFillShade="F2"/>
            <w:noWrap/>
            <w:vAlign w:val="center"/>
            <w:hideMark/>
          </w:tcPr>
          <w:p w14:paraId="10536B8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200" w:type="dxa"/>
            <w:shd w:val="clear" w:color="auto" w:fill="F2F2F2" w:themeFill="background1" w:themeFillShade="F2"/>
            <w:noWrap/>
            <w:vAlign w:val="center"/>
            <w:hideMark/>
          </w:tcPr>
          <w:p w14:paraId="6B5165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F2F2F2" w:themeFill="background1" w:themeFillShade="F2"/>
            <w:noWrap/>
            <w:vAlign w:val="center"/>
            <w:hideMark/>
          </w:tcPr>
          <w:p w14:paraId="2CABD2D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83%</w:t>
            </w:r>
          </w:p>
        </w:tc>
        <w:tc>
          <w:tcPr>
            <w:tcW w:w="1420" w:type="dxa"/>
            <w:shd w:val="clear" w:color="auto" w:fill="F2F2F2" w:themeFill="background1" w:themeFillShade="F2"/>
            <w:noWrap/>
            <w:vAlign w:val="center"/>
            <w:hideMark/>
          </w:tcPr>
          <w:p w14:paraId="56C48B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F2F2F2" w:themeFill="background1" w:themeFillShade="F2"/>
            <w:noWrap/>
            <w:vAlign w:val="center"/>
            <w:hideMark/>
          </w:tcPr>
          <w:p w14:paraId="4D32121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860" w:type="dxa"/>
            <w:shd w:val="clear" w:color="auto" w:fill="F2F2F2" w:themeFill="background1" w:themeFillShade="F2"/>
            <w:noWrap/>
            <w:vAlign w:val="center"/>
            <w:hideMark/>
          </w:tcPr>
          <w:p w14:paraId="14EC4E2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F2F2F2" w:themeFill="background1" w:themeFillShade="F2"/>
            <w:noWrap/>
            <w:vAlign w:val="center"/>
            <w:hideMark/>
          </w:tcPr>
          <w:p w14:paraId="487DF8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316E7CB9" w14:textId="77777777" w:rsidTr="00224E0F">
        <w:trPr>
          <w:trHeight w:val="170"/>
        </w:trPr>
        <w:tc>
          <w:tcPr>
            <w:tcW w:w="880" w:type="dxa"/>
            <w:shd w:val="clear" w:color="auto" w:fill="F2F2F2" w:themeFill="background1" w:themeFillShade="F2"/>
            <w:noWrap/>
            <w:vAlign w:val="center"/>
            <w:hideMark/>
          </w:tcPr>
          <w:p w14:paraId="44018A5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0A25856D"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Adolescentes en el Sistema de Justicia Penal</w:t>
            </w:r>
          </w:p>
        </w:tc>
        <w:tc>
          <w:tcPr>
            <w:tcW w:w="902" w:type="dxa"/>
            <w:shd w:val="clear" w:color="auto" w:fill="F2F2F2" w:themeFill="background1" w:themeFillShade="F2"/>
            <w:noWrap/>
            <w:vAlign w:val="center"/>
            <w:hideMark/>
          </w:tcPr>
          <w:p w14:paraId="5C7C5B3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ENASJUP</w:t>
            </w:r>
          </w:p>
        </w:tc>
        <w:tc>
          <w:tcPr>
            <w:tcW w:w="1312" w:type="dxa"/>
            <w:shd w:val="clear" w:color="auto" w:fill="F2F2F2" w:themeFill="background1" w:themeFillShade="F2"/>
            <w:noWrap/>
            <w:vAlign w:val="center"/>
            <w:hideMark/>
          </w:tcPr>
          <w:p w14:paraId="29C37A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25.9</w:t>
            </w:r>
          </w:p>
        </w:tc>
        <w:tc>
          <w:tcPr>
            <w:tcW w:w="1480" w:type="dxa"/>
            <w:shd w:val="clear" w:color="auto" w:fill="F2F2F2" w:themeFill="background1" w:themeFillShade="F2"/>
            <w:noWrap/>
            <w:vAlign w:val="center"/>
            <w:hideMark/>
          </w:tcPr>
          <w:p w14:paraId="4B44812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F2F2F2" w:themeFill="background1" w:themeFillShade="F2"/>
            <w:noWrap/>
            <w:vAlign w:val="center"/>
            <w:hideMark/>
          </w:tcPr>
          <w:p w14:paraId="1E1B890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200" w:type="dxa"/>
            <w:shd w:val="clear" w:color="auto" w:fill="F2F2F2" w:themeFill="background1" w:themeFillShade="F2"/>
            <w:noWrap/>
            <w:vAlign w:val="center"/>
            <w:hideMark/>
          </w:tcPr>
          <w:p w14:paraId="21641B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000" w:type="dxa"/>
            <w:shd w:val="clear" w:color="auto" w:fill="F2F2F2" w:themeFill="background1" w:themeFillShade="F2"/>
            <w:noWrap/>
            <w:vAlign w:val="center"/>
            <w:hideMark/>
          </w:tcPr>
          <w:p w14:paraId="1889383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420" w:type="dxa"/>
            <w:shd w:val="clear" w:color="auto" w:fill="F2F2F2" w:themeFill="background1" w:themeFillShade="F2"/>
            <w:noWrap/>
            <w:vAlign w:val="center"/>
            <w:hideMark/>
          </w:tcPr>
          <w:p w14:paraId="633D866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80" w:type="dxa"/>
            <w:shd w:val="clear" w:color="auto" w:fill="F2F2F2" w:themeFill="background1" w:themeFillShade="F2"/>
            <w:noWrap/>
            <w:vAlign w:val="center"/>
            <w:hideMark/>
          </w:tcPr>
          <w:p w14:paraId="4A5A8FD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860" w:type="dxa"/>
            <w:shd w:val="clear" w:color="auto" w:fill="F2F2F2" w:themeFill="background1" w:themeFillShade="F2"/>
            <w:noWrap/>
            <w:vAlign w:val="center"/>
            <w:hideMark/>
          </w:tcPr>
          <w:p w14:paraId="0F4BE95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00" w:type="dxa"/>
            <w:shd w:val="clear" w:color="auto" w:fill="F2F2F2" w:themeFill="background1" w:themeFillShade="F2"/>
            <w:noWrap/>
            <w:vAlign w:val="center"/>
            <w:hideMark/>
          </w:tcPr>
          <w:p w14:paraId="6E43931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6CD3D91F" w14:textId="77777777" w:rsidTr="00224E0F">
        <w:trPr>
          <w:trHeight w:val="170"/>
        </w:trPr>
        <w:tc>
          <w:tcPr>
            <w:tcW w:w="880" w:type="dxa"/>
            <w:shd w:val="clear" w:color="auto" w:fill="auto"/>
            <w:noWrap/>
            <w:vAlign w:val="center"/>
            <w:hideMark/>
          </w:tcPr>
          <w:p w14:paraId="76B394D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6262729E"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Calidad e Impacto Gubernamental</w:t>
            </w:r>
          </w:p>
        </w:tc>
        <w:tc>
          <w:tcPr>
            <w:tcW w:w="902" w:type="dxa"/>
            <w:shd w:val="clear" w:color="auto" w:fill="auto"/>
            <w:noWrap/>
            <w:vAlign w:val="center"/>
            <w:hideMark/>
          </w:tcPr>
          <w:p w14:paraId="75D4085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ENCIG</w:t>
            </w:r>
          </w:p>
        </w:tc>
        <w:tc>
          <w:tcPr>
            <w:tcW w:w="1312" w:type="dxa"/>
            <w:shd w:val="clear" w:color="auto" w:fill="auto"/>
            <w:noWrap/>
            <w:vAlign w:val="center"/>
            <w:hideMark/>
          </w:tcPr>
          <w:p w14:paraId="624FDA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4.9</w:t>
            </w:r>
          </w:p>
        </w:tc>
        <w:tc>
          <w:tcPr>
            <w:tcW w:w="1480" w:type="dxa"/>
            <w:shd w:val="clear" w:color="auto" w:fill="auto"/>
            <w:noWrap/>
            <w:vAlign w:val="center"/>
            <w:hideMark/>
          </w:tcPr>
          <w:p w14:paraId="2C91653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60E5D7F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6C9BBD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2DD2361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auto"/>
            <w:noWrap/>
            <w:vAlign w:val="center"/>
            <w:hideMark/>
          </w:tcPr>
          <w:p w14:paraId="7471058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w:t>
            </w:r>
          </w:p>
        </w:tc>
        <w:tc>
          <w:tcPr>
            <w:tcW w:w="1180" w:type="dxa"/>
            <w:shd w:val="clear" w:color="auto" w:fill="auto"/>
            <w:noWrap/>
            <w:vAlign w:val="center"/>
            <w:hideMark/>
          </w:tcPr>
          <w:p w14:paraId="2EED5C8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860" w:type="dxa"/>
            <w:shd w:val="clear" w:color="auto" w:fill="auto"/>
            <w:noWrap/>
            <w:vAlign w:val="center"/>
            <w:hideMark/>
          </w:tcPr>
          <w:p w14:paraId="6303ED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51%</w:t>
            </w:r>
          </w:p>
        </w:tc>
        <w:tc>
          <w:tcPr>
            <w:tcW w:w="1100" w:type="dxa"/>
            <w:shd w:val="clear" w:color="auto" w:fill="auto"/>
            <w:noWrap/>
            <w:vAlign w:val="center"/>
            <w:hideMark/>
          </w:tcPr>
          <w:p w14:paraId="28CD737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2CD1E2FD" w14:textId="77777777" w:rsidTr="00224E0F">
        <w:trPr>
          <w:trHeight w:val="170"/>
        </w:trPr>
        <w:tc>
          <w:tcPr>
            <w:tcW w:w="880" w:type="dxa"/>
            <w:shd w:val="clear" w:color="auto" w:fill="auto"/>
            <w:noWrap/>
            <w:vAlign w:val="center"/>
            <w:hideMark/>
          </w:tcPr>
          <w:p w14:paraId="163D773F"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4F145E7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la Dinámica de las Relaciones en los Hogares</w:t>
            </w:r>
          </w:p>
        </w:tc>
        <w:tc>
          <w:tcPr>
            <w:tcW w:w="902" w:type="dxa"/>
            <w:shd w:val="clear" w:color="auto" w:fill="auto"/>
            <w:noWrap/>
            <w:vAlign w:val="center"/>
            <w:hideMark/>
          </w:tcPr>
          <w:p w14:paraId="5B78C60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ENDIREH</w:t>
            </w:r>
          </w:p>
        </w:tc>
        <w:tc>
          <w:tcPr>
            <w:tcW w:w="1312" w:type="dxa"/>
            <w:shd w:val="clear" w:color="auto" w:fill="auto"/>
            <w:noWrap/>
            <w:vAlign w:val="center"/>
            <w:hideMark/>
          </w:tcPr>
          <w:p w14:paraId="43511F3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35.7</w:t>
            </w:r>
          </w:p>
        </w:tc>
        <w:tc>
          <w:tcPr>
            <w:tcW w:w="1480" w:type="dxa"/>
            <w:shd w:val="clear" w:color="auto" w:fill="auto"/>
            <w:noWrap/>
            <w:vAlign w:val="center"/>
            <w:hideMark/>
          </w:tcPr>
          <w:p w14:paraId="1A26FDF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64EA7C3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12AB67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54A3E67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auto"/>
            <w:noWrap/>
            <w:vAlign w:val="center"/>
            <w:hideMark/>
          </w:tcPr>
          <w:p w14:paraId="2ECD97F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w:t>
            </w:r>
          </w:p>
        </w:tc>
        <w:tc>
          <w:tcPr>
            <w:tcW w:w="1180" w:type="dxa"/>
            <w:shd w:val="clear" w:color="auto" w:fill="auto"/>
            <w:noWrap/>
            <w:vAlign w:val="center"/>
            <w:hideMark/>
          </w:tcPr>
          <w:p w14:paraId="204B705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w:t>
            </w:r>
          </w:p>
        </w:tc>
        <w:tc>
          <w:tcPr>
            <w:tcW w:w="860" w:type="dxa"/>
            <w:shd w:val="clear" w:color="auto" w:fill="auto"/>
            <w:noWrap/>
            <w:vAlign w:val="center"/>
            <w:hideMark/>
          </w:tcPr>
          <w:p w14:paraId="092187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100" w:type="dxa"/>
            <w:shd w:val="clear" w:color="auto" w:fill="auto"/>
            <w:noWrap/>
            <w:vAlign w:val="center"/>
            <w:hideMark/>
          </w:tcPr>
          <w:p w14:paraId="665382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r>
      <w:tr w:rsidR="00FE3FE8" w:rsidRPr="009A501D" w14:paraId="3E31C6AC" w14:textId="77777777" w:rsidTr="00224E0F">
        <w:trPr>
          <w:trHeight w:val="170"/>
        </w:trPr>
        <w:tc>
          <w:tcPr>
            <w:tcW w:w="880" w:type="dxa"/>
            <w:shd w:val="clear" w:color="auto" w:fill="F2F2F2" w:themeFill="background1" w:themeFillShade="F2"/>
            <w:noWrap/>
            <w:vAlign w:val="center"/>
            <w:hideMark/>
          </w:tcPr>
          <w:p w14:paraId="0AFDBC2F"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43291A5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Seguridad Pública Urbana</w:t>
            </w:r>
          </w:p>
        </w:tc>
        <w:tc>
          <w:tcPr>
            <w:tcW w:w="902" w:type="dxa"/>
            <w:shd w:val="clear" w:color="auto" w:fill="F2F2F2" w:themeFill="background1" w:themeFillShade="F2"/>
            <w:noWrap/>
            <w:vAlign w:val="center"/>
            <w:hideMark/>
          </w:tcPr>
          <w:p w14:paraId="1AE5199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ENSU</w:t>
            </w:r>
          </w:p>
        </w:tc>
        <w:tc>
          <w:tcPr>
            <w:tcW w:w="1312" w:type="dxa"/>
            <w:shd w:val="clear" w:color="auto" w:fill="F2F2F2" w:themeFill="background1" w:themeFillShade="F2"/>
            <w:noWrap/>
            <w:vAlign w:val="center"/>
            <w:hideMark/>
          </w:tcPr>
          <w:p w14:paraId="6214358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161.8</w:t>
            </w:r>
          </w:p>
        </w:tc>
        <w:tc>
          <w:tcPr>
            <w:tcW w:w="1480" w:type="dxa"/>
            <w:shd w:val="clear" w:color="auto" w:fill="F2F2F2" w:themeFill="background1" w:themeFillShade="F2"/>
            <w:noWrap/>
            <w:vAlign w:val="center"/>
            <w:hideMark/>
          </w:tcPr>
          <w:p w14:paraId="3C55B32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3EC629A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200" w:type="dxa"/>
            <w:shd w:val="clear" w:color="auto" w:fill="F2F2F2" w:themeFill="background1" w:themeFillShade="F2"/>
            <w:noWrap/>
            <w:vAlign w:val="center"/>
            <w:hideMark/>
          </w:tcPr>
          <w:p w14:paraId="53396AC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000" w:type="dxa"/>
            <w:shd w:val="clear" w:color="auto" w:fill="F2F2F2" w:themeFill="background1" w:themeFillShade="F2"/>
            <w:noWrap/>
            <w:vAlign w:val="center"/>
            <w:hideMark/>
          </w:tcPr>
          <w:p w14:paraId="5CC3009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420" w:type="dxa"/>
            <w:shd w:val="clear" w:color="auto" w:fill="F2F2F2" w:themeFill="background1" w:themeFillShade="F2"/>
            <w:noWrap/>
            <w:vAlign w:val="center"/>
            <w:hideMark/>
          </w:tcPr>
          <w:p w14:paraId="3FFB14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180" w:type="dxa"/>
            <w:shd w:val="clear" w:color="auto" w:fill="F2F2F2" w:themeFill="background1" w:themeFillShade="F2"/>
            <w:noWrap/>
            <w:vAlign w:val="center"/>
            <w:hideMark/>
          </w:tcPr>
          <w:p w14:paraId="1E57C67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860" w:type="dxa"/>
            <w:shd w:val="clear" w:color="auto" w:fill="F2F2F2" w:themeFill="background1" w:themeFillShade="F2"/>
            <w:noWrap/>
            <w:vAlign w:val="center"/>
            <w:hideMark/>
          </w:tcPr>
          <w:p w14:paraId="2864BBD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00" w:type="dxa"/>
            <w:shd w:val="clear" w:color="auto" w:fill="F2F2F2" w:themeFill="background1" w:themeFillShade="F2"/>
            <w:noWrap/>
            <w:vAlign w:val="center"/>
            <w:hideMark/>
          </w:tcPr>
          <w:p w14:paraId="3B86D1F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7BAAFB96" w14:textId="77777777" w:rsidTr="00224E0F">
        <w:trPr>
          <w:trHeight w:val="170"/>
        </w:trPr>
        <w:tc>
          <w:tcPr>
            <w:tcW w:w="880" w:type="dxa"/>
            <w:shd w:val="clear" w:color="auto" w:fill="F2F2F2" w:themeFill="background1" w:themeFillShade="F2"/>
            <w:noWrap/>
            <w:vAlign w:val="center"/>
            <w:hideMark/>
          </w:tcPr>
          <w:p w14:paraId="169F9B7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F2F2F2" w:themeFill="background1" w:themeFillShade="F2"/>
            <w:vAlign w:val="center"/>
            <w:hideMark/>
          </w:tcPr>
          <w:p w14:paraId="041AE13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Victimización de Empresas</w:t>
            </w:r>
          </w:p>
        </w:tc>
        <w:tc>
          <w:tcPr>
            <w:tcW w:w="902" w:type="dxa"/>
            <w:shd w:val="clear" w:color="auto" w:fill="F2F2F2" w:themeFill="background1" w:themeFillShade="F2"/>
            <w:noWrap/>
            <w:vAlign w:val="center"/>
            <w:hideMark/>
          </w:tcPr>
          <w:p w14:paraId="163DF5E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ENVE</w:t>
            </w:r>
          </w:p>
        </w:tc>
        <w:tc>
          <w:tcPr>
            <w:tcW w:w="1312" w:type="dxa"/>
            <w:shd w:val="clear" w:color="auto" w:fill="F2F2F2" w:themeFill="background1" w:themeFillShade="F2"/>
            <w:noWrap/>
            <w:vAlign w:val="center"/>
            <w:hideMark/>
          </w:tcPr>
          <w:p w14:paraId="620FAEB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86.6</w:t>
            </w:r>
          </w:p>
        </w:tc>
        <w:tc>
          <w:tcPr>
            <w:tcW w:w="1480" w:type="dxa"/>
            <w:shd w:val="clear" w:color="auto" w:fill="F2F2F2" w:themeFill="background1" w:themeFillShade="F2"/>
            <w:noWrap/>
            <w:vAlign w:val="center"/>
            <w:hideMark/>
          </w:tcPr>
          <w:p w14:paraId="0EAE1F0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48E9687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3D59B9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000" w:type="dxa"/>
            <w:shd w:val="clear" w:color="auto" w:fill="F2F2F2" w:themeFill="background1" w:themeFillShade="F2"/>
            <w:noWrap/>
            <w:vAlign w:val="center"/>
            <w:hideMark/>
          </w:tcPr>
          <w:p w14:paraId="3629ACC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F2F2F2" w:themeFill="background1" w:themeFillShade="F2"/>
            <w:noWrap/>
            <w:vAlign w:val="center"/>
            <w:hideMark/>
          </w:tcPr>
          <w:p w14:paraId="77D5653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5099E26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860" w:type="dxa"/>
            <w:shd w:val="clear" w:color="auto" w:fill="F2F2F2" w:themeFill="background1" w:themeFillShade="F2"/>
            <w:noWrap/>
            <w:vAlign w:val="center"/>
            <w:hideMark/>
          </w:tcPr>
          <w:p w14:paraId="3A8F4C0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w:t>
            </w:r>
          </w:p>
        </w:tc>
        <w:tc>
          <w:tcPr>
            <w:tcW w:w="1100" w:type="dxa"/>
            <w:shd w:val="clear" w:color="auto" w:fill="F2F2F2" w:themeFill="background1" w:themeFillShade="F2"/>
            <w:noWrap/>
            <w:vAlign w:val="center"/>
            <w:hideMark/>
          </w:tcPr>
          <w:p w14:paraId="266494B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r>
      <w:tr w:rsidR="00FE3FE8" w:rsidRPr="009A501D" w14:paraId="1F6059FC" w14:textId="77777777" w:rsidTr="00224E0F">
        <w:trPr>
          <w:trHeight w:val="170"/>
        </w:trPr>
        <w:tc>
          <w:tcPr>
            <w:tcW w:w="880" w:type="dxa"/>
            <w:shd w:val="clear" w:color="auto" w:fill="auto"/>
            <w:noWrap/>
            <w:vAlign w:val="center"/>
            <w:hideMark/>
          </w:tcPr>
          <w:p w14:paraId="69829D0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52CF195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Victimización y Percepción sobre Seguridad Pública</w:t>
            </w:r>
          </w:p>
        </w:tc>
        <w:tc>
          <w:tcPr>
            <w:tcW w:w="902" w:type="dxa"/>
            <w:shd w:val="clear" w:color="auto" w:fill="auto"/>
            <w:noWrap/>
            <w:vAlign w:val="center"/>
            <w:hideMark/>
          </w:tcPr>
          <w:p w14:paraId="6E0C0BD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ENVIPE</w:t>
            </w:r>
          </w:p>
        </w:tc>
        <w:tc>
          <w:tcPr>
            <w:tcW w:w="1312" w:type="dxa"/>
            <w:shd w:val="clear" w:color="auto" w:fill="auto"/>
            <w:noWrap/>
            <w:vAlign w:val="center"/>
            <w:hideMark/>
          </w:tcPr>
          <w:p w14:paraId="5F2F7D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221.8</w:t>
            </w:r>
          </w:p>
        </w:tc>
        <w:tc>
          <w:tcPr>
            <w:tcW w:w="1480" w:type="dxa"/>
            <w:shd w:val="clear" w:color="auto" w:fill="auto"/>
            <w:noWrap/>
            <w:vAlign w:val="center"/>
            <w:hideMark/>
          </w:tcPr>
          <w:p w14:paraId="3BF1EA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4AB02A3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200" w:type="dxa"/>
            <w:shd w:val="clear" w:color="auto" w:fill="auto"/>
            <w:noWrap/>
            <w:vAlign w:val="center"/>
            <w:hideMark/>
          </w:tcPr>
          <w:p w14:paraId="635050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000" w:type="dxa"/>
            <w:shd w:val="clear" w:color="auto" w:fill="auto"/>
            <w:noWrap/>
            <w:vAlign w:val="center"/>
            <w:hideMark/>
          </w:tcPr>
          <w:p w14:paraId="1B22AF8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420" w:type="dxa"/>
            <w:shd w:val="clear" w:color="auto" w:fill="auto"/>
            <w:noWrap/>
            <w:vAlign w:val="center"/>
            <w:hideMark/>
          </w:tcPr>
          <w:p w14:paraId="1CB42AC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180" w:type="dxa"/>
            <w:shd w:val="clear" w:color="auto" w:fill="auto"/>
            <w:noWrap/>
            <w:vAlign w:val="center"/>
            <w:hideMark/>
          </w:tcPr>
          <w:p w14:paraId="46D8F2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860" w:type="dxa"/>
            <w:shd w:val="clear" w:color="auto" w:fill="auto"/>
            <w:noWrap/>
            <w:vAlign w:val="center"/>
            <w:hideMark/>
          </w:tcPr>
          <w:p w14:paraId="0BE571E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100" w:type="dxa"/>
            <w:shd w:val="clear" w:color="auto" w:fill="auto"/>
            <w:noWrap/>
            <w:vAlign w:val="center"/>
            <w:hideMark/>
          </w:tcPr>
          <w:p w14:paraId="7C4FE06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34471425" w14:textId="77777777" w:rsidTr="00224E0F">
        <w:trPr>
          <w:trHeight w:val="170"/>
        </w:trPr>
        <w:tc>
          <w:tcPr>
            <w:tcW w:w="880" w:type="dxa"/>
            <w:shd w:val="clear" w:color="auto" w:fill="auto"/>
            <w:noWrap/>
            <w:vAlign w:val="center"/>
            <w:hideMark/>
          </w:tcPr>
          <w:p w14:paraId="4E68E38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DGEGSPJ</w:t>
            </w:r>
          </w:p>
        </w:tc>
        <w:tc>
          <w:tcPr>
            <w:tcW w:w="2466" w:type="dxa"/>
            <w:shd w:val="clear" w:color="auto" w:fill="auto"/>
            <w:vAlign w:val="center"/>
            <w:hideMark/>
          </w:tcPr>
          <w:p w14:paraId="28EE6B3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Módulo sobre Ciberacoso</w:t>
            </w:r>
          </w:p>
        </w:tc>
        <w:tc>
          <w:tcPr>
            <w:tcW w:w="902" w:type="dxa"/>
            <w:shd w:val="clear" w:color="auto" w:fill="auto"/>
            <w:noWrap/>
            <w:vAlign w:val="center"/>
            <w:hideMark/>
          </w:tcPr>
          <w:p w14:paraId="5D950D4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MOCIBA</w:t>
            </w:r>
          </w:p>
        </w:tc>
        <w:tc>
          <w:tcPr>
            <w:tcW w:w="1312" w:type="dxa"/>
            <w:shd w:val="clear" w:color="auto" w:fill="auto"/>
            <w:noWrap/>
            <w:vAlign w:val="center"/>
            <w:hideMark/>
          </w:tcPr>
          <w:p w14:paraId="3A2A476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5.3</w:t>
            </w:r>
          </w:p>
        </w:tc>
        <w:tc>
          <w:tcPr>
            <w:tcW w:w="1480" w:type="dxa"/>
            <w:shd w:val="clear" w:color="auto" w:fill="auto"/>
            <w:noWrap/>
            <w:vAlign w:val="center"/>
            <w:hideMark/>
          </w:tcPr>
          <w:p w14:paraId="0301737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auto"/>
            <w:noWrap/>
            <w:vAlign w:val="center"/>
            <w:hideMark/>
          </w:tcPr>
          <w:p w14:paraId="69B74F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200" w:type="dxa"/>
            <w:shd w:val="clear" w:color="auto" w:fill="auto"/>
            <w:noWrap/>
            <w:vAlign w:val="center"/>
            <w:hideMark/>
          </w:tcPr>
          <w:p w14:paraId="3865855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000" w:type="dxa"/>
            <w:shd w:val="clear" w:color="auto" w:fill="auto"/>
            <w:noWrap/>
            <w:vAlign w:val="center"/>
            <w:hideMark/>
          </w:tcPr>
          <w:p w14:paraId="29B8F4C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44%</w:t>
            </w:r>
          </w:p>
        </w:tc>
        <w:tc>
          <w:tcPr>
            <w:tcW w:w="1420" w:type="dxa"/>
            <w:shd w:val="clear" w:color="auto" w:fill="auto"/>
            <w:noWrap/>
            <w:vAlign w:val="center"/>
            <w:hideMark/>
          </w:tcPr>
          <w:p w14:paraId="3792790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auto"/>
            <w:noWrap/>
            <w:vAlign w:val="center"/>
            <w:hideMark/>
          </w:tcPr>
          <w:p w14:paraId="09394D5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860" w:type="dxa"/>
            <w:shd w:val="clear" w:color="auto" w:fill="auto"/>
            <w:noWrap/>
            <w:vAlign w:val="center"/>
            <w:hideMark/>
          </w:tcPr>
          <w:p w14:paraId="7658057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auto"/>
            <w:noWrap/>
            <w:vAlign w:val="center"/>
            <w:hideMark/>
          </w:tcPr>
          <w:p w14:paraId="29D6E62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r>
      <w:tr w:rsidR="00FE3FE8" w:rsidRPr="009A501D" w14:paraId="2EBC21DC" w14:textId="77777777" w:rsidTr="00224E0F">
        <w:trPr>
          <w:trHeight w:val="170"/>
        </w:trPr>
        <w:tc>
          <w:tcPr>
            <w:tcW w:w="880" w:type="dxa"/>
            <w:shd w:val="clear" w:color="auto" w:fill="F2F2F2" w:themeFill="background1" w:themeFillShade="F2"/>
            <w:noWrap/>
            <w:vAlign w:val="center"/>
            <w:hideMark/>
          </w:tcPr>
          <w:p w14:paraId="25DCA3F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1C8AEA0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Evaluación Cognitiva para la ENASEM</w:t>
            </w:r>
          </w:p>
        </w:tc>
        <w:tc>
          <w:tcPr>
            <w:tcW w:w="902" w:type="dxa"/>
            <w:shd w:val="clear" w:color="auto" w:fill="F2F2F2" w:themeFill="background1" w:themeFillShade="F2"/>
            <w:noWrap/>
            <w:vAlign w:val="center"/>
            <w:hideMark/>
          </w:tcPr>
          <w:p w14:paraId="1840402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ECENASEM</w:t>
            </w:r>
          </w:p>
        </w:tc>
        <w:tc>
          <w:tcPr>
            <w:tcW w:w="1312" w:type="dxa"/>
            <w:shd w:val="clear" w:color="auto" w:fill="F2F2F2" w:themeFill="background1" w:themeFillShade="F2"/>
            <w:noWrap/>
            <w:vAlign w:val="center"/>
            <w:hideMark/>
          </w:tcPr>
          <w:p w14:paraId="73EA8B9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7.3</w:t>
            </w:r>
          </w:p>
        </w:tc>
        <w:tc>
          <w:tcPr>
            <w:tcW w:w="1480" w:type="dxa"/>
            <w:shd w:val="clear" w:color="auto" w:fill="F2F2F2" w:themeFill="background1" w:themeFillShade="F2"/>
            <w:noWrap/>
            <w:vAlign w:val="center"/>
            <w:hideMark/>
          </w:tcPr>
          <w:p w14:paraId="07FABF4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F2F2F2" w:themeFill="background1" w:themeFillShade="F2"/>
            <w:noWrap/>
            <w:vAlign w:val="center"/>
            <w:hideMark/>
          </w:tcPr>
          <w:p w14:paraId="3988FE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1200" w:type="dxa"/>
            <w:shd w:val="clear" w:color="auto" w:fill="F2F2F2" w:themeFill="background1" w:themeFillShade="F2"/>
            <w:noWrap/>
            <w:vAlign w:val="center"/>
            <w:hideMark/>
          </w:tcPr>
          <w:p w14:paraId="5790C5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000" w:type="dxa"/>
            <w:shd w:val="clear" w:color="auto" w:fill="F2F2F2" w:themeFill="background1" w:themeFillShade="F2"/>
            <w:noWrap/>
            <w:vAlign w:val="center"/>
            <w:hideMark/>
          </w:tcPr>
          <w:p w14:paraId="67EE52C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1420" w:type="dxa"/>
            <w:shd w:val="clear" w:color="auto" w:fill="F2F2F2" w:themeFill="background1" w:themeFillShade="F2"/>
            <w:noWrap/>
            <w:vAlign w:val="center"/>
            <w:hideMark/>
          </w:tcPr>
          <w:p w14:paraId="3CEA3F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180" w:type="dxa"/>
            <w:shd w:val="clear" w:color="auto" w:fill="F2F2F2" w:themeFill="background1" w:themeFillShade="F2"/>
            <w:noWrap/>
            <w:vAlign w:val="center"/>
            <w:hideMark/>
          </w:tcPr>
          <w:p w14:paraId="0182071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860" w:type="dxa"/>
            <w:shd w:val="clear" w:color="auto" w:fill="F2F2F2" w:themeFill="background1" w:themeFillShade="F2"/>
            <w:noWrap/>
            <w:vAlign w:val="center"/>
            <w:hideMark/>
          </w:tcPr>
          <w:p w14:paraId="745661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100" w:type="dxa"/>
            <w:shd w:val="clear" w:color="auto" w:fill="F2F2F2" w:themeFill="background1" w:themeFillShade="F2"/>
            <w:noWrap/>
            <w:vAlign w:val="center"/>
            <w:hideMark/>
          </w:tcPr>
          <w:p w14:paraId="30F7D53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r>
      <w:tr w:rsidR="00FE3FE8" w:rsidRPr="009A501D" w14:paraId="3C68CDF4" w14:textId="77777777" w:rsidTr="00224E0F">
        <w:trPr>
          <w:trHeight w:val="170"/>
        </w:trPr>
        <w:tc>
          <w:tcPr>
            <w:tcW w:w="880" w:type="dxa"/>
            <w:shd w:val="clear" w:color="auto" w:fill="F2F2F2" w:themeFill="background1" w:themeFillShade="F2"/>
            <w:noWrap/>
            <w:vAlign w:val="center"/>
            <w:hideMark/>
          </w:tcPr>
          <w:p w14:paraId="026BBE3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7A6C9D1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de Fuerza Laboral</w:t>
            </w:r>
          </w:p>
        </w:tc>
        <w:tc>
          <w:tcPr>
            <w:tcW w:w="902" w:type="dxa"/>
            <w:shd w:val="clear" w:color="auto" w:fill="F2F2F2" w:themeFill="background1" w:themeFillShade="F2"/>
            <w:noWrap/>
            <w:vAlign w:val="center"/>
            <w:hideMark/>
          </w:tcPr>
          <w:p w14:paraId="33D3712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EFL</w:t>
            </w:r>
          </w:p>
        </w:tc>
        <w:tc>
          <w:tcPr>
            <w:tcW w:w="1312" w:type="dxa"/>
            <w:shd w:val="clear" w:color="auto" w:fill="F2F2F2" w:themeFill="background1" w:themeFillShade="F2"/>
            <w:noWrap/>
            <w:vAlign w:val="center"/>
            <w:hideMark/>
          </w:tcPr>
          <w:p w14:paraId="51A877A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6.3</w:t>
            </w:r>
          </w:p>
        </w:tc>
        <w:tc>
          <w:tcPr>
            <w:tcW w:w="1480" w:type="dxa"/>
            <w:shd w:val="clear" w:color="auto" w:fill="F2F2F2" w:themeFill="background1" w:themeFillShade="F2"/>
            <w:noWrap/>
            <w:vAlign w:val="center"/>
            <w:hideMark/>
          </w:tcPr>
          <w:p w14:paraId="4703FC8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F2F2F2" w:themeFill="background1" w:themeFillShade="F2"/>
            <w:noWrap/>
            <w:vAlign w:val="center"/>
            <w:hideMark/>
          </w:tcPr>
          <w:p w14:paraId="7EFB378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1200" w:type="dxa"/>
            <w:shd w:val="clear" w:color="auto" w:fill="F2F2F2" w:themeFill="background1" w:themeFillShade="F2"/>
            <w:noWrap/>
            <w:vAlign w:val="center"/>
            <w:hideMark/>
          </w:tcPr>
          <w:p w14:paraId="068E459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1B1126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58%</w:t>
            </w:r>
          </w:p>
        </w:tc>
        <w:tc>
          <w:tcPr>
            <w:tcW w:w="1420" w:type="dxa"/>
            <w:shd w:val="clear" w:color="auto" w:fill="F2F2F2" w:themeFill="background1" w:themeFillShade="F2"/>
            <w:noWrap/>
            <w:vAlign w:val="center"/>
            <w:hideMark/>
          </w:tcPr>
          <w:p w14:paraId="7BED72E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5F5EBC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506E67D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3692E50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59DB7743" w14:textId="77777777" w:rsidTr="00224E0F">
        <w:trPr>
          <w:trHeight w:val="170"/>
        </w:trPr>
        <w:tc>
          <w:tcPr>
            <w:tcW w:w="880" w:type="dxa"/>
            <w:shd w:val="clear" w:color="auto" w:fill="auto"/>
            <w:noWrap/>
            <w:vAlign w:val="center"/>
            <w:hideMark/>
          </w:tcPr>
          <w:p w14:paraId="1BB1DB0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112BE5F9"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la Dinámica Demográfica</w:t>
            </w:r>
          </w:p>
        </w:tc>
        <w:tc>
          <w:tcPr>
            <w:tcW w:w="902" w:type="dxa"/>
            <w:shd w:val="clear" w:color="auto" w:fill="auto"/>
            <w:noWrap/>
            <w:vAlign w:val="center"/>
            <w:hideMark/>
          </w:tcPr>
          <w:p w14:paraId="5C2239C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ENADID</w:t>
            </w:r>
          </w:p>
        </w:tc>
        <w:tc>
          <w:tcPr>
            <w:tcW w:w="1312" w:type="dxa"/>
            <w:shd w:val="clear" w:color="auto" w:fill="auto"/>
            <w:noWrap/>
            <w:vAlign w:val="center"/>
            <w:hideMark/>
          </w:tcPr>
          <w:p w14:paraId="28105E1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20.3</w:t>
            </w:r>
          </w:p>
        </w:tc>
        <w:tc>
          <w:tcPr>
            <w:tcW w:w="1480" w:type="dxa"/>
            <w:shd w:val="clear" w:color="auto" w:fill="auto"/>
            <w:noWrap/>
            <w:vAlign w:val="center"/>
            <w:hideMark/>
          </w:tcPr>
          <w:p w14:paraId="16F6726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0790597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w:t>
            </w:r>
          </w:p>
        </w:tc>
        <w:tc>
          <w:tcPr>
            <w:tcW w:w="1200" w:type="dxa"/>
            <w:shd w:val="clear" w:color="auto" w:fill="auto"/>
            <w:noWrap/>
            <w:vAlign w:val="center"/>
            <w:hideMark/>
          </w:tcPr>
          <w:p w14:paraId="47C45DC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534F772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auto"/>
            <w:noWrap/>
            <w:vAlign w:val="center"/>
            <w:hideMark/>
          </w:tcPr>
          <w:p w14:paraId="2A9C2DA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auto"/>
            <w:noWrap/>
            <w:vAlign w:val="center"/>
            <w:hideMark/>
          </w:tcPr>
          <w:p w14:paraId="448F2E0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auto"/>
            <w:noWrap/>
            <w:vAlign w:val="center"/>
            <w:hideMark/>
          </w:tcPr>
          <w:p w14:paraId="43E50F9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4594004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724282E9" w14:textId="77777777" w:rsidTr="00224E0F">
        <w:trPr>
          <w:trHeight w:val="170"/>
        </w:trPr>
        <w:tc>
          <w:tcPr>
            <w:tcW w:w="880" w:type="dxa"/>
            <w:shd w:val="clear" w:color="auto" w:fill="auto"/>
            <w:noWrap/>
            <w:vAlign w:val="center"/>
            <w:hideMark/>
          </w:tcPr>
          <w:p w14:paraId="537B2C8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3767A25D"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Acceso y Permanencia en la Educación</w:t>
            </w:r>
          </w:p>
        </w:tc>
        <w:tc>
          <w:tcPr>
            <w:tcW w:w="902" w:type="dxa"/>
            <w:shd w:val="clear" w:color="auto" w:fill="auto"/>
            <w:noWrap/>
            <w:vAlign w:val="center"/>
            <w:hideMark/>
          </w:tcPr>
          <w:p w14:paraId="1DCC9E8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ENAPE</w:t>
            </w:r>
          </w:p>
        </w:tc>
        <w:tc>
          <w:tcPr>
            <w:tcW w:w="1312" w:type="dxa"/>
            <w:shd w:val="clear" w:color="auto" w:fill="auto"/>
            <w:noWrap/>
            <w:vAlign w:val="center"/>
            <w:hideMark/>
          </w:tcPr>
          <w:p w14:paraId="4DEA8B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1480" w:type="dxa"/>
            <w:shd w:val="clear" w:color="auto" w:fill="auto"/>
            <w:noWrap/>
            <w:vAlign w:val="center"/>
            <w:hideMark/>
          </w:tcPr>
          <w:p w14:paraId="39FA04E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auto"/>
            <w:noWrap/>
            <w:vAlign w:val="center"/>
            <w:hideMark/>
          </w:tcPr>
          <w:p w14:paraId="479C1FF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200" w:type="dxa"/>
            <w:shd w:val="clear" w:color="auto" w:fill="auto"/>
            <w:noWrap/>
            <w:vAlign w:val="center"/>
            <w:hideMark/>
          </w:tcPr>
          <w:p w14:paraId="4B820F3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578F2A7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w:t>
            </w:r>
          </w:p>
        </w:tc>
        <w:tc>
          <w:tcPr>
            <w:tcW w:w="1420" w:type="dxa"/>
            <w:shd w:val="clear" w:color="auto" w:fill="auto"/>
            <w:noWrap/>
            <w:vAlign w:val="center"/>
            <w:hideMark/>
          </w:tcPr>
          <w:p w14:paraId="2A5DF8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1180" w:type="dxa"/>
            <w:shd w:val="clear" w:color="auto" w:fill="auto"/>
            <w:noWrap/>
            <w:vAlign w:val="center"/>
            <w:hideMark/>
          </w:tcPr>
          <w:p w14:paraId="720E0AC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860" w:type="dxa"/>
            <w:shd w:val="clear" w:color="auto" w:fill="auto"/>
            <w:noWrap/>
            <w:vAlign w:val="center"/>
            <w:hideMark/>
          </w:tcPr>
          <w:p w14:paraId="1FBFA1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100" w:type="dxa"/>
            <w:shd w:val="clear" w:color="auto" w:fill="auto"/>
            <w:noWrap/>
            <w:vAlign w:val="center"/>
            <w:hideMark/>
          </w:tcPr>
          <w:p w14:paraId="15AEE98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5C3A5FDE" w14:textId="77777777" w:rsidTr="00224E0F">
        <w:trPr>
          <w:trHeight w:val="170"/>
        </w:trPr>
        <w:tc>
          <w:tcPr>
            <w:tcW w:w="880" w:type="dxa"/>
            <w:shd w:val="clear" w:color="auto" w:fill="F2F2F2" w:themeFill="background1" w:themeFillShade="F2"/>
            <w:noWrap/>
            <w:vAlign w:val="center"/>
            <w:hideMark/>
          </w:tcPr>
          <w:p w14:paraId="7CA529C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6741220B"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Salud y Envejecimiento en México</w:t>
            </w:r>
          </w:p>
        </w:tc>
        <w:tc>
          <w:tcPr>
            <w:tcW w:w="902" w:type="dxa"/>
            <w:shd w:val="clear" w:color="auto" w:fill="F2F2F2" w:themeFill="background1" w:themeFillShade="F2"/>
            <w:noWrap/>
            <w:vAlign w:val="center"/>
            <w:hideMark/>
          </w:tcPr>
          <w:p w14:paraId="48C3DCF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ENASEM</w:t>
            </w:r>
          </w:p>
        </w:tc>
        <w:tc>
          <w:tcPr>
            <w:tcW w:w="1312" w:type="dxa"/>
            <w:shd w:val="clear" w:color="auto" w:fill="F2F2F2" w:themeFill="background1" w:themeFillShade="F2"/>
            <w:noWrap/>
            <w:vAlign w:val="center"/>
            <w:hideMark/>
          </w:tcPr>
          <w:p w14:paraId="1D0172F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52.0</w:t>
            </w:r>
          </w:p>
        </w:tc>
        <w:tc>
          <w:tcPr>
            <w:tcW w:w="1480" w:type="dxa"/>
            <w:shd w:val="clear" w:color="auto" w:fill="F2F2F2" w:themeFill="background1" w:themeFillShade="F2"/>
            <w:noWrap/>
            <w:vAlign w:val="center"/>
            <w:hideMark/>
          </w:tcPr>
          <w:p w14:paraId="5BA4F3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F2F2F2" w:themeFill="background1" w:themeFillShade="F2"/>
            <w:noWrap/>
            <w:vAlign w:val="center"/>
            <w:hideMark/>
          </w:tcPr>
          <w:p w14:paraId="6216D54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F2F2F2" w:themeFill="background1" w:themeFillShade="F2"/>
            <w:noWrap/>
            <w:vAlign w:val="center"/>
            <w:hideMark/>
          </w:tcPr>
          <w:p w14:paraId="210195E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54E0C23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80%</w:t>
            </w:r>
          </w:p>
        </w:tc>
        <w:tc>
          <w:tcPr>
            <w:tcW w:w="1420" w:type="dxa"/>
            <w:shd w:val="clear" w:color="auto" w:fill="F2F2F2" w:themeFill="background1" w:themeFillShade="F2"/>
            <w:noWrap/>
            <w:vAlign w:val="center"/>
            <w:hideMark/>
          </w:tcPr>
          <w:p w14:paraId="4D86B4A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180" w:type="dxa"/>
            <w:shd w:val="clear" w:color="auto" w:fill="F2F2F2" w:themeFill="background1" w:themeFillShade="F2"/>
            <w:noWrap/>
            <w:vAlign w:val="center"/>
            <w:hideMark/>
          </w:tcPr>
          <w:p w14:paraId="43CC74B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860" w:type="dxa"/>
            <w:shd w:val="clear" w:color="auto" w:fill="F2F2F2" w:themeFill="background1" w:themeFillShade="F2"/>
            <w:noWrap/>
            <w:vAlign w:val="center"/>
            <w:hideMark/>
          </w:tcPr>
          <w:p w14:paraId="15A7078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F2F2F2" w:themeFill="background1" w:themeFillShade="F2"/>
            <w:noWrap/>
            <w:vAlign w:val="center"/>
            <w:hideMark/>
          </w:tcPr>
          <w:p w14:paraId="43D84E2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r>
      <w:tr w:rsidR="00FE3FE8" w:rsidRPr="009A501D" w14:paraId="3D52B1A1" w14:textId="77777777" w:rsidTr="00224E0F">
        <w:trPr>
          <w:trHeight w:val="170"/>
        </w:trPr>
        <w:tc>
          <w:tcPr>
            <w:tcW w:w="880" w:type="dxa"/>
            <w:shd w:val="clear" w:color="auto" w:fill="F2F2F2" w:themeFill="background1" w:themeFillShade="F2"/>
            <w:noWrap/>
            <w:vAlign w:val="center"/>
            <w:hideMark/>
          </w:tcPr>
          <w:p w14:paraId="467CA89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DGES</w:t>
            </w:r>
          </w:p>
        </w:tc>
        <w:tc>
          <w:tcPr>
            <w:tcW w:w="2466" w:type="dxa"/>
            <w:shd w:val="clear" w:color="auto" w:fill="F2F2F2" w:themeFill="background1" w:themeFillShade="F2"/>
            <w:vAlign w:val="center"/>
            <w:hideMark/>
          </w:tcPr>
          <w:p w14:paraId="375D1DC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para el Sistema de Cuidados</w:t>
            </w:r>
          </w:p>
        </w:tc>
        <w:tc>
          <w:tcPr>
            <w:tcW w:w="902" w:type="dxa"/>
            <w:shd w:val="clear" w:color="auto" w:fill="F2F2F2" w:themeFill="background1" w:themeFillShade="F2"/>
            <w:noWrap/>
            <w:vAlign w:val="center"/>
            <w:hideMark/>
          </w:tcPr>
          <w:p w14:paraId="0A4CECA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ENASIC</w:t>
            </w:r>
          </w:p>
        </w:tc>
        <w:tc>
          <w:tcPr>
            <w:tcW w:w="1312" w:type="dxa"/>
            <w:shd w:val="clear" w:color="auto" w:fill="F2F2F2" w:themeFill="background1" w:themeFillShade="F2"/>
            <w:noWrap/>
            <w:vAlign w:val="center"/>
            <w:hideMark/>
          </w:tcPr>
          <w:p w14:paraId="441ECE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63.1</w:t>
            </w:r>
          </w:p>
        </w:tc>
        <w:tc>
          <w:tcPr>
            <w:tcW w:w="1480" w:type="dxa"/>
            <w:shd w:val="clear" w:color="auto" w:fill="F2F2F2" w:themeFill="background1" w:themeFillShade="F2"/>
            <w:noWrap/>
            <w:vAlign w:val="center"/>
            <w:hideMark/>
          </w:tcPr>
          <w:p w14:paraId="6CDD5C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760" w:type="dxa"/>
            <w:shd w:val="clear" w:color="auto" w:fill="F2F2F2" w:themeFill="background1" w:themeFillShade="F2"/>
            <w:noWrap/>
            <w:vAlign w:val="center"/>
            <w:hideMark/>
          </w:tcPr>
          <w:p w14:paraId="033E15D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200" w:type="dxa"/>
            <w:shd w:val="clear" w:color="auto" w:fill="F2F2F2" w:themeFill="background1" w:themeFillShade="F2"/>
            <w:noWrap/>
            <w:vAlign w:val="center"/>
            <w:hideMark/>
          </w:tcPr>
          <w:p w14:paraId="7FD8AC3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F2F2F2" w:themeFill="background1" w:themeFillShade="F2"/>
            <w:noWrap/>
            <w:vAlign w:val="center"/>
            <w:hideMark/>
          </w:tcPr>
          <w:p w14:paraId="36530B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77%</w:t>
            </w:r>
          </w:p>
        </w:tc>
        <w:tc>
          <w:tcPr>
            <w:tcW w:w="1420" w:type="dxa"/>
            <w:shd w:val="clear" w:color="auto" w:fill="F2F2F2" w:themeFill="background1" w:themeFillShade="F2"/>
            <w:noWrap/>
            <w:vAlign w:val="center"/>
            <w:hideMark/>
          </w:tcPr>
          <w:p w14:paraId="2AE293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F2F2F2" w:themeFill="background1" w:themeFillShade="F2"/>
            <w:noWrap/>
            <w:vAlign w:val="center"/>
            <w:hideMark/>
          </w:tcPr>
          <w:p w14:paraId="514CF03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F2F2F2" w:themeFill="background1" w:themeFillShade="F2"/>
            <w:noWrap/>
            <w:vAlign w:val="center"/>
            <w:hideMark/>
          </w:tcPr>
          <w:p w14:paraId="0FA9736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72BC4FE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r>
      <w:tr w:rsidR="00FE3FE8" w:rsidRPr="009A501D" w14:paraId="54F5DD5D" w14:textId="77777777" w:rsidTr="00224E0F">
        <w:trPr>
          <w:trHeight w:val="170"/>
        </w:trPr>
        <w:tc>
          <w:tcPr>
            <w:tcW w:w="880" w:type="dxa"/>
            <w:shd w:val="clear" w:color="auto" w:fill="auto"/>
            <w:noWrap/>
            <w:vAlign w:val="center"/>
            <w:hideMark/>
          </w:tcPr>
          <w:p w14:paraId="28753D7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34C2C44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Confianza del Consumidor</w:t>
            </w:r>
          </w:p>
        </w:tc>
        <w:tc>
          <w:tcPr>
            <w:tcW w:w="902" w:type="dxa"/>
            <w:shd w:val="clear" w:color="auto" w:fill="auto"/>
            <w:noWrap/>
            <w:vAlign w:val="center"/>
            <w:hideMark/>
          </w:tcPr>
          <w:p w14:paraId="2EEFF84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ENCO</w:t>
            </w:r>
          </w:p>
        </w:tc>
        <w:tc>
          <w:tcPr>
            <w:tcW w:w="1312" w:type="dxa"/>
            <w:shd w:val="clear" w:color="auto" w:fill="auto"/>
            <w:noWrap/>
            <w:vAlign w:val="center"/>
            <w:hideMark/>
          </w:tcPr>
          <w:p w14:paraId="4713E57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77.9</w:t>
            </w:r>
          </w:p>
        </w:tc>
        <w:tc>
          <w:tcPr>
            <w:tcW w:w="1480" w:type="dxa"/>
            <w:shd w:val="clear" w:color="auto" w:fill="auto"/>
            <w:noWrap/>
            <w:vAlign w:val="center"/>
            <w:hideMark/>
          </w:tcPr>
          <w:p w14:paraId="6157499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6CAE2E1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200" w:type="dxa"/>
            <w:shd w:val="clear" w:color="auto" w:fill="auto"/>
            <w:noWrap/>
            <w:vAlign w:val="center"/>
            <w:hideMark/>
          </w:tcPr>
          <w:p w14:paraId="712C2B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467CC98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85%</w:t>
            </w:r>
          </w:p>
        </w:tc>
        <w:tc>
          <w:tcPr>
            <w:tcW w:w="1420" w:type="dxa"/>
            <w:shd w:val="clear" w:color="auto" w:fill="auto"/>
            <w:noWrap/>
            <w:vAlign w:val="center"/>
            <w:hideMark/>
          </w:tcPr>
          <w:p w14:paraId="3C4BE2E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auto"/>
            <w:noWrap/>
            <w:vAlign w:val="center"/>
            <w:hideMark/>
          </w:tcPr>
          <w:p w14:paraId="464BE3B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860" w:type="dxa"/>
            <w:shd w:val="clear" w:color="auto" w:fill="auto"/>
            <w:noWrap/>
            <w:vAlign w:val="center"/>
            <w:hideMark/>
          </w:tcPr>
          <w:p w14:paraId="686B1D9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705A58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1BDFE620" w14:textId="77777777" w:rsidTr="00224E0F">
        <w:trPr>
          <w:trHeight w:val="170"/>
        </w:trPr>
        <w:tc>
          <w:tcPr>
            <w:tcW w:w="880" w:type="dxa"/>
            <w:shd w:val="clear" w:color="auto" w:fill="auto"/>
            <w:noWrap/>
            <w:vAlign w:val="center"/>
            <w:hideMark/>
          </w:tcPr>
          <w:p w14:paraId="773A0DF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09371DD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Diversidad Sexual y de Género</w:t>
            </w:r>
          </w:p>
        </w:tc>
        <w:tc>
          <w:tcPr>
            <w:tcW w:w="902" w:type="dxa"/>
            <w:shd w:val="clear" w:color="auto" w:fill="auto"/>
            <w:noWrap/>
            <w:vAlign w:val="center"/>
            <w:hideMark/>
          </w:tcPr>
          <w:p w14:paraId="227FA74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ENDISEG</w:t>
            </w:r>
          </w:p>
        </w:tc>
        <w:tc>
          <w:tcPr>
            <w:tcW w:w="1312" w:type="dxa"/>
            <w:shd w:val="clear" w:color="auto" w:fill="auto"/>
            <w:noWrap/>
            <w:vAlign w:val="center"/>
            <w:hideMark/>
          </w:tcPr>
          <w:p w14:paraId="16412C2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120.3</w:t>
            </w:r>
          </w:p>
        </w:tc>
        <w:tc>
          <w:tcPr>
            <w:tcW w:w="1480" w:type="dxa"/>
            <w:shd w:val="clear" w:color="auto" w:fill="auto"/>
            <w:noWrap/>
            <w:vAlign w:val="center"/>
            <w:hideMark/>
          </w:tcPr>
          <w:p w14:paraId="5D47BA7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23C87EE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5DBA504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4FA7334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p>
        </w:tc>
        <w:tc>
          <w:tcPr>
            <w:tcW w:w="1420" w:type="dxa"/>
            <w:shd w:val="clear" w:color="auto" w:fill="auto"/>
            <w:noWrap/>
            <w:vAlign w:val="center"/>
            <w:hideMark/>
          </w:tcPr>
          <w:p w14:paraId="5C67D39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auto"/>
            <w:noWrap/>
            <w:vAlign w:val="center"/>
            <w:hideMark/>
          </w:tcPr>
          <w:p w14:paraId="162CE7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53B3401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1EAE32C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125363A5" w14:textId="77777777" w:rsidTr="00224E0F">
        <w:trPr>
          <w:trHeight w:val="170"/>
        </w:trPr>
        <w:tc>
          <w:tcPr>
            <w:tcW w:w="880" w:type="dxa"/>
            <w:shd w:val="clear" w:color="auto" w:fill="F2F2F2" w:themeFill="background1" w:themeFillShade="F2"/>
            <w:noWrap/>
            <w:vAlign w:val="center"/>
            <w:hideMark/>
          </w:tcPr>
          <w:p w14:paraId="778C129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53B146AD"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sobre las Finanzas de los Hogares</w:t>
            </w:r>
          </w:p>
        </w:tc>
        <w:tc>
          <w:tcPr>
            <w:tcW w:w="902" w:type="dxa"/>
            <w:shd w:val="clear" w:color="auto" w:fill="F2F2F2" w:themeFill="background1" w:themeFillShade="F2"/>
            <w:noWrap/>
            <w:vAlign w:val="center"/>
            <w:hideMark/>
          </w:tcPr>
          <w:p w14:paraId="52F13A6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ENFIH</w:t>
            </w:r>
          </w:p>
        </w:tc>
        <w:tc>
          <w:tcPr>
            <w:tcW w:w="1312" w:type="dxa"/>
            <w:shd w:val="clear" w:color="auto" w:fill="F2F2F2" w:themeFill="background1" w:themeFillShade="F2"/>
            <w:noWrap/>
            <w:vAlign w:val="center"/>
            <w:hideMark/>
          </w:tcPr>
          <w:p w14:paraId="0B598BC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2.9</w:t>
            </w:r>
          </w:p>
        </w:tc>
        <w:tc>
          <w:tcPr>
            <w:tcW w:w="1480" w:type="dxa"/>
            <w:shd w:val="clear" w:color="auto" w:fill="F2F2F2" w:themeFill="background1" w:themeFillShade="F2"/>
            <w:noWrap/>
            <w:vAlign w:val="center"/>
            <w:hideMark/>
          </w:tcPr>
          <w:p w14:paraId="05544AC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0DC4927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200" w:type="dxa"/>
            <w:shd w:val="clear" w:color="auto" w:fill="F2F2F2" w:themeFill="background1" w:themeFillShade="F2"/>
            <w:noWrap/>
            <w:vAlign w:val="center"/>
            <w:hideMark/>
          </w:tcPr>
          <w:p w14:paraId="4933126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4756D8D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92%</w:t>
            </w:r>
          </w:p>
        </w:tc>
        <w:tc>
          <w:tcPr>
            <w:tcW w:w="1420" w:type="dxa"/>
            <w:shd w:val="clear" w:color="auto" w:fill="F2F2F2" w:themeFill="background1" w:themeFillShade="F2"/>
            <w:noWrap/>
            <w:vAlign w:val="center"/>
            <w:hideMark/>
          </w:tcPr>
          <w:p w14:paraId="69C9392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67A325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78F59FB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01FE42C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64EF7A13" w14:textId="77777777" w:rsidTr="00224E0F">
        <w:trPr>
          <w:trHeight w:val="170"/>
        </w:trPr>
        <w:tc>
          <w:tcPr>
            <w:tcW w:w="880" w:type="dxa"/>
            <w:shd w:val="clear" w:color="auto" w:fill="F2F2F2" w:themeFill="background1" w:themeFillShade="F2"/>
            <w:noWrap/>
            <w:vAlign w:val="center"/>
            <w:hideMark/>
          </w:tcPr>
          <w:p w14:paraId="242264A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567BE528"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Ingresos y Gastos de los Hogares</w:t>
            </w:r>
          </w:p>
        </w:tc>
        <w:tc>
          <w:tcPr>
            <w:tcW w:w="902" w:type="dxa"/>
            <w:shd w:val="clear" w:color="auto" w:fill="F2F2F2" w:themeFill="background1" w:themeFillShade="F2"/>
            <w:noWrap/>
            <w:vAlign w:val="center"/>
            <w:hideMark/>
          </w:tcPr>
          <w:p w14:paraId="6A1319D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ENIGH</w:t>
            </w:r>
          </w:p>
        </w:tc>
        <w:tc>
          <w:tcPr>
            <w:tcW w:w="1312" w:type="dxa"/>
            <w:shd w:val="clear" w:color="auto" w:fill="F2F2F2" w:themeFill="background1" w:themeFillShade="F2"/>
            <w:noWrap/>
            <w:vAlign w:val="center"/>
            <w:hideMark/>
          </w:tcPr>
          <w:p w14:paraId="79D3B6B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902.8</w:t>
            </w:r>
          </w:p>
        </w:tc>
        <w:tc>
          <w:tcPr>
            <w:tcW w:w="1480" w:type="dxa"/>
            <w:shd w:val="clear" w:color="auto" w:fill="F2F2F2" w:themeFill="background1" w:themeFillShade="F2"/>
            <w:noWrap/>
            <w:vAlign w:val="center"/>
            <w:hideMark/>
          </w:tcPr>
          <w:p w14:paraId="4A160B6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760" w:type="dxa"/>
            <w:shd w:val="clear" w:color="auto" w:fill="F2F2F2" w:themeFill="background1" w:themeFillShade="F2"/>
            <w:noWrap/>
            <w:vAlign w:val="center"/>
            <w:hideMark/>
          </w:tcPr>
          <w:p w14:paraId="4AC08F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w:t>
            </w:r>
          </w:p>
        </w:tc>
        <w:tc>
          <w:tcPr>
            <w:tcW w:w="1200" w:type="dxa"/>
            <w:shd w:val="clear" w:color="auto" w:fill="F2F2F2" w:themeFill="background1" w:themeFillShade="F2"/>
            <w:noWrap/>
            <w:vAlign w:val="center"/>
            <w:hideMark/>
          </w:tcPr>
          <w:p w14:paraId="584023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000" w:type="dxa"/>
            <w:shd w:val="clear" w:color="auto" w:fill="F2F2F2" w:themeFill="background1" w:themeFillShade="F2"/>
            <w:noWrap/>
            <w:vAlign w:val="center"/>
            <w:hideMark/>
          </w:tcPr>
          <w:p w14:paraId="2F974F4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420" w:type="dxa"/>
            <w:shd w:val="clear" w:color="auto" w:fill="F2F2F2" w:themeFill="background1" w:themeFillShade="F2"/>
            <w:noWrap/>
            <w:vAlign w:val="center"/>
            <w:hideMark/>
          </w:tcPr>
          <w:p w14:paraId="5AC894B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F2F2F2" w:themeFill="background1" w:themeFillShade="F2"/>
            <w:noWrap/>
            <w:vAlign w:val="center"/>
            <w:hideMark/>
          </w:tcPr>
          <w:p w14:paraId="5BFDB5A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860" w:type="dxa"/>
            <w:shd w:val="clear" w:color="auto" w:fill="F2F2F2" w:themeFill="background1" w:themeFillShade="F2"/>
            <w:noWrap/>
            <w:vAlign w:val="center"/>
            <w:hideMark/>
          </w:tcPr>
          <w:p w14:paraId="2F2E8F9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00" w:type="dxa"/>
            <w:shd w:val="clear" w:color="auto" w:fill="F2F2F2" w:themeFill="background1" w:themeFillShade="F2"/>
            <w:noWrap/>
            <w:vAlign w:val="center"/>
            <w:hideMark/>
          </w:tcPr>
          <w:p w14:paraId="2847C8C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0B81AA59" w14:textId="77777777" w:rsidTr="00224E0F">
        <w:trPr>
          <w:trHeight w:val="170"/>
        </w:trPr>
        <w:tc>
          <w:tcPr>
            <w:tcW w:w="880" w:type="dxa"/>
            <w:shd w:val="clear" w:color="auto" w:fill="auto"/>
            <w:noWrap/>
            <w:vAlign w:val="center"/>
            <w:hideMark/>
          </w:tcPr>
          <w:p w14:paraId="522B12A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597866A4"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Ingresos y Gastos de los Hogares Estacional</w:t>
            </w:r>
          </w:p>
        </w:tc>
        <w:tc>
          <w:tcPr>
            <w:tcW w:w="902" w:type="dxa"/>
            <w:shd w:val="clear" w:color="auto" w:fill="auto"/>
            <w:noWrap/>
            <w:vAlign w:val="center"/>
            <w:hideMark/>
          </w:tcPr>
          <w:p w14:paraId="7B067BB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ENIGH_A</w:t>
            </w:r>
          </w:p>
        </w:tc>
        <w:tc>
          <w:tcPr>
            <w:tcW w:w="1312" w:type="dxa"/>
            <w:shd w:val="clear" w:color="auto" w:fill="auto"/>
            <w:noWrap/>
            <w:vAlign w:val="center"/>
            <w:hideMark/>
          </w:tcPr>
          <w:p w14:paraId="42C5090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425.2</w:t>
            </w:r>
          </w:p>
        </w:tc>
        <w:tc>
          <w:tcPr>
            <w:tcW w:w="1480" w:type="dxa"/>
            <w:shd w:val="clear" w:color="auto" w:fill="auto"/>
            <w:noWrap/>
            <w:vAlign w:val="center"/>
            <w:hideMark/>
          </w:tcPr>
          <w:p w14:paraId="1BF81A9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18213D3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4E374F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3AEA771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96%</w:t>
            </w:r>
          </w:p>
        </w:tc>
        <w:tc>
          <w:tcPr>
            <w:tcW w:w="1420" w:type="dxa"/>
            <w:shd w:val="clear" w:color="auto" w:fill="auto"/>
            <w:noWrap/>
            <w:vAlign w:val="center"/>
            <w:hideMark/>
          </w:tcPr>
          <w:p w14:paraId="4FE7B5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auto"/>
            <w:noWrap/>
            <w:vAlign w:val="center"/>
            <w:hideMark/>
          </w:tcPr>
          <w:p w14:paraId="07198B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7A10C23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auto"/>
            <w:noWrap/>
            <w:vAlign w:val="center"/>
            <w:hideMark/>
          </w:tcPr>
          <w:p w14:paraId="6FF7ABA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4D77ABFC" w14:textId="77777777" w:rsidTr="00224E0F">
        <w:trPr>
          <w:trHeight w:val="170"/>
        </w:trPr>
        <w:tc>
          <w:tcPr>
            <w:tcW w:w="880" w:type="dxa"/>
            <w:shd w:val="clear" w:color="auto" w:fill="auto"/>
            <w:noWrap/>
            <w:vAlign w:val="center"/>
            <w:hideMark/>
          </w:tcPr>
          <w:p w14:paraId="0870C91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69E01A8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Ocupación y Empleo Nueva Edición</w:t>
            </w:r>
          </w:p>
        </w:tc>
        <w:tc>
          <w:tcPr>
            <w:tcW w:w="902" w:type="dxa"/>
            <w:shd w:val="clear" w:color="auto" w:fill="auto"/>
            <w:noWrap/>
            <w:vAlign w:val="center"/>
            <w:hideMark/>
          </w:tcPr>
          <w:p w14:paraId="5566815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ENOE-NE</w:t>
            </w:r>
          </w:p>
        </w:tc>
        <w:tc>
          <w:tcPr>
            <w:tcW w:w="1312" w:type="dxa"/>
            <w:shd w:val="clear" w:color="auto" w:fill="auto"/>
            <w:noWrap/>
            <w:vAlign w:val="center"/>
            <w:hideMark/>
          </w:tcPr>
          <w:p w14:paraId="587CA75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912.9</w:t>
            </w:r>
          </w:p>
        </w:tc>
        <w:tc>
          <w:tcPr>
            <w:tcW w:w="1480" w:type="dxa"/>
            <w:shd w:val="clear" w:color="auto" w:fill="auto"/>
            <w:noWrap/>
            <w:vAlign w:val="center"/>
            <w:hideMark/>
          </w:tcPr>
          <w:p w14:paraId="412CB26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6AC53F0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2C0F19E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5A6175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p>
        </w:tc>
        <w:tc>
          <w:tcPr>
            <w:tcW w:w="1420" w:type="dxa"/>
            <w:shd w:val="clear" w:color="auto" w:fill="auto"/>
            <w:noWrap/>
            <w:vAlign w:val="center"/>
            <w:hideMark/>
          </w:tcPr>
          <w:p w14:paraId="67DB28C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auto"/>
            <w:noWrap/>
            <w:vAlign w:val="center"/>
            <w:hideMark/>
          </w:tcPr>
          <w:p w14:paraId="5DB7698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60582B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31921D3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05CC0CF3" w14:textId="77777777" w:rsidTr="00224E0F">
        <w:trPr>
          <w:trHeight w:val="170"/>
        </w:trPr>
        <w:tc>
          <w:tcPr>
            <w:tcW w:w="880" w:type="dxa"/>
            <w:shd w:val="clear" w:color="auto" w:fill="F2F2F2" w:themeFill="background1" w:themeFillShade="F2"/>
            <w:noWrap/>
            <w:vAlign w:val="center"/>
            <w:hideMark/>
          </w:tcPr>
          <w:p w14:paraId="030DB6B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40267D7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Encuesta Nacional de Trabajo Infantil</w:t>
            </w:r>
          </w:p>
        </w:tc>
        <w:tc>
          <w:tcPr>
            <w:tcW w:w="902" w:type="dxa"/>
            <w:shd w:val="clear" w:color="auto" w:fill="F2F2F2" w:themeFill="background1" w:themeFillShade="F2"/>
            <w:noWrap/>
            <w:vAlign w:val="center"/>
            <w:hideMark/>
          </w:tcPr>
          <w:p w14:paraId="1FA81DE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ENTI</w:t>
            </w:r>
          </w:p>
        </w:tc>
        <w:tc>
          <w:tcPr>
            <w:tcW w:w="1312" w:type="dxa"/>
            <w:shd w:val="clear" w:color="auto" w:fill="F2F2F2" w:themeFill="background1" w:themeFillShade="F2"/>
            <w:noWrap/>
            <w:vAlign w:val="center"/>
            <w:hideMark/>
          </w:tcPr>
          <w:p w14:paraId="0F90892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92.8</w:t>
            </w:r>
          </w:p>
        </w:tc>
        <w:tc>
          <w:tcPr>
            <w:tcW w:w="1480" w:type="dxa"/>
            <w:shd w:val="clear" w:color="auto" w:fill="F2F2F2" w:themeFill="background1" w:themeFillShade="F2"/>
            <w:noWrap/>
            <w:vAlign w:val="center"/>
            <w:hideMark/>
          </w:tcPr>
          <w:p w14:paraId="36E978C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35CB303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F2F2F2" w:themeFill="background1" w:themeFillShade="F2"/>
            <w:noWrap/>
            <w:vAlign w:val="center"/>
            <w:hideMark/>
          </w:tcPr>
          <w:p w14:paraId="4F05006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0DEE1EA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97%</w:t>
            </w:r>
          </w:p>
        </w:tc>
        <w:tc>
          <w:tcPr>
            <w:tcW w:w="1420" w:type="dxa"/>
            <w:shd w:val="clear" w:color="auto" w:fill="F2F2F2" w:themeFill="background1" w:themeFillShade="F2"/>
            <w:noWrap/>
            <w:vAlign w:val="center"/>
            <w:hideMark/>
          </w:tcPr>
          <w:p w14:paraId="031ACA5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35D0D4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276D7B5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2E22BD7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7CD30505" w14:textId="77777777" w:rsidTr="00224E0F">
        <w:trPr>
          <w:trHeight w:val="170"/>
        </w:trPr>
        <w:tc>
          <w:tcPr>
            <w:tcW w:w="880" w:type="dxa"/>
            <w:shd w:val="clear" w:color="auto" w:fill="F2F2F2" w:themeFill="background1" w:themeFillShade="F2"/>
            <w:noWrap/>
            <w:vAlign w:val="center"/>
            <w:hideMark/>
          </w:tcPr>
          <w:p w14:paraId="0019840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6DEA8111"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Marco Maestro de Muestreo</w:t>
            </w:r>
          </w:p>
        </w:tc>
        <w:tc>
          <w:tcPr>
            <w:tcW w:w="902" w:type="dxa"/>
            <w:shd w:val="clear" w:color="auto" w:fill="F2F2F2" w:themeFill="background1" w:themeFillShade="F2"/>
            <w:noWrap/>
            <w:vAlign w:val="center"/>
            <w:hideMark/>
          </w:tcPr>
          <w:p w14:paraId="58664D6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MMM</w:t>
            </w:r>
          </w:p>
        </w:tc>
        <w:tc>
          <w:tcPr>
            <w:tcW w:w="1312" w:type="dxa"/>
            <w:shd w:val="clear" w:color="auto" w:fill="F2F2F2" w:themeFill="background1" w:themeFillShade="F2"/>
            <w:noWrap/>
            <w:vAlign w:val="center"/>
            <w:hideMark/>
          </w:tcPr>
          <w:p w14:paraId="67B55DE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212.1</w:t>
            </w:r>
          </w:p>
        </w:tc>
        <w:tc>
          <w:tcPr>
            <w:tcW w:w="1480" w:type="dxa"/>
            <w:shd w:val="clear" w:color="auto" w:fill="F2F2F2" w:themeFill="background1" w:themeFillShade="F2"/>
            <w:noWrap/>
            <w:vAlign w:val="center"/>
            <w:hideMark/>
          </w:tcPr>
          <w:p w14:paraId="33E1860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F2F2F2" w:themeFill="background1" w:themeFillShade="F2"/>
            <w:noWrap/>
            <w:vAlign w:val="center"/>
            <w:hideMark/>
          </w:tcPr>
          <w:p w14:paraId="6DDF52B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200" w:type="dxa"/>
            <w:shd w:val="clear" w:color="auto" w:fill="F2F2F2" w:themeFill="background1" w:themeFillShade="F2"/>
            <w:noWrap/>
            <w:vAlign w:val="center"/>
            <w:hideMark/>
          </w:tcPr>
          <w:p w14:paraId="2B76369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F2F2F2" w:themeFill="background1" w:themeFillShade="F2"/>
            <w:noWrap/>
            <w:vAlign w:val="center"/>
            <w:hideMark/>
          </w:tcPr>
          <w:p w14:paraId="71180F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89%</w:t>
            </w:r>
          </w:p>
        </w:tc>
        <w:tc>
          <w:tcPr>
            <w:tcW w:w="1420" w:type="dxa"/>
            <w:shd w:val="clear" w:color="auto" w:fill="F2F2F2" w:themeFill="background1" w:themeFillShade="F2"/>
            <w:noWrap/>
            <w:vAlign w:val="center"/>
            <w:hideMark/>
          </w:tcPr>
          <w:p w14:paraId="4320FFA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80" w:type="dxa"/>
            <w:shd w:val="clear" w:color="auto" w:fill="F2F2F2" w:themeFill="background1" w:themeFillShade="F2"/>
            <w:noWrap/>
            <w:vAlign w:val="center"/>
            <w:hideMark/>
          </w:tcPr>
          <w:p w14:paraId="63FBBD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860" w:type="dxa"/>
            <w:shd w:val="clear" w:color="auto" w:fill="F2F2F2" w:themeFill="background1" w:themeFillShade="F2"/>
            <w:noWrap/>
            <w:vAlign w:val="center"/>
            <w:hideMark/>
          </w:tcPr>
          <w:p w14:paraId="4B9DB9D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7CEF210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0F6A745C" w14:textId="77777777" w:rsidTr="00224E0F">
        <w:trPr>
          <w:trHeight w:val="170"/>
        </w:trPr>
        <w:tc>
          <w:tcPr>
            <w:tcW w:w="880" w:type="dxa"/>
            <w:shd w:val="clear" w:color="auto" w:fill="auto"/>
            <w:noWrap/>
            <w:vAlign w:val="center"/>
            <w:hideMark/>
          </w:tcPr>
          <w:p w14:paraId="46749E3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02E627CE"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Módulo sobre Eventos Culturales Seleccionados</w:t>
            </w:r>
          </w:p>
        </w:tc>
        <w:tc>
          <w:tcPr>
            <w:tcW w:w="902" w:type="dxa"/>
            <w:shd w:val="clear" w:color="auto" w:fill="auto"/>
            <w:noWrap/>
            <w:vAlign w:val="center"/>
            <w:hideMark/>
          </w:tcPr>
          <w:p w14:paraId="5291C76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MODECULT</w:t>
            </w:r>
          </w:p>
        </w:tc>
        <w:tc>
          <w:tcPr>
            <w:tcW w:w="1312" w:type="dxa"/>
            <w:shd w:val="clear" w:color="auto" w:fill="auto"/>
            <w:noWrap/>
            <w:vAlign w:val="center"/>
            <w:hideMark/>
          </w:tcPr>
          <w:p w14:paraId="3D9C864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6.9</w:t>
            </w:r>
          </w:p>
        </w:tc>
        <w:tc>
          <w:tcPr>
            <w:tcW w:w="1480" w:type="dxa"/>
            <w:shd w:val="clear" w:color="auto" w:fill="auto"/>
            <w:noWrap/>
            <w:vAlign w:val="center"/>
            <w:hideMark/>
          </w:tcPr>
          <w:p w14:paraId="38D82E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588D31D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200" w:type="dxa"/>
            <w:shd w:val="clear" w:color="auto" w:fill="auto"/>
            <w:noWrap/>
            <w:vAlign w:val="center"/>
            <w:hideMark/>
          </w:tcPr>
          <w:p w14:paraId="3BBD9C4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74206EA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420" w:type="dxa"/>
            <w:shd w:val="clear" w:color="auto" w:fill="auto"/>
            <w:noWrap/>
            <w:vAlign w:val="center"/>
            <w:hideMark/>
          </w:tcPr>
          <w:p w14:paraId="1B43203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180" w:type="dxa"/>
            <w:shd w:val="clear" w:color="auto" w:fill="auto"/>
            <w:noWrap/>
            <w:vAlign w:val="center"/>
            <w:hideMark/>
          </w:tcPr>
          <w:p w14:paraId="7936D1F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w:t>
            </w:r>
          </w:p>
        </w:tc>
        <w:tc>
          <w:tcPr>
            <w:tcW w:w="860" w:type="dxa"/>
            <w:shd w:val="clear" w:color="auto" w:fill="auto"/>
            <w:noWrap/>
            <w:vAlign w:val="center"/>
            <w:hideMark/>
          </w:tcPr>
          <w:p w14:paraId="4720D1B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auto"/>
            <w:noWrap/>
            <w:vAlign w:val="center"/>
            <w:hideMark/>
          </w:tcPr>
          <w:p w14:paraId="511AE25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4BFFC387" w14:textId="77777777" w:rsidTr="00224E0F">
        <w:trPr>
          <w:trHeight w:val="170"/>
        </w:trPr>
        <w:tc>
          <w:tcPr>
            <w:tcW w:w="880" w:type="dxa"/>
            <w:shd w:val="clear" w:color="auto" w:fill="auto"/>
            <w:noWrap/>
            <w:vAlign w:val="center"/>
            <w:hideMark/>
          </w:tcPr>
          <w:p w14:paraId="01FEA2D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20BA25DE"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Módulo sobre Lectura</w:t>
            </w:r>
          </w:p>
        </w:tc>
        <w:tc>
          <w:tcPr>
            <w:tcW w:w="902" w:type="dxa"/>
            <w:shd w:val="clear" w:color="auto" w:fill="auto"/>
            <w:noWrap/>
            <w:vAlign w:val="center"/>
            <w:hideMark/>
          </w:tcPr>
          <w:p w14:paraId="204B709F"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MOLEC</w:t>
            </w:r>
          </w:p>
        </w:tc>
        <w:tc>
          <w:tcPr>
            <w:tcW w:w="1312" w:type="dxa"/>
            <w:shd w:val="clear" w:color="auto" w:fill="auto"/>
            <w:noWrap/>
            <w:vAlign w:val="center"/>
            <w:hideMark/>
          </w:tcPr>
          <w:p w14:paraId="092C4C5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4.5</w:t>
            </w:r>
          </w:p>
        </w:tc>
        <w:tc>
          <w:tcPr>
            <w:tcW w:w="1480" w:type="dxa"/>
            <w:shd w:val="clear" w:color="auto" w:fill="auto"/>
            <w:noWrap/>
            <w:vAlign w:val="center"/>
            <w:hideMark/>
          </w:tcPr>
          <w:p w14:paraId="037A8C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760" w:type="dxa"/>
            <w:shd w:val="clear" w:color="auto" w:fill="auto"/>
            <w:noWrap/>
            <w:vAlign w:val="center"/>
            <w:hideMark/>
          </w:tcPr>
          <w:p w14:paraId="0F6799F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200" w:type="dxa"/>
            <w:shd w:val="clear" w:color="auto" w:fill="auto"/>
            <w:noWrap/>
            <w:vAlign w:val="center"/>
            <w:hideMark/>
          </w:tcPr>
          <w:p w14:paraId="148950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72F4308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1420" w:type="dxa"/>
            <w:shd w:val="clear" w:color="auto" w:fill="auto"/>
            <w:noWrap/>
            <w:vAlign w:val="center"/>
            <w:hideMark/>
          </w:tcPr>
          <w:p w14:paraId="1CF7981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w:t>
            </w:r>
          </w:p>
        </w:tc>
        <w:tc>
          <w:tcPr>
            <w:tcW w:w="1180" w:type="dxa"/>
            <w:shd w:val="clear" w:color="auto" w:fill="auto"/>
            <w:noWrap/>
            <w:vAlign w:val="center"/>
            <w:hideMark/>
          </w:tcPr>
          <w:p w14:paraId="6192A8C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860" w:type="dxa"/>
            <w:shd w:val="clear" w:color="auto" w:fill="auto"/>
            <w:noWrap/>
            <w:vAlign w:val="center"/>
            <w:hideMark/>
          </w:tcPr>
          <w:p w14:paraId="526104B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100" w:type="dxa"/>
            <w:shd w:val="clear" w:color="auto" w:fill="auto"/>
            <w:noWrap/>
            <w:vAlign w:val="center"/>
            <w:hideMark/>
          </w:tcPr>
          <w:p w14:paraId="6EFF1CC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64C4EC9D" w14:textId="77777777" w:rsidTr="00224E0F">
        <w:trPr>
          <w:trHeight w:val="170"/>
        </w:trPr>
        <w:tc>
          <w:tcPr>
            <w:tcW w:w="880" w:type="dxa"/>
            <w:shd w:val="clear" w:color="auto" w:fill="F2F2F2" w:themeFill="background1" w:themeFillShade="F2"/>
            <w:noWrap/>
            <w:vAlign w:val="center"/>
            <w:hideMark/>
          </w:tcPr>
          <w:p w14:paraId="2DFCE59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5A0099A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Módulo de Práctica Deportiva y Ejercicio Físico</w:t>
            </w:r>
          </w:p>
        </w:tc>
        <w:tc>
          <w:tcPr>
            <w:tcW w:w="902" w:type="dxa"/>
            <w:shd w:val="clear" w:color="auto" w:fill="F2F2F2" w:themeFill="background1" w:themeFillShade="F2"/>
            <w:noWrap/>
            <w:vAlign w:val="center"/>
            <w:hideMark/>
          </w:tcPr>
          <w:p w14:paraId="6412DC8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MOPRADEF</w:t>
            </w:r>
          </w:p>
        </w:tc>
        <w:tc>
          <w:tcPr>
            <w:tcW w:w="1312" w:type="dxa"/>
            <w:shd w:val="clear" w:color="auto" w:fill="F2F2F2" w:themeFill="background1" w:themeFillShade="F2"/>
            <w:noWrap/>
            <w:vAlign w:val="center"/>
            <w:hideMark/>
          </w:tcPr>
          <w:p w14:paraId="42A215F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6.8</w:t>
            </w:r>
          </w:p>
        </w:tc>
        <w:tc>
          <w:tcPr>
            <w:tcW w:w="1480" w:type="dxa"/>
            <w:shd w:val="clear" w:color="auto" w:fill="F2F2F2" w:themeFill="background1" w:themeFillShade="F2"/>
            <w:noWrap/>
            <w:vAlign w:val="center"/>
            <w:hideMark/>
          </w:tcPr>
          <w:p w14:paraId="5F32253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F2F2F2" w:themeFill="background1" w:themeFillShade="F2"/>
            <w:noWrap/>
            <w:vAlign w:val="center"/>
            <w:hideMark/>
          </w:tcPr>
          <w:p w14:paraId="21CA591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200" w:type="dxa"/>
            <w:shd w:val="clear" w:color="auto" w:fill="F2F2F2" w:themeFill="background1" w:themeFillShade="F2"/>
            <w:noWrap/>
            <w:vAlign w:val="center"/>
            <w:hideMark/>
          </w:tcPr>
          <w:p w14:paraId="6AC8A45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2E55876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420" w:type="dxa"/>
            <w:shd w:val="clear" w:color="auto" w:fill="F2F2F2" w:themeFill="background1" w:themeFillShade="F2"/>
            <w:noWrap/>
            <w:vAlign w:val="center"/>
            <w:hideMark/>
          </w:tcPr>
          <w:p w14:paraId="2238668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180" w:type="dxa"/>
            <w:shd w:val="clear" w:color="auto" w:fill="F2F2F2" w:themeFill="background1" w:themeFillShade="F2"/>
            <w:noWrap/>
            <w:vAlign w:val="center"/>
            <w:hideMark/>
          </w:tcPr>
          <w:p w14:paraId="68C29A1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w:t>
            </w:r>
          </w:p>
        </w:tc>
        <w:tc>
          <w:tcPr>
            <w:tcW w:w="860" w:type="dxa"/>
            <w:shd w:val="clear" w:color="auto" w:fill="F2F2F2" w:themeFill="background1" w:themeFillShade="F2"/>
            <w:noWrap/>
            <w:vAlign w:val="center"/>
            <w:hideMark/>
          </w:tcPr>
          <w:p w14:paraId="0C9E5C0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100" w:type="dxa"/>
            <w:shd w:val="clear" w:color="auto" w:fill="F2F2F2" w:themeFill="background1" w:themeFillShade="F2"/>
            <w:noWrap/>
            <w:vAlign w:val="center"/>
            <w:hideMark/>
          </w:tcPr>
          <w:p w14:paraId="323CE2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4419AC44" w14:textId="77777777" w:rsidTr="00224E0F">
        <w:trPr>
          <w:trHeight w:val="170"/>
        </w:trPr>
        <w:tc>
          <w:tcPr>
            <w:tcW w:w="880" w:type="dxa"/>
            <w:shd w:val="clear" w:color="auto" w:fill="F2F2F2" w:themeFill="background1" w:themeFillShade="F2"/>
            <w:noWrap/>
            <w:vAlign w:val="center"/>
            <w:hideMark/>
          </w:tcPr>
          <w:p w14:paraId="71B6334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DGIAI</w:t>
            </w:r>
          </w:p>
        </w:tc>
        <w:tc>
          <w:tcPr>
            <w:tcW w:w="2466" w:type="dxa"/>
            <w:shd w:val="clear" w:color="auto" w:fill="F2F2F2" w:themeFill="background1" w:themeFillShade="F2"/>
            <w:vAlign w:val="center"/>
            <w:hideMark/>
          </w:tcPr>
          <w:p w14:paraId="75DA086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Bienestar </w:t>
            </w:r>
            <w:proofErr w:type="spellStart"/>
            <w:r w:rsidRPr="009A501D">
              <w:rPr>
                <w:rFonts w:ascii="Century Gothic" w:eastAsia="Times New Roman" w:hAnsi="Century Gothic" w:cs="Calibri"/>
                <w:color w:val="000000"/>
                <w:sz w:val="16"/>
                <w:szCs w:val="16"/>
                <w:lang w:eastAsia="es-MX"/>
              </w:rPr>
              <w:t>Autorreportado</w:t>
            </w:r>
            <w:proofErr w:type="spellEnd"/>
          </w:p>
        </w:tc>
        <w:tc>
          <w:tcPr>
            <w:tcW w:w="902" w:type="dxa"/>
            <w:shd w:val="clear" w:color="auto" w:fill="F2F2F2" w:themeFill="background1" w:themeFillShade="F2"/>
            <w:noWrap/>
            <w:vAlign w:val="center"/>
            <w:hideMark/>
          </w:tcPr>
          <w:p w14:paraId="4880462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BIARE</w:t>
            </w:r>
          </w:p>
        </w:tc>
        <w:tc>
          <w:tcPr>
            <w:tcW w:w="1312" w:type="dxa"/>
            <w:shd w:val="clear" w:color="auto" w:fill="F2F2F2" w:themeFill="background1" w:themeFillShade="F2"/>
            <w:noWrap/>
            <w:vAlign w:val="center"/>
            <w:hideMark/>
          </w:tcPr>
          <w:p w14:paraId="7C0F588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6.2</w:t>
            </w:r>
          </w:p>
        </w:tc>
        <w:tc>
          <w:tcPr>
            <w:tcW w:w="1480" w:type="dxa"/>
            <w:shd w:val="clear" w:color="auto" w:fill="F2F2F2" w:themeFill="background1" w:themeFillShade="F2"/>
            <w:noWrap/>
            <w:vAlign w:val="center"/>
            <w:hideMark/>
          </w:tcPr>
          <w:p w14:paraId="73C4D6A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760" w:type="dxa"/>
            <w:shd w:val="clear" w:color="auto" w:fill="F2F2F2" w:themeFill="background1" w:themeFillShade="F2"/>
            <w:noWrap/>
            <w:vAlign w:val="center"/>
            <w:hideMark/>
          </w:tcPr>
          <w:p w14:paraId="616C0F7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200" w:type="dxa"/>
            <w:shd w:val="clear" w:color="auto" w:fill="F2F2F2" w:themeFill="background1" w:themeFillShade="F2"/>
            <w:noWrap/>
            <w:vAlign w:val="center"/>
            <w:hideMark/>
          </w:tcPr>
          <w:p w14:paraId="099B6FF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F2F2F2" w:themeFill="background1" w:themeFillShade="F2"/>
            <w:noWrap/>
            <w:vAlign w:val="center"/>
            <w:hideMark/>
          </w:tcPr>
          <w:p w14:paraId="2B229DF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w:t>
            </w:r>
          </w:p>
        </w:tc>
        <w:tc>
          <w:tcPr>
            <w:tcW w:w="1420" w:type="dxa"/>
            <w:shd w:val="clear" w:color="auto" w:fill="F2F2F2" w:themeFill="background1" w:themeFillShade="F2"/>
            <w:noWrap/>
            <w:vAlign w:val="center"/>
            <w:hideMark/>
          </w:tcPr>
          <w:p w14:paraId="6A11BF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180" w:type="dxa"/>
            <w:shd w:val="clear" w:color="auto" w:fill="F2F2F2" w:themeFill="background1" w:themeFillShade="F2"/>
            <w:noWrap/>
            <w:vAlign w:val="center"/>
            <w:hideMark/>
          </w:tcPr>
          <w:p w14:paraId="45F7FD7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42%</w:t>
            </w:r>
          </w:p>
        </w:tc>
        <w:tc>
          <w:tcPr>
            <w:tcW w:w="860" w:type="dxa"/>
            <w:shd w:val="clear" w:color="auto" w:fill="F2F2F2" w:themeFill="background1" w:themeFillShade="F2"/>
            <w:noWrap/>
            <w:vAlign w:val="center"/>
            <w:hideMark/>
          </w:tcPr>
          <w:p w14:paraId="55C421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604B4EC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6C3CE461" w14:textId="77777777" w:rsidTr="00224E0F">
        <w:trPr>
          <w:trHeight w:val="170"/>
        </w:trPr>
        <w:tc>
          <w:tcPr>
            <w:tcW w:w="880" w:type="dxa"/>
            <w:shd w:val="clear" w:color="auto" w:fill="auto"/>
            <w:noWrap/>
            <w:vAlign w:val="center"/>
            <w:hideMark/>
          </w:tcPr>
          <w:p w14:paraId="27F2783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1BFB4CD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Cuentas por Actividades Económicas</w:t>
            </w:r>
          </w:p>
        </w:tc>
        <w:tc>
          <w:tcPr>
            <w:tcW w:w="902" w:type="dxa"/>
            <w:shd w:val="clear" w:color="auto" w:fill="auto"/>
            <w:noWrap/>
            <w:vAlign w:val="center"/>
            <w:hideMark/>
          </w:tcPr>
          <w:p w14:paraId="12C0CDE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CBSPR</w:t>
            </w:r>
          </w:p>
        </w:tc>
        <w:tc>
          <w:tcPr>
            <w:tcW w:w="1312" w:type="dxa"/>
            <w:shd w:val="clear" w:color="auto" w:fill="auto"/>
            <w:noWrap/>
            <w:vAlign w:val="center"/>
            <w:hideMark/>
          </w:tcPr>
          <w:p w14:paraId="09A79D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195.0</w:t>
            </w:r>
          </w:p>
        </w:tc>
        <w:tc>
          <w:tcPr>
            <w:tcW w:w="1480" w:type="dxa"/>
            <w:shd w:val="clear" w:color="auto" w:fill="auto"/>
            <w:noWrap/>
            <w:vAlign w:val="center"/>
            <w:hideMark/>
          </w:tcPr>
          <w:p w14:paraId="7E5563B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760" w:type="dxa"/>
            <w:shd w:val="clear" w:color="auto" w:fill="auto"/>
            <w:noWrap/>
            <w:vAlign w:val="center"/>
            <w:hideMark/>
          </w:tcPr>
          <w:p w14:paraId="2CDEAC8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auto"/>
            <w:noWrap/>
            <w:vAlign w:val="center"/>
            <w:hideMark/>
          </w:tcPr>
          <w:p w14:paraId="758EBE6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002AF75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420" w:type="dxa"/>
            <w:shd w:val="clear" w:color="auto" w:fill="auto"/>
            <w:noWrap/>
            <w:vAlign w:val="center"/>
            <w:hideMark/>
          </w:tcPr>
          <w:p w14:paraId="0B60A0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w:t>
            </w:r>
          </w:p>
        </w:tc>
        <w:tc>
          <w:tcPr>
            <w:tcW w:w="1180" w:type="dxa"/>
            <w:shd w:val="clear" w:color="auto" w:fill="auto"/>
            <w:noWrap/>
            <w:vAlign w:val="center"/>
            <w:hideMark/>
          </w:tcPr>
          <w:p w14:paraId="14FA0F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44%</w:t>
            </w:r>
          </w:p>
        </w:tc>
        <w:tc>
          <w:tcPr>
            <w:tcW w:w="860" w:type="dxa"/>
            <w:shd w:val="clear" w:color="auto" w:fill="auto"/>
            <w:noWrap/>
            <w:vAlign w:val="center"/>
            <w:hideMark/>
          </w:tcPr>
          <w:p w14:paraId="5838BC3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1398E95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7EA82F28" w14:textId="77777777" w:rsidTr="00224E0F">
        <w:trPr>
          <w:trHeight w:val="170"/>
        </w:trPr>
        <w:tc>
          <w:tcPr>
            <w:tcW w:w="880" w:type="dxa"/>
            <w:shd w:val="clear" w:color="auto" w:fill="auto"/>
            <w:noWrap/>
            <w:vAlign w:val="center"/>
            <w:hideMark/>
          </w:tcPr>
          <w:p w14:paraId="7712506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14A3604E"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Cuentas por Sectores Institucionales</w:t>
            </w:r>
          </w:p>
        </w:tc>
        <w:tc>
          <w:tcPr>
            <w:tcW w:w="902" w:type="dxa"/>
            <w:shd w:val="clear" w:color="auto" w:fill="auto"/>
            <w:noWrap/>
            <w:vAlign w:val="center"/>
            <w:hideMark/>
          </w:tcPr>
          <w:p w14:paraId="5AB23E9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CSI</w:t>
            </w:r>
          </w:p>
        </w:tc>
        <w:tc>
          <w:tcPr>
            <w:tcW w:w="1312" w:type="dxa"/>
            <w:shd w:val="clear" w:color="auto" w:fill="auto"/>
            <w:noWrap/>
            <w:vAlign w:val="center"/>
            <w:hideMark/>
          </w:tcPr>
          <w:p w14:paraId="03171D4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40.0</w:t>
            </w:r>
          </w:p>
        </w:tc>
        <w:tc>
          <w:tcPr>
            <w:tcW w:w="1480" w:type="dxa"/>
            <w:shd w:val="clear" w:color="auto" w:fill="auto"/>
            <w:noWrap/>
            <w:vAlign w:val="center"/>
            <w:hideMark/>
          </w:tcPr>
          <w:p w14:paraId="28CB66D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760" w:type="dxa"/>
            <w:shd w:val="clear" w:color="auto" w:fill="auto"/>
            <w:noWrap/>
            <w:vAlign w:val="center"/>
            <w:hideMark/>
          </w:tcPr>
          <w:p w14:paraId="1E35207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200" w:type="dxa"/>
            <w:shd w:val="clear" w:color="auto" w:fill="auto"/>
            <w:noWrap/>
            <w:vAlign w:val="center"/>
            <w:hideMark/>
          </w:tcPr>
          <w:p w14:paraId="772B8EA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000" w:type="dxa"/>
            <w:shd w:val="clear" w:color="auto" w:fill="auto"/>
            <w:noWrap/>
            <w:vAlign w:val="center"/>
            <w:hideMark/>
          </w:tcPr>
          <w:p w14:paraId="5D0DA96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420" w:type="dxa"/>
            <w:shd w:val="clear" w:color="auto" w:fill="auto"/>
            <w:noWrap/>
            <w:vAlign w:val="center"/>
            <w:hideMark/>
          </w:tcPr>
          <w:p w14:paraId="7029194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w:t>
            </w:r>
          </w:p>
        </w:tc>
        <w:tc>
          <w:tcPr>
            <w:tcW w:w="1180" w:type="dxa"/>
            <w:shd w:val="clear" w:color="auto" w:fill="auto"/>
            <w:noWrap/>
            <w:vAlign w:val="center"/>
            <w:hideMark/>
          </w:tcPr>
          <w:p w14:paraId="73BAB2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36%</w:t>
            </w:r>
          </w:p>
        </w:tc>
        <w:tc>
          <w:tcPr>
            <w:tcW w:w="860" w:type="dxa"/>
            <w:shd w:val="clear" w:color="auto" w:fill="auto"/>
            <w:noWrap/>
            <w:vAlign w:val="center"/>
            <w:hideMark/>
          </w:tcPr>
          <w:p w14:paraId="5C70C4B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6D37544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r>
      <w:tr w:rsidR="00FE3FE8" w:rsidRPr="009A501D" w14:paraId="3C2DB5DB" w14:textId="77777777" w:rsidTr="00224E0F">
        <w:trPr>
          <w:trHeight w:val="170"/>
        </w:trPr>
        <w:tc>
          <w:tcPr>
            <w:tcW w:w="880" w:type="dxa"/>
            <w:shd w:val="clear" w:color="auto" w:fill="F2F2F2" w:themeFill="background1" w:themeFillShade="F2"/>
            <w:noWrap/>
            <w:vAlign w:val="center"/>
            <w:hideMark/>
          </w:tcPr>
          <w:p w14:paraId="152600F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6DFF4803"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Nacional de Precios al Consumidor</w:t>
            </w:r>
          </w:p>
        </w:tc>
        <w:tc>
          <w:tcPr>
            <w:tcW w:w="902" w:type="dxa"/>
            <w:shd w:val="clear" w:color="auto" w:fill="F2F2F2" w:themeFill="background1" w:themeFillShade="F2"/>
            <w:noWrap/>
            <w:vAlign w:val="center"/>
            <w:hideMark/>
          </w:tcPr>
          <w:p w14:paraId="757A7DD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INPC</w:t>
            </w:r>
          </w:p>
        </w:tc>
        <w:tc>
          <w:tcPr>
            <w:tcW w:w="1312" w:type="dxa"/>
            <w:shd w:val="clear" w:color="auto" w:fill="F2F2F2" w:themeFill="background1" w:themeFillShade="F2"/>
            <w:noWrap/>
            <w:vAlign w:val="center"/>
            <w:hideMark/>
          </w:tcPr>
          <w:p w14:paraId="773AB0E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187.8</w:t>
            </w:r>
          </w:p>
        </w:tc>
        <w:tc>
          <w:tcPr>
            <w:tcW w:w="1480" w:type="dxa"/>
            <w:shd w:val="clear" w:color="auto" w:fill="F2F2F2" w:themeFill="background1" w:themeFillShade="F2"/>
            <w:noWrap/>
            <w:vAlign w:val="center"/>
            <w:hideMark/>
          </w:tcPr>
          <w:p w14:paraId="21A10A8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760" w:type="dxa"/>
            <w:shd w:val="clear" w:color="auto" w:fill="F2F2F2" w:themeFill="background1" w:themeFillShade="F2"/>
            <w:noWrap/>
            <w:vAlign w:val="center"/>
            <w:hideMark/>
          </w:tcPr>
          <w:p w14:paraId="3A1E701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200" w:type="dxa"/>
            <w:shd w:val="clear" w:color="auto" w:fill="F2F2F2" w:themeFill="background1" w:themeFillShade="F2"/>
            <w:noWrap/>
            <w:vAlign w:val="center"/>
            <w:hideMark/>
          </w:tcPr>
          <w:p w14:paraId="3CBF8E1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F2F2F2" w:themeFill="background1" w:themeFillShade="F2"/>
            <w:noWrap/>
            <w:vAlign w:val="center"/>
            <w:hideMark/>
          </w:tcPr>
          <w:p w14:paraId="1BBA800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62%</w:t>
            </w:r>
          </w:p>
        </w:tc>
        <w:tc>
          <w:tcPr>
            <w:tcW w:w="1420" w:type="dxa"/>
            <w:shd w:val="clear" w:color="auto" w:fill="F2F2F2" w:themeFill="background1" w:themeFillShade="F2"/>
            <w:noWrap/>
            <w:vAlign w:val="center"/>
            <w:hideMark/>
          </w:tcPr>
          <w:p w14:paraId="5CCED34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F2F2F2" w:themeFill="background1" w:themeFillShade="F2"/>
            <w:noWrap/>
            <w:vAlign w:val="center"/>
            <w:hideMark/>
          </w:tcPr>
          <w:p w14:paraId="058B33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860" w:type="dxa"/>
            <w:shd w:val="clear" w:color="auto" w:fill="F2F2F2" w:themeFill="background1" w:themeFillShade="F2"/>
            <w:noWrap/>
            <w:vAlign w:val="center"/>
            <w:hideMark/>
          </w:tcPr>
          <w:p w14:paraId="483E4CF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191B022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r>
      <w:tr w:rsidR="00FE3FE8" w:rsidRPr="009A501D" w14:paraId="6E971DB7" w14:textId="77777777" w:rsidTr="00224E0F">
        <w:trPr>
          <w:trHeight w:val="170"/>
        </w:trPr>
        <w:tc>
          <w:tcPr>
            <w:tcW w:w="880" w:type="dxa"/>
            <w:shd w:val="clear" w:color="auto" w:fill="F2F2F2" w:themeFill="background1" w:themeFillShade="F2"/>
            <w:noWrap/>
            <w:vAlign w:val="center"/>
            <w:hideMark/>
          </w:tcPr>
          <w:p w14:paraId="40A674C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4CDB483E"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Índice Nacional de Precios Productor</w:t>
            </w:r>
          </w:p>
        </w:tc>
        <w:tc>
          <w:tcPr>
            <w:tcW w:w="902" w:type="dxa"/>
            <w:shd w:val="clear" w:color="auto" w:fill="F2F2F2" w:themeFill="background1" w:themeFillShade="F2"/>
            <w:noWrap/>
            <w:vAlign w:val="center"/>
            <w:hideMark/>
          </w:tcPr>
          <w:p w14:paraId="136F4AB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INPP</w:t>
            </w:r>
          </w:p>
        </w:tc>
        <w:tc>
          <w:tcPr>
            <w:tcW w:w="1312" w:type="dxa"/>
            <w:shd w:val="clear" w:color="auto" w:fill="F2F2F2" w:themeFill="background1" w:themeFillShade="F2"/>
            <w:noWrap/>
            <w:vAlign w:val="center"/>
            <w:hideMark/>
          </w:tcPr>
          <w:p w14:paraId="2F9220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87.7</w:t>
            </w:r>
          </w:p>
        </w:tc>
        <w:tc>
          <w:tcPr>
            <w:tcW w:w="1480" w:type="dxa"/>
            <w:shd w:val="clear" w:color="auto" w:fill="F2F2F2" w:themeFill="background1" w:themeFillShade="F2"/>
            <w:noWrap/>
            <w:vAlign w:val="center"/>
            <w:hideMark/>
          </w:tcPr>
          <w:p w14:paraId="13EE114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F2F2F2" w:themeFill="background1" w:themeFillShade="F2"/>
            <w:noWrap/>
            <w:vAlign w:val="center"/>
            <w:hideMark/>
          </w:tcPr>
          <w:p w14:paraId="2F1A7CF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200" w:type="dxa"/>
            <w:shd w:val="clear" w:color="auto" w:fill="F2F2F2" w:themeFill="background1" w:themeFillShade="F2"/>
            <w:noWrap/>
            <w:vAlign w:val="center"/>
            <w:hideMark/>
          </w:tcPr>
          <w:p w14:paraId="26388F8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000" w:type="dxa"/>
            <w:shd w:val="clear" w:color="auto" w:fill="F2F2F2" w:themeFill="background1" w:themeFillShade="F2"/>
            <w:noWrap/>
            <w:vAlign w:val="center"/>
            <w:hideMark/>
          </w:tcPr>
          <w:p w14:paraId="62E6332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65%</w:t>
            </w:r>
          </w:p>
        </w:tc>
        <w:tc>
          <w:tcPr>
            <w:tcW w:w="1420" w:type="dxa"/>
            <w:shd w:val="clear" w:color="auto" w:fill="F2F2F2" w:themeFill="background1" w:themeFillShade="F2"/>
            <w:noWrap/>
            <w:vAlign w:val="center"/>
            <w:hideMark/>
          </w:tcPr>
          <w:p w14:paraId="344589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80" w:type="dxa"/>
            <w:shd w:val="clear" w:color="auto" w:fill="F2F2F2" w:themeFill="background1" w:themeFillShade="F2"/>
            <w:noWrap/>
            <w:vAlign w:val="center"/>
            <w:hideMark/>
          </w:tcPr>
          <w:p w14:paraId="6AC947B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860" w:type="dxa"/>
            <w:shd w:val="clear" w:color="auto" w:fill="F2F2F2" w:themeFill="background1" w:themeFillShade="F2"/>
            <w:noWrap/>
            <w:vAlign w:val="center"/>
            <w:hideMark/>
          </w:tcPr>
          <w:p w14:paraId="46D183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6EA943B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r>
      <w:tr w:rsidR="00FE3FE8" w:rsidRPr="009A501D" w14:paraId="698BFCB8" w14:textId="77777777" w:rsidTr="00224E0F">
        <w:trPr>
          <w:trHeight w:val="170"/>
        </w:trPr>
        <w:tc>
          <w:tcPr>
            <w:tcW w:w="880" w:type="dxa"/>
            <w:shd w:val="clear" w:color="auto" w:fill="auto"/>
            <w:noWrap/>
            <w:vAlign w:val="center"/>
            <w:hideMark/>
          </w:tcPr>
          <w:p w14:paraId="365BE0B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7DC8308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Paridades de Poder de Compra</w:t>
            </w:r>
          </w:p>
        </w:tc>
        <w:tc>
          <w:tcPr>
            <w:tcW w:w="902" w:type="dxa"/>
            <w:shd w:val="clear" w:color="auto" w:fill="auto"/>
            <w:noWrap/>
            <w:vAlign w:val="center"/>
            <w:hideMark/>
          </w:tcPr>
          <w:p w14:paraId="03FAB4C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PPC</w:t>
            </w:r>
          </w:p>
        </w:tc>
        <w:tc>
          <w:tcPr>
            <w:tcW w:w="1312" w:type="dxa"/>
            <w:shd w:val="clear" w:color="auto" w:fill="auto"/>
            <w:noWrap/>
            <w:vAlign w:val="center"/>
            <w:hideMark/>
          </w:tcPr>
          <w:p w14:paraId="43F5714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14.1</w:t>
            </w:r>
          </w:p>
        </w:tc>
        <w:tc>
          <w:tcPr>
            <w:tcW w:w="1480" w:type="dxa"/>
            <w:shd w:val="clear" w:color="auto" w:fill="auto"/>
            <w:noWrap/>
            <w:vAlign w:val="center"/>
            <w:hideMark/>
          </w:tcPr>
          <w:p w14:paraId="3A07CC3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5831695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7AA3EE6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7DFDA22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53%</w:t>
            </w:r>
          </w:p>
        </w:tc>
        <w:tc>
          <w:tcPr>
            <w:tcW w:w="1420" w:type="dxa"/>
            <w:shd w:val="clear" w:color="auto" w:fill="auto"/>
            <w:noWrap/>
            <w:vAlign w:val="center"/>
            <w:hideMark/>
          </w:tcPr>
          <w:p w14:paraId="0643CA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80" w:type="dxa"/>
            <w:shd w:val="clear" w:color="auto" w:fill="auto"/>
            <w:noWrap/>
            <w:vAlign w:val="center"/>
            <w:hideMark/>
          </w:tcPr>
          <w:p w14:paraId="71CBD4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860" w:type="dxa"/>
            <w:shd w:val="clear" w:color="auto" w:fill="auto"/>
            <w:noWrap/>
            <w:vAlign w:val="center"/>
            <w:hideMark/>
          </w:tcPr>
          <w:p w14:paraId="339342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337D50A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r>
      <w:tr w:rsidR="00FE3FE8" w:rsidRPr="009A501D" w14:paraId="49609C69" w14:textId="77777777" w:rsidTr="00224E0F">
        <w:trPr>
          <w:trHeight w:val="170"/>
        </w:trPr>
        <w:tc>
          <w:tcPr>
            <w:tcW w:w="880" w:type="dxa"/>
            <w:shd w:val="clear" w:color="auto" w:fill="auto"/>
            <w:noWrap/>
            <w:vAlign w:val="center"/>
            <w:hideMark/>
          </w:tcPr>
          <w:p w14:paraId="3A6B07D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3717C92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Cuentas temáticas</w:t>
            </w:r>
          </w:p>
        </w:tc>
        <w:tc>
          <w:tcPr>
            <w:tcW w:w="902" w:type="dxa"/>
            <w:shd w:val="clear" w:color="auto" w:fill="auto"/>
            <w:noWrap/>
            <w:vAlign w:val="center"/>
            <w:hideMark/>
          </w:tcPr>
          <w:p w14:paraId="268B8F3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SCNM_CT</w:t>
            </w:r>
          </w:p>
        </w:tc>
        <w:tc>
          <w:tcPr>
            <w:tcW w:w="1312" w:type="dxa"/>
            <w:shd w:val="clear" w:color="auto" w:fill="auto"/>
            <w:noWrap/>
            <w:vAlign w:val="center"/>
            <w:hideMark/>
          </w:tcPr>
          <w:p w14:paraId="530117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30.7</w:t>
            </w:r>
          </w:p>
        </w:tc>
        <w:tc>
          <w:tcPr>
            <w:tcW w:w="1480" w:type="dxa"/>
            <w:shd w:val="clear" w:color="auto" w:fill="auto"/>
            <w:noWrap/>
            <w:vAlign w:val="center"/>
            <w:hideMark/>
          </w:tcPr>
          <w:p w14:paraId="6C01AF1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17A77E1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0F9E208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405307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420" w:type="dxa"/>
            <w:shd w:val="clear" w:color="auto" w:fill="auto"/>
            <w:noWrap/>
            <w:vAlign w:val="center"/>
            <w:hideMark/>
          </w:tcPr>
          <w:p w14:paraId="4C4925A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34%</w:t>
            </w:r>
          </w:p>
        </w:tc>
        <w:tc>
          <w:tcPr>
            <w:tcW w:w="1180" w:type="dxa"/>
            <w:shd w:val="clear" w:color="auto" w:fill="auto"/>
            <w:noWrap/>
            <w:vAlign w:val="center"/>
            <w:hideMark/>
          </w:tcPr>
          <w:p w14:paraId="2D36022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33%</w:t>
            </w:r>
          </w:p>
        </w:tc>
        <w:tc>
          <w:tcPr>
            <w:tcW w:w="860" w:type="dxa"/>
            <w:shd w:val="clear" w:color="auto" w:fill="auto"/>
            <w:noWrap/>
            <w:vAlign w:val="center"/>
            <w:hideMark/>
          </w:tcPr>
          <w:p w14:paraId="0BFDA2D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1C5D7BB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r>
      <w:tr w:rsidR="00FE3FE8" w:rsidRPr="009A501D" w14:paraId="39807E42" w14:textId="77777777" w:rsidTr="00224E0F">
        <w:trPr>
          <w:trHeight w:val="170"/>
        </w:trPr>
        <w:tc>
          <w:tcPr>
            <w:tcW w:w="880" w:type="dxa"/>
            <w:shd w:val="clear" w:color="auto" w:fill="F2F2F2" w:themeFill="background1" w:themeFillShade="F2"/>
            <w:noWrap/>
            <w:vAlign w:val="center"/>
            <w:hideMark/>
          </w:tcPr>
          <w:p w14:paraId="1A5D3C1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05D61C7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Estimación de características sociodemográficas en áreas pequeñas</w:t>
            </w:r>
          </w:p>
        </w:tc>
        <w:tc>
          <w:tcPr>
            <w:tcW w:w="902" w:type="dxa"/>
            <w:shd w:val="clear" w:color="auto" w:fill="F2F2F2" w:themeFill="background1" w:themeFillShade="F2"/>
            <w:noWrap/>
            <w:vAlign w:val="center"/>
            <w:hideMark/>
          </w:tcPr>
          <w:p w14:paraId="020DBA6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ECSAP-IL</w:t>
            </w:r>
          </w:p>
        </w:tc>
        <w:tc>
          <w:tcPr>
            <w:tcW w:w="1312" w:type="dxa"/>
            <w:shd w:val="clear" w:color="auto" w:fill="F2F2F2" w:themeFill="background1" w:themeFillShade="F2"/>
            <w:noWrap/>
            <w:vAlign w:val="center"/>
            <w:hideMark/>
          </w:tcPr>
          <w:p w14:paraId="63B3A5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13.3</w:t>
            </w:r>
          </w:p>
        </w:tc>
        <w:tc>
          <w:tcPr>
            <w:tcW w:w="1480" w:type="dxa"/>
            <w:shd w:val="clear" w:color="auto" w:fill="F2F2F2" w:themeFill="background1" w:themeFillShade="F2"/>
            <w:noWrap/>
            <w:vAlign w:val="center"/>
            <w:hideMark/>
          </w:tcPr>
          <w:p w14:paraId="7DE11B4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760" w:type="dxa"/>
            <w:shd w:val="clear" w:color="auto" w:fill="F2F2F2" w:themeFill="background1" w:themeFillShade="F2"/>
            <w:noWrap/>
            <w:vAlign w:val="center"/>
            <w:hideMark/>
          </w:tcPr>
          <w:p w14:paraId="3FE08CB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200" w:type="dxa"/>
            <w:shd w:val="clear" w:color="auto" w:fill="F2F2F2" w:themeFill="background1" w:themeFillShade="F2"/>
            <w:noWrap/>
            <w:vAlign w:val="center"/>
            <w:hideMark/>
          </w:tcPr>
          <w:p w14:paraId="2482661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000" w:type="dxa"/>
            <w:shd w:val="clear" w:color="auto" w:fill="F2F2F2" w:themeFill="background1" w:themeFillShade="F2"/>
            <w:noWrap/>
            <w:vAlign w:val="center"/>
            <w:hideMark/>
          </w:tcPr>
          <w:p w14:paraId="3993BA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420" w:type="dxa"/>
            <w:shd w:val="clear" w:color="auto" w:fill="F2F2F2" w:themeFill="background1" w:themeFillShade="F2"/>
            <w:noWrap/>
            <w:vAlign w:val="center"/>
            <w:hideMark/>
          </w:tcPr>
          <w:p w14:paraId="735FFB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180" w:type="dxa"/>
            <w:shd w:val="clear" w:color="auto" w:fill="F2F2F2" w:themeFill="background1" w:themeFillShade="F2"/>
            <w:noWrap/>
            <w:vAlign w:val="center"/>
            <w:hideMark/>
          </w:tcPr>
          <w:p w14:paraId="444FF9D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860" w:type="dxa"/>
            <w:shd w:val="clear" w:color="auto" w:fill="F2F2F2" w:themeFill="background1" w:themeFillShade="F2"/>
            <w:noWrap/>
            <w:vAlign w:val="center"/>
            <w:hideMark/>
          </w:tcPr>
          <w:p w14:paraId="4B3102B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100" w:type="dxa"/>
            <w:shd w:val="clear" w:color="auto" w:fill="F2F2F2" w:themeFill="background1" w:themeFillShade="F2"/>
            <w:noWrap/>
            <w:vAlign w:val="center"/>
            <w:hideMark/>
          </w:tcPr>
          <w:p w14:paraId="32426DF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r>
      <w:tr w:rsidR="00FE3FE8" w:rsidRPr="009A501D" w14:paraId="6934F89F" w14:textId="77777777" w:rsidTr="00224E0F">
        <w:trPr>
          <w:trHeight w:val="170"/>
        </w:trPr>
        <w:tc>
          <w:tcPr>
            <w:tcW w:w="880" w:type="dxa"/>
            <w:shd w:val="clear" w:color="auto" w:fill="F2F2F2" w:themeFill="background1" w:themeFillShade="F2"/>
            <w:noWrap/>
            <w:vAlign w:val="center"/>
            <w:hideMark/>
          </w:tcPr>
          <w:p w14:paraId="11787D4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DGIAI</w:t>
            </w:r>
          </w:p>
        </w:tc>
        <w:tc>
          <w:tcPr>
            <w:tcW w:w="2466" w:type="dxa"/>
            <w:shd w:val="clear" w:color="auto" w:fill="F2F2F2" w:themeFill="background1" w:themeFillShade="F2"/>
            <w:vAlign w:val="center"/>
            <w:hideMark/>
          </w:tcPr>
          <w:p w14:paraId="566BA5D9"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Sistema de Indicadores Cíclicos</w:t>
            </w:r>
          </w:p>
        </w:tc>
        <w:tc>
          <w:tcPr>
            <w:tcW w:w="902" w:type="dxa"/>
            <w:shd w:val="clear" w:color="auto" w:fill="F2F2F2" w:themeFill="background1" w:themeFillShade="F2"/>
            <w:noWrap/>
            <w:vAlign w:val="center"/>
            <w:hideMark/>
          </w:tcPr>
          <w:p w14:paraId="7AC65C7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SIC</w:t>
            </w:r>
          </w:p>
        </w:tc>
        <w:tc>
          <w:tcPr>
            <w:tcW w:w="1312" w:type="dxa"/>
            <w:shd w:val="clear" w:color="auto" w:fill="F2F2F2" w:themeFill="background1" w:themeFillShade="F2"/>
            <w:noWrap/>
            <w:vAlign w:val="center"/>
            <w:hideMark/>
          </w:tcPr>
          <w:p w14:paraId="26D6D50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8.4</w:t>
            </w:r>
          </w:p>
        </w:tc>
        <w:tc>
          <w:tcPr>
            <w:tcW w:w="1480" w:type="dxa"/>
            <w:shd w:val="clear" w:color="auto" w:fill="F2F2F2" w:themeFill="background1" w:themeFillShade="F2"/>
            <w:noWrap/>
            <w:vAlign w:val="center"/>
            <w:hideMark/>
          </w:tcPr>
          <w:p w14:paraId="1AB7D24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190B9C8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6D7FD41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5BF9087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F2F2F2" w:themeFill="background1" w:themeFillShade="F2"/>
            <w:noWrap/>
            <w:vAlign w:val="center"/>
            <w:hideMark/>
          </w:tcPr>
          <w:p w14:paraId="7BC5C1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6CAF4F0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100%</w:t>
            </w:r>
          </w:p>
        </w:tc>
        <w:tc>
          <w:tcPr>
            <w:tcW w:w="860" w:type="dxa"/>
            <w:shd w:val="clear" w:color="auto" w:fill="F2F2F2" w:themeFill="background1" w:themeFillShade="F2"/>
            <w:noWrap/>
            <w:vAlign w:val="center"/>
            <w:hideMark/>
          </w:tcPr>
          <w:p w14:paraId="1C77131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1F24FE1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1018EB17" w14:textId="77777777" w:rsidTr="00224E0F">
        <w:trPr>
          <w:trHeight w:val="170"/>
        </w:trPr>
        <w:tc>
          <w:tcPr>
            <w:tcW w:w="880" w:type="dxa"/>
            <w:shd w:val="clear" w:color="auto" w:fill="auto"/>
            <w:noWrap/>
            <w:vAlign w:val="center"/>
            <w:hideMark/>
          </w:tcPr>
          <w:p w14:paraId="3032C90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auto"/>
            <w:vAlign w:val="center"/>
            <w:hideMark/>
          </w:tcPr>
          <w:p w14:paraId="2757B0A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Cartografía Urbana y Rural</w:t>
            </w:r>
          </w:p>
        </w:tc>
        <w:tc>
          <w:tcPr>
            <w:tcW w:w="902" w:type="dxa"/>
            <w:shd w:val="clear" w:color="auto" w:fill="auto"/>
            <w:noWrap/>
            <w:vAlign w:val="center"/>
            <w:hideMark/>
          </w:tcPr>
          <w:p w14:paraId="6A216BC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CUR</w:t>
            </w:r>
          </w:p>
        </w:tc>
        <w:tc>
          <w:tcPr>
            <w:tcW w:w="1312" w:type="dxa"/>
            <w:shd w:val="clear" w:color="auto" w:fill="auto"/>
            <w:noWrap/>
            <w:vAlign w:val="center"/>
            <w:hideMark/>
          </w:tcPr>
          <w:p w14:paraId="1F2FD0F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63.8</w:t>
            </w:r>
          </w:p>
        </w:tc>
        <w:tc>
          <w:tcPr>
            <w:tcW w:w="1480" w:type="dxa"/>
            <w:shd w:val="clear" w:color="auto" w:fill="auto"/>
            <w:noWrap/>
            <w:vAlign w:val="center"/>
            <w:hideMark/>
          </w:tcPr>
          <w:p w14:paraId="086F4A6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3086024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auto"/>
            <w:noWrap/>
            <w:vAlign w:val="center"/>
            <w:hideMark/>
          </w:tcPr>
          <w:p w14:paraId="2011FB6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000" w:type="dxa"/>
            <w:shd w:val="clear" w:color="auto" w:fill="auto"/>
            <w:noWrap/>
            <w:vAlign w:val="center"/>
            <w:hideMark/>
          </w:tcPr>
          <w:p w14:paraId="6CE5FB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420" w:type="dxa"/>
            <w:shd w:val="clear" w:color="auto" w:fill="auto"/>
            <w:noWrap/>
            <w:vAlign w:val="center"/>
            <w:hideMark/>
          </w:tcPr>
          <w:p w14:paraId="4DEE44F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w:t>
            </w:r>
          </w:p>
        </w:tc>
        <w:tc>
          <w:tcPr>
            <w:tcW w:w="1180" w:type="dxa"/>
            <w:shd w:val="clear" w:color="auto" w:fill="auto"/>
            <w:noWrap/>
            <w:vAlign w:val="center"/>
            <w:hideMark/>
          </w:tcPr>
          <w:p w14:paraId="48D8FED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860" w:type="dxa"/>
            <w:shd w:val="clear" w:color="auto" w:fill="auto"/>
            <w:noWrap/>
            <w:vAlign w:val="center"/>
            <w:hideMark/>
          </w:tcPr>
          <w:p w14:paraId="47B4632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auto"/>
            <w:noWrap/>
            <w:vAlign w:val="center"/>
            <w:hideMark/>
          </w:tcPr>
          <w:p w14:paraId="6E4CB71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r>
      <w:tr w:rsidR="00FE3FE8" w:rsidRPr="009A501D" w14:paraId="4709943A" w14:textId="77777777" w:rsidTr="00224E0F">
        <w:trPr>
          <w:trHeight w:val="170"/>
        </w:trPr>
        <w:tc>
          <w:tcPr>
            <w:tcW w:w="880" w:type="dxa"/>
            <w:shd w:val="clear" w:color="auto" w:fill="auto"/>
            <w:noWrap/>
            <w:vAlign w:val="center"/>
            <w:hideMark/>
          </w:tcPr>
          <w:p w14:paraId="26FF7D0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auto"/>
            <w:vAlign w:val="center"/>
            <w:hideMark/>
          </w:tcPr>
          <w:p w14:paraId="326CBE8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Hidrología</w:t>
            </w:r>
          </w:p>
        </w:tc>
        <w:tc>
          <w:tcPr>
            <w:tcW w:w="902" w:type="dxa"/>
            <w:shd w:val="clear" w:color="auto" w:fill="auto"/>
            <w:noWrap/>
            <w:vAlign w:val="center"/>
            <w:hideMark/>
          </w:tcPr>
          <w:p w14:paraId="10D5147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HIDRO</w:t>
            </w:r>
          </w:p>
        </w:tc>
        <w:tc>
          <w:tcPr>
            <w:tcW w:w="1312" w:type="dxa"/>
            <w:shd w:val="clear" w:color="auto" w:fill="auto"/>
            <w:noWrap/>
            <w:vAlign w:val="center"/>
            <w:hideMark/>
          </w:tcPr>
          <w:p w14:paraId="597FA6A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50.1</w:t>
            </w:r>
          </w:p>
        </w:tc>
        <w:tc>
          <w:tcPr>
            <w:tcW w:w="1480" w:type="dxa"/>
            <w:shd w:val="clear" w:color="auto" w:fill="auto"/>
            <w:noWrap/>
            <w:vAlign w:val="center"/>
            <w:hideMark/>
          </w:tcPr>
          <w:p w14:paraId="1129F53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760" w:type="dxa"/>
            <w:shd w:val="clear" w:color="auto" w:fill="auto"/>
            <w:noWrap/>
            <w:vAlign w:val="center"/>
            <w:hideMark/>
          </w:tcPr>
          <w:p w14:paraId="11B12B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200" w:type="dxa"/>
            <w:shd w:val="clear" w:color="auto" w:fill="auto"/>
            <w:noWrap/>
            <w:vAlign w:val="center"/>
            <w:hideMark/>
          </w:tcPr>
          <w:p w14:paraId="54EF00F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000" w:type="dxa"/>
            <w:shd w:val="clear" w:color="auto" w:fill="auto"/>
            <w:noWrap/>
            <w:vAlign w:val="center"/>
            <w:hideMark/>
          </w:tcPr>
          <w:p w14:paraId="70058DE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420" w:type="dxa"/>
            <w:shd w:val="clear" w:color="auto" w:fill="auto"/>
            <w:noWrap/>
            <w:vAlign w:val="center"/>
            <w:hideMark/>
          </w:tcPr>
          <w:p w14:paraId="2020AB6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w:t>
            </w:r>
          </w:p>
        </w:tc>
        <w:tc>
          <w:tcPr>
            <w:tcW w:w="1180" w:type="dxa"/>
            <w:shd w:val="clear" w:color="auto" w:fill="auto"/>
            <w:noWrap/>
            <w:vAlign w:val="center"/>
            <w:hideMark/>
          </w:tcPr>
          <w:p w14:paraId="205C975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1B25AC6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00" w:type="dxa"/>
            <w:shd w:val="clear" w:color="auto" w:fill="auto"/>
            <w:noWrap/>
            <w:vAlign w:val="center"/>
            <w:hideMark/>
          </w:tcPr>
          <w:p w14:paraId="0F54E60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5698748C" w14:textId="77777777" w:rsidTr="00224E0F">
        <w:trPr>
          <w:trHeight w:val="170"/>
        </w:trPr>
        <w:tc>
          <w:tcPr>
            <w:tcW w:w="880" w:type="dxa"/>
            <w:shd w:val="clear" w:color="auto" w:fill="F2F2F2" w:themeFill="background1" w:themeFillShade="F2"/>
            <w:noWrap/>
            <w:vAlign w:val="center"/>
            <w:hideMark/>
          </w:tcPr>
          <w:p w14:paraId="55884E4F"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F2F2F2" w:themeFill="background1" w:themeFillShade="F2"/>
            <w:vAlign w:val="center"/>
            <w:hideMark/>
          </w:tcPr>
          <w:p w14:paraId="69311359"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Marco geoestadístico</w:t>
            </w:r>
          </w:p>
        </w:tc>
        <w:tc>
          <w:tcPr>
            <w:tcW w:w="902" w:type="dxa"/>
            <w:shd w:val="clear" w:color="auto" w:fill="F2F2F2" w:themeFill="background1" w:themeFillShade="F2"/>
            <w:noWrap/>
            <w:vAlign w:val="center"/>
            <w:hideMark/>
          </w:tcPr>
          <w:p w14:paraId="1AC037B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MG</w:t>
            </w:r>
          </w:p>
        </w:tc>
        <w:tc>
          <w:tcPr>
            <w:tcW w:w="1312" w:type="dxa"/>
            <w:shd w:val="clear" w:color="auto" w:fill="F2F2F2" w:themeFill="background1" w:themeFillShade="F2"/>
            <w:noWrap/>
            <w:vAlign w:val="center"/>
            <w:hideMark/>
          </w:tcPr>
          <w:p w14:paraId="5B254C8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373.9</w:t>
            </w:r>
          </w:p>
        </w:tc>
        <w:tc>
          <w:tcPr>
            <w:tcW w:w="1480" w:type="dxa"/>
            <w:shd w:val="clear" w:color="auto" w:fill="F2F2F2" w:themeFill="background1" w:themeFillShade="F2"/>
            <w:noWrap/>
            <w:vAlign w:val="center"/>
            <w:hideMark/>
          </w:tcPr>
          <w:p w14:paraId="40F5BE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760" w:type="dxa"/>
            <w:shd w:val="clear" w:color="auto" w:fill="F2F2F2" w:themeFill="background1" w:themeFillShade="F2"/>
            <w:noWrap/>
            <w:vAlign w:val="center"/>
            <w:hideMark/>
          </w:tcPr>
          <w:p w14:paraId="2EAC077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200" w:type="dxa"/>
            <w:shd w:val="clear" w:color="auto" w:fill="F2F2F2" w:themeFill="background1" w:themeFillShade="F2"/>
            <w:noWrap/>
            <w:vAlign w:val="center"/>
            <w:hideMark/>
          </w:tcPr>
          <w:p w14:paraId="18A70BC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000" w:type="dxa"/>
            <w:shd w:val="clear" w:color="auto" w:fill="F2F2F2" w:themeFill="background1" w:themeFillShade="F2"/>
            <w:noWrap/>
            <w:vAlign w:val="center"/>
            <w:hideMark/>
          </w:tcPr>
          <w:p w14:paraId="5B7B262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19%</w:t>
            </w:r>
          </w:p>
        </w:tc>
        <w:tc>
          <w:tcPr>
            <w:tcW w:w="1420" w:type="dxa"/>
            <w:shd w:val="clear" w:color="auto" w:fill="F2F2F2" w:themeFill="background1" w:themeFillShade="F2"/>
            <w:noWrap/>
            <w:vAlign w:val="center"/>
            <w:hideMark/>
          </w:tcPr>
          <w:p w14:paraId="1E72CE9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34%</w:t>
            </w:r>
          </w:p>
        </w:tc>
        <w:tc>
          <w:tcPr>
            <w:tcW w:w="1180" w:type="dxa"/>
            <w:shd w:val="clear" w:color="auto" w:fill="F2F2F2" w:themeFill="background1" w:themeFillShade="F2"/>
            <w:noWrap/>
            <w:vAlign w:val="center"/>
            <w:hideMark/>
          </w:tcPr>
          <w:p w14:paraId="356BD0A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860" w:type="dxa"/>
            <w:shd w:val="clear" w:color="auto" w:fill="F2F2F2" w:themeFill="background1" w:themeFillShade="F2"/>
            <w:noWrap/>
            <w:vAlign w:val="center"/>
            <w:hideMark/>
          </w:tcPr>
          <w:p w14:paraId="04300B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00" w:type="dxa"/>
            <w:shd w:val="clear" w:color="auto" w:fill="F2F2F2" w:themeFill="background1" w:themeFillShade="F2"/>
            <w:noWrap/>
            <w:vAlign w:val="center"/>
            <w:hideMark/>
          </w:tcPr>
          <w:p w14:paraId="42306B7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r>
      <w:tr w:rsidR="00FE3FE8" w:rsidRPr="009A501D" w14:paraId="612759F6" w14:textId="77777777" w:rsidTr="00224E0F">
        <w:trPr>
          <w:trHeight w:val="170"/>
        </w:trPr>
        <w:tc>
          <w:tcPr>
            <w:tcW w:w="880" w:type="dxa"/>
            <w:shd w:val="clear" w:color="auto" w:fill="F2F2F2" w:themeFill="background1" w:themeFillShade="F2"/>
            <w:noWrap/>
            <w:vAlign w:val="center"/>
            <w:hideMark/>
          </w:tcPr>
          <w:p w14:paraId="31BC0C6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F2F2F2" w:themeFill="background1" w:themeFillShade="F2"/>
            <w:vAlign w:val="center"/>
            <w:hideMark/>
          </w:tcPr>
          <w:p w14:paraId="1634BAB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Marco de referencia geodésico</w:t>
            </w:r>
          </w:p>
        </w:tc>
        <w:tc>
          <w:tcPr>
            <w:tcW w:w="902" w:type="dxa"/>
            <w:shd w:val="clear" w:color="auto" w:fill="F2F2F2" w:themeFill="background1" w:themeFillShade="F2"/>
            <w:noWrap/>
            <w:vAlign w:val="center"/>
            <w:hideMark/>
          </w:tcPr>
          <w:p w14:paraId="7FEAC1A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MRG</w:t>
            </w:r>
          </w:p>
        </w:tc>
        <w:tc>
          <w:tcPr>
            <w:tcW w:w="1312" w:type="dxa"/>
            <w:shd w:val="clear" w:color="auto" w:fill="F2F2F2" w:themeFill="background1" w:themeFillShade="F2"/>
            <w:noWrap/>
            <w:vAlign w:val="center"/>
            <w:hideMark/>
          </w:tcPr>
          <w:p w14:paraId="6C14546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261.7</w:t>
            </w:r>
          </w:p>
        </w:tc>
        <w:tc>
          <w:tcPr>
            <w:tcW w:w="1480" w:type="dxa"/>
            <w:shd w:val="clear" w:color="auto" w:fill="F2F2F2" w:themeFill="background1" w:themeFillShade="F2"/>
            <w:noWrap/>
            <w:vAlign w:val="center"/>
            <w:hideMark/>
          </w:tcPr>
          <w:p w14:paraId="62F79FF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50C0430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7AD9741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F2F2F2" w:themeFill="background1" w:themeFillShade="F2"/>
            <w:noWrap/>
            <w:vAlign w:val="center"/>
            <w:hideMark/>
          </w:tcPr>
          <w:p w14:paraId="034831F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54%</w:t>
            </w:r>
          </w:p>
        </w:tc>
        <w:tc>
          <w:tcPr>
            <w:tcW w:w="1420" w:type="dxa"/>
            <w:shd w:val="clear" w:color="auto" w:fill="F2F2F2" w:themeFill="background1" w:themeFillShade="F2"/>
            <w:noWrap/>
            <w:vAlign w:val="center"/>
            <w:hideMark/>
          </w:tcPr>
          <w:p w14:paraId="03B1717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180" w:type="dxa"/>
            <w:shd w:val="clear" w:color="auto" w:fill="F2F2F2" w:themeFill="background1" w:themeFillShade="F2"/>
            <w:noWrap/>
            <w:vAlign w:val="center"/>
            <w:hideMark/>
          </w:tcPr>
          <w:p w14:paraId="495B174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860" w:type="dxa"/>
            <w:shd w:val="clear" w:color="auto" w:fill="F2F2F2" w:themeFill="background1" w:themeFillShade="F2"/>
            <w:noWrap/>
            <w:vAlign w:val="center"/>
            <w:hideMark/>
          </w:tcPr>
          <w:p w14:paraId="469829D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5689023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r>
      <w:tr w:rsidR="00FE3FE8" w:rsidRPr="009A501D" w14:paraId="2996C617" w14:textId="77777777" w:rsidTr="00224E0F">
        <w:trPr>
          <w:trHeight w:val="170"/>
        </w:trPr>
        <w:tc>
          <w:tcPr>
            <w:tcW w:w="880" w:type="dxa"/>
            <w:shd w:val="clear" w:color="auto" w:fill="auto"/>
            <w:noWrap/>
            <w:vAlign w:val="center"/>
            <w:hideMark/>
          </w:tcPr>
          <w:p w14:paraId="3DB32BF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auto"/>
            <w:vAlign w:val="center"/>
            <w:hideMark/>
          </w:tcPr>
          <w:p w14:paraId="1DAAE818"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Mapa Topográfico</w:t>
            </w:r>
          </w:p>
        </w:tc>
        <w:tc>
          <w:tcPr>
            <w:tcW w:w="902" w:type="dxa"/>
            <w:shd w:val="clear" w:color="auto" w:fill="auto"/>
            <w:noWrap/>
            <w:vAlign w:val="center"/>
            <w:hideMark/>
          </w:tcPr>
          <w:p w14:paraId="4096A52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MT</w:t>
            </w:r>
          </w:p>
        </w:tc>
        <w:tc>
          <w:tcPr>
            <w:tcW w:w="1312" w:type="dxa"/>
            <w:shd w:val="clear" w:color="auto" w:fill="auto"/>
            <w:noWrap/>
            <w:vAlign w:val="center"/>
            <w:hideMark/>
          </w:tcPr>
          <w:p w14:paraId="6E49B69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177.0</w:t>
            </w:r>
          </w:p>
        </w:tc>
        <w:tc>
          <w:tcPr>
            <w:tcW w:w="1480" w:type="dxa"/>
            <w:shd w:val="clear" w:color="auto" w:fill="auto"/>
            <w:noWrap/>
            <w:vAlign w:val="center"/>
            <w:hideMark/>
          </w:tcPr>
          <w:p w14:paraId="1CEF4D6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760" w:type="dxa"/>
            <w:shd w:val="clear" w:color="auto" w:fill="auto"/>
            <w:noWrap/>
            <w:vAlign w:val="center"/>
            <w:hideMark/>
          </w:tcPr>
          <w:p w14:paraId="2379FE7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1200" w:type="dxa"/>
            <w:shd w:val="clear" w:color="auto" w:fill="auto"/>
            <w:noWrap/>
            <w:vAlign w:val="center"/>
            <w:hideMark/>
          </w:tcPr>
          <w:p w14:paraId="1A246AC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000" w:type="dxa"/>
            <w:shd w:val="clear" w:color="auto" w:fill="auto"/>
            <w:noWrap/>
            <w:vAlign w:val="center"/>
            <w:hideMark/>
          </w:tcPr>
          <w:p w14:paraId="02215A0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1420" w:type="dxa"/>
            <w:shd w:val="clear" w:color="auto" w:fill="auto"/>
            <w:noWrap/>
            <w:vAlign w:val="center"/>
            <w:hideMark/>
          </w:tcPr>
          <w:p w14:paraId="5488143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40%</w:t>
            </w:r>
          </w:p>
        </w:tc>
        <w:tc>
          <w:tcPr>
            <w:tcW w:w="1180" w:type="dxa"/>
            <w:shd w:val="clear" w:color="auto" w:fill="auto"/>
            <w:noWrap/>
            <w:vAlign w:val="center"/>
            <w:hideMark/>
          </w:tcPr>
          <w:p w14:paraId="037D438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860" w:type="dxa"/>
            <w:shd w:val="clear" w:color="auto" w:fill="auto"/>
            <w:noWrap/>
            <w:vAlign w:val="center"/>
            <w:hideMark/>
          </w:tcPr>
          <w:p w14:paraId="7793601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00" w:type="dxa"/>
            <w:shd w:val="clear" w:color="auto" w:fill="auto"/>
            <w:noWrap/>
            <w:vAlign w:val="center"/>
            <w:hideMark/>
          </w:tcPr>
          <w:p w14:paraId="6BDA1CF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6E127C5A" w14:textId="77777777" w:rsidTr="00224E0F">
        <w:trPr>
          <w:trHeight w:val="170"/>
        </w:trPr>
        <w:tc>
          <w:tcPr>
            <w:tcW w:w="880" w:type="dxa"/>
            <w:shd w:val="clear" w:color="auto" w:fill="auto"/>
            <w:noWrap/>
            <w:vAlign w:val="center"/>
            <w:hideMark/>
          </w:tcPr>
          <w:p w14:paraId="183A326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auto"/>
            <w:vAlign w:val="center"/>
            <w:hideMark/>
          </w:tcPr>
          <w:p w14:paraId="0BAC6F4A"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Red nacional de caminos</w:t>
            </w:r>
          </w:p>
        </w:tc>
        <w:tc>
          <w:tcPr>
            <w:tcW w:w="902" w:type="dxa"/>
            <w:shd w:val="clear" w:color="auto" w:fill="auto"/>
            <w:noWrap/>
            <w:vAlign w:val="center"/>
            <w:hideMark/>
          </w:tcPr>
          <w:p w14:paraId="7136238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RNC</w:t>
            </w:r>
          </w:p>
        </w:tc>
        <w:tc>
          <w:tcPr>
            <w:tcW w:w="1312" w:type="dxa"/>
            <w:shd w:val="clear" w:color="auto" w:fill="auto"/>
            <w:noWrap/>
            <w:vAlign w:val="center"/>
            <w:hideMark/>
          </w:tcPr>
          <w:p w14:paraId="44FCD97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61.6</w:t>
            </w:r>
          </w:p>
        </w:tc>
        <w:tc>
          <w:tcPr>
            <w:tcW w:w="1480" w:type="dxa"/>
            <w:shd w:val="clear" w:color="auto" w:fill="auto"/>
            <w:noWrap/>
            <w:vAlign w:val="center"/>
            <w:hideMark/>
          </w:tcPr>
          <w:p w14:paraId="3330712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64715F0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auto"/>
            <w:noWrap/>
            <w:vAlign w:val="center"/>
            <w:hideMark/>
          </w:tcPr>
          <w:p w14:paraId="6C57471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auto"/>
            <w:noWrap/>
            <w:vAlign w:val="center"/>
            <w:hideMark/>
          </w:tcPr>
          <w:p w14:paraId="6B4E218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1420" w:type="dxa"/>
            <w:shd w:val="clear" w:color="auto" w:fill="auto"/>
            <w:noWrap/>
            <w:vAlign w:val="center"/>
            <w:hideMark/>
          </w:tcPr>
          <w:p w14:paraId="2F6832E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1180" w:type="dxa"/>
            <w:shd w:val="clear" w:color="auto" w:fill="auto"/>
            <w:noWrap/>
            <w:vAlign w:val="center"/>
            <w:hideMark/>
          </w:tcPr>
          <w:p w14:paraId="4B755DB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860" w:type="dxa"/>
            <w:shd w:val="clear" w:color="auto" w:fill="auto"/>
            <w:noWrap/>
            <w:vAlign w:val="center"/>
            <w:hideMark/>
          </w:tcPr>
          <w:p w14:paraId="7099569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100" w:type="dxa"/>
            <w:shd w:val="clear" w:color="auto" w:fill="auto"/>
            <w:noWrap/>
            <w:vAlign w:val="center"/>
            <w:hideMark/>
          </w:tcPr>
          <w:p w14:paraId="459B337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r>
      <w:tr w:rsidR="00FE3FE8" w:rsidRPr="009A501D" w14:paraId="22879984" w14:textId="77777777" w:rsidTr="00224E0F">
        <w:trPr>
          <w:trHeight w:val="170"/>
        </w:trPr>
        <w:tc>
          <w:tcPr>
            <w:tcW w:w="880" w:type="dxa"/>
            <w:shd w:val="clear" w:color="auto" w:fill="F2F2F2" w:themeFill="background1" w:themeFillShade="F2"/>
            <w:noWrap/>
            <w:vAlign w:val="center"/>
            <w:hideMark/>
          </w:tcPr>
          <w:p w14:paraId="563968E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F2F2F2" w:themeFill="background1" w:themeFillShade="F2"/>
            <w:vAlign w:val="center"/>
            <w:hideMark/>
          </w:tcPr>
          <w:p w14:paraId="737A487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Topografía</w:t>
            </w:r>
          </w:p>
        </w:tc>
        <w:tc>
          <w:tcPr>
            <w:tcW w:w="902" w:type="dxa"/>
            <w:shd w:val="clear" w:color="auto" w:fill="F2F2F2" w:themeFill="background1" w:themeFillShade="F2"/>
            <w:noWrap/>
            <w:vAlign w:val="center"/>
            <w:hideMark/>
          </w:tcPr>
          <w:p w14:paraId="353A382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TOPO</w:t>
            </w:r>
          </w:p>
        </w:tc>
        <w:tc>
          <w:tcPr>
            <w:tcW w:w="1312" w:type="dxa"/>
            <w:shd w:val="clear" w:color="auto" w:fill="F2F2F2" w:themeFill="background1" w:themeFillShade="F2"/>
            <w:noWrap/>
            <w:vAlign w:val="center"/>
            <w:hideMark/>
          </w:tcPr>
          <w:p w14:paraId="1588D1A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248.3</w:t>
            </w:r>
          </w:p>
        </w:tc>
        <w:tc>
          <w:tcPr>
            <w:tcW w:w="1480" w:type="dxa"/>
            <w:shd w:val="clear" w:color="auto" w:fill="F2F2F2" w:themeFill="background1" w:themeFillShade="F2"/>
            <w:noWrap/>
            <w:vAlign w:val="center"/>
            <w:hideMark/>
          </w:tcPr>
          <w:p w14:paraId="3CE021A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7D77D4A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200" w:type="dxa"/>
            <w:shd w:val="clear" w:color="auto" w:fill="F2F2F2" w:themeFill="background1" w:themeFillShade="F2"/>
            <w:noWrap/>
            <w:vAlign w:val="center"/>
            <w:hideMark/>
          </w:tcPr>
          <w:p w14:paraId="7926652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000" w:type="dxa"/>
            <w:shd w:val="clear" w:color="auto" w:fill="F2F2F2" w:themeFill="background1" w:themeFillShade="F2"/>
            <w:noWrap/>
            <w:vAlign w:val="center"/>
            <w:hideMark/>
          </w:tcPr>
          <w:p w14:paraId="5103A2D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28%</w:t>
            </w:r>
          </w:p>
        </w:tc>
        <w:tc>
          <w:tcPr>
            <w:tcW w:w="1420" w:type="dxa"/>
            <w:shd w:val="clear" w:color="auto" w:fill="F2F2F2" w:themeFill="background1" w:themeFillShade="F2"/>
            <w:noWrap/>
            <w:vAlign w:val="center"/>
            <w:hideMark/>
          </w:tcPr>
          <w:p w14:paraId="138B274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48%</w:t>
            </w:r>
          </w:p>
        </w:tc>
        <w:tc>
          <w:tcPr>
            <w:tcW w:w="1180" w:type="dxa"/>
            <w:shd w:val="clear" w:color="auto" w:fill="F2F2F2" w:themeFill="background1" w:themeFillShade="F2"/>
            <w:noWrap/>
            <w:vAlign w:val="center"/>
            <w:hideMark/>
          </w:tcPr>
          <w:p w14:paraId="5C6F0E2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c>
          <w:tcPr>
            <w:tcW w:w="860" w:type="dxa"/>
            <w:shd w:val="clear" w:color="auto" w:fill="F2F2F2" w:themeFill="background1" w:themeFillShade="F2"/>
            <w:noWrap/>
            <w:vAlign w:val="center"/>
            <w:hideMark/>
          </w:tcPr>
          <w:p w14:paraId="2B7F114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F2F2F2" w:themeFill="background1" w:themeFillShade="F2"/>
            <w:noWrap/>
            <w:vAlign w:val="center"/>
            <w:hideMark/>
          </w:tcPr>
          <w:p w14:paraId="44C707E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r>
      <w:tr w:rsidR="00FE3FE8" w:rsidRPr="009A501D" w14:paraId="5B920B2C" w14:textId="77777777" w:rsidTr="00224E0F">
        <w:trPr>
          <w:trHeight w:val="170"/>
        </w:trPr>
        <w:tc>
          <w:tcPr>
            <w:tcW w:w="880" w:type="dxa"/>
            <w:shd w:val="clear" w:color="auto" w:fill="F2F2F2" w:themeFill="background1" w:themeFillShade="F2"/>
            <w:noWrap/>
            <w:vAlign w:val="center"/>
            <w:hideMark/>
          </w:tcPr>
          <w:p w14:paraId="471919F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DGGMA</w:t>
            </w:r>
          </w:p>
        </w:tc>
        <w:tc>
          <w:tcPr>
            <w:tcW w:w="2466" w:type="dxa"/>
            <w:shd w:val="clear" w:color="auto" w:fill="F2F2F2" w:themeFill="background1" w:themeFillShade="F2"/>
            <w:vAlign w:val="center"/>
            <w:hideMark/>
          </w:tcPr>
          <w:p w14:paraId="29052D36"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Uso de suelo y vegetación</w:t>
            </w:r>
          </w:p>
        </w:tc>
        <w:tc>
          <w:tcPr>
            <w:tcW w:w="902" w:type="dxa"/>
            <w:shd w:val="clear" w:color="auto" w:fill="F2F2F2" w:themeFill="background1" w:themeFillShade="F2"/>
            <w:noWrap/>
            <w:vAlign w:val="center"/>
            <w:hideMark/>
          </w:tcPr>
          <w:p w14:paraId="46A4315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USYV</w:t>
            </w:r>
          </w:p>
        </w:tc>
        <w:tc>
          <w:tcPr>
            <w:tcW w:w="1312" w:type="dxa"/>
            <w:shd w:val="clear" w:color="auto" w:fill="F2F2F2" w:themeFill="background1" w:themeFillShade="F2"/>
            <w:noWrap/>
            <w:vAlign w:val="center"/>
            <w:hideMark/>
          </w:tcPr>
          <w:p w14:paraId="2406478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63.6</w:t>
            </w:r>
          </w:p>
        </w:tc>
        <w:tc>
          <w:tcPr>
            <w:tcW w:w="1480" w:type="dxa"/>
            <w:shd w:val="clear" w:color="auto" w:fill="F2F2F2" w:themeFill="background1" w:themeFillShade="F2"/>
            <w:noWrap/>
            <w:vAlign w:val="center"/>
            <w:hideMark/>
          </w:tcPr>
          <w:p w14:paraId="1FF1D25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760" w:type="dxa"/>
            <w:shd w:val="clear" w:color="auto" w:fill="F2F2F2" w:themeFill="background1" w:themeFillShade="F2"/>
            <w:noWrap/>
            <w:vAlign w:val="center"/>
            <w:hideMark/>
          </w:tcPr>
          <w:p w14:paraId="1B2023F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w:t>
            </w:r>
          </w:p>
        </w:tc>
        <w:tc>
          <w:tcPr>
            <w:tcW w:w="1200" w:type="dxa"/>
            <w:shd w:val="clear" w:color="auto" w:fill="F2F2F2" w:themeFill="background1" w:themeFillShade="F2"/>
            <w:noWrap/>
            <w:vAlign w:val="center"/>
            <w:hideMark/>
          </w:tcPr>
          <w:p w14:paraId="3B10569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39%</w:t>
            </w:r>
          </w:p>
        </w:tc>
        <w:tc>
          <w:tcPr>
            <w:tcW w:w="1000" w:type="dxa"/>
            <w:shd w:val="clear" w:color="auto" w:fill="F2F2F2" w:themeFill="background1" w:themeFillShade="F2"/>
            <w:noWrap/>
            <w:vAlign w:val="center"/>
            <w:hideMark/>
          </w:tcPr>
          <w:p w14:paraId="7CD741A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420" w:type="dxa"/>
            <w:shd w:val="clear" w:color="auto" w:fill="F2F2F2" w:themeFill="background1" w:themeFillShade="F2"/>
            <w:noWrap/>
            <w:vAlign w:val="center"/>
            <w:hideMark/>
          </w:tcPr>
          <w:p w14:paraId="68FEE9E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80" w:type="dxa"/>
            <w:shd w:val="clear" w:color="auto" w:fill="F2F2F2" w:themeFill="background1" w:themeFillShade="F2"/>
            <w:noWrap/>
            <w:vAlign w:val="center"/>
            <w:hideMark/>
          </w:tcPr>
          <w:p w14:paraId="16611AE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2652597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00" w:type="dxa"/>
            <w:shd w:val="clear" w:color="auto" w:fill="F2F2F2" w:themeFill="background1" w:themeFillShade="F2"/>
            <w:noWrap/>
            <w:vAlign w:val="center"/>
            <w:hideMark/>
          </w:tcPr>
          <w:p w14:paraId="403F685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1AE71DD1" w14:textId="77777777" w:rsidTr="00224E0F">
        <w:trPr>
          <w:trHeight w:val="170"/>
        </w:trPr>
        <w:tc>
          <w:tcPr>
            <w:tcW w:w="880" w:type="dxa"/>
            <w:shd w:val="clear" w:color="auto" w:fill="auto"/>
            <w:noWrap/>
            <w:vAlign w:val="center"/>
            <w:hideMark/>
          </w:tcPr>
          <w:p w14:paraId="0CC37AB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42478F41"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Accidentes de Tránsito Terrestre</w:t>
            </w:r>
          </w:p>
        </w:tc>
        <w:tc>
          <w:tcPr>
            <w:tcW w:w="902" w:type="dxa"/>
            <w:shd w:val="clear" w:color="auto" w:fill="auto"/>
            <w:noWrap/>
            <w:vAlign w:val="center"/>
            <w:hideMark/>
          </w:tcPr>
          <w:p w14:paraId="4E4F831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ATUS</w:t>
            </w:r>
          </w:p>
        </w:tc>
        <w:tc>
          <w:tcPr>
            <w:tcW w:w="1312" w:type="dxa"/>
            <w:shd w:val="clear" w:color="auto" w:fill="auto"/>
            <w:noWrap/>
            <w:vAlign w:val="center"/>
            <w:hideMark/>
          </w:tcPr>
          <w:p w14:paraId="5B65A27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8.8</w:t>
            </w:r>
          </w:p>
        </w:tc>
        <w:tc>
          <w:tcPr>
            <w:tcW w:w="1480" w:type="dxa"/>
            <w:shd w:val="clear" w:color="auto" w:fill="auto"/>
            <w:noWrap/>
            <w:vAlign w:val="center"/>
            <w:hideMark/>
          </w:tcPr>
          <w:p w14:paraId="65175CA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4C4ADB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200" w:type="dxa"/>
            <w:shd w:val="clear" w:color="auto" w:fill="auto"/>
            <w:noWrap/>
            <w:vAlign w:val="center"/>
            <w:hideMark/>
          </w:tcPr>
          <w:p w14:paraId="6EE6913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000" w:type="dxa"/>
            <w:shd w:val="clear" w:color="auto" w:fill="auto"/>
            <w:noWrap/>
            <w:vAlign w:val="center"/>
            <w:hideMark/>
          </w:tcPr>
          <w:p w14:paraId="1E5EB59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420" w:type="dxa"/>
            <w:shd w:val="clear" w:color="auto" w:fill="auto"/>
            <w:noWrap/>
            <w:vAlign w:val="center"/>
            <w:hideMark/>
          </w:tcPr>
          <w:p w14:paraId="32683E7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80" w:type="dxa"/>
            <w:shd w:val="clear" w:color="auto" w:fill="auto"/>
            <w:noWrap/>
            <w:vAlign w:val="center"/>
            <w:hideMark/>
          </w:tcPr>
          <w:p w14:paraId="6430227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43%</w:t>
            </w:r>
          </w:p>
        </w:tc>
        <w:tc>
          <w:tcPr>
            <w:tcW w:w="860" w:type="dxa"/>
            <w:shd w:val="clear" w:color="auto" w:fill="auto"/>
            <w:noWrap/>
            <w:vAlign w:val="center"/>
            <w:hideMark/>
          </w:tcPr>
          <w:p w14:paraId="25A6BF3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100" w:type="dxa"/>
            <w:shd w:val="clear" w:color="auto" w:fill="auto"/>
            <w:noWrap/>
            <w:vAlign w:val="center"/>
            <w:hideMark/>
          </w:tcPr>
          <w:p w14:paraId="090188B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r>
      <w:tr w:rsidR="00FE3FE8" w:rsidRPr="009A501D" w14:paraId="373EA58D" w14:textId="77777777" w:rsidTr="00224E0F">
        <w:trPr>
          <w:trHeight w:val="170"/>
        </w:trPr>
        <w:tc>
          <w:tcPr>
            <w:tcW w:w="880" w:type="dxa"/>
            <w:shd w:val="clear" w:color="auto" w:fill="auto"/>
            <w:noWrap/>
            <w:vAlign w:val="center"/>
            <w:hideMark/>
          </w:tcPr>
          <w:p w14:paraId="2F6F910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661B729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Balanza Comercial de Mercancías de México</w:t>
            </w:r>
          </w:p>
        </w:tc>
        <w:tc>
          <w:tcPr>
            <w:tcW w:w="902" w:type="dxa"/>
            <w:shd w:val="clear" w:color="auto" w:fill="auto"/>
            <w:noWrap/>
            <w:vAlign w:val="center"/>
            <w:hideMark/>
          </w:tcPr>
          <w:p w14:paraId="4606E0E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BCMM</w:t>
            </w:r>
          </w:p>
        </w:tc>
        <w:tc>
          <w:tcPr>
            <w:tcW w:w="1312" w:type="dxa"/>
            <w:shd w:val="clear" w:color="auto" w:fill="auto"/>
            <w:noWrap/>
            <w:vAlign w:val="center"/>
            <w:hideMark/>
          </w:tcPr>
          <w:p w14:paraId="10EF72B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17.5</w:t>
            </w:r>
          </w:p>
        </w:tc>
        <w:tc>
          <w:tcPr>
            <w:tcW w:w="1480" w:type="dxa"/>
            <w:shd w:val="clear" w:color="auto" w:fill="auto"/>
            <w:noWrap/>
            <w:vAlign w:val="center"/>
            <w:hideMark/>
          </w:tcPr>
          <w:p w14:paraId="4D1073B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760" w:type="dxa"/>
            <w:shd w:val="clear" w:color="auto" w:fill="auto"/>
            <w:noWrap/>
            <w:vAlign w:val="center"/>
            <w:hideMark/>
          </w:tcPr>
          <w:p w14:paraId="0B33941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200" w:type="dxa"/>
            <w:shd w:val="clear" w:color="auto" w:fill="auto"/>
            <w:noWrap/>
            <w:vAlign w:val="center"/>
            <w:hideMark/>
          </w:tcPr>
          <w:p w14:paraId="54C4E5B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000" w:type="dxa"/>
            <w:shd w:val="clear" w:color="auto" w:fill="auto"/>
            <w:noWrap/>
            <w:vAlign w:val="center"/>
            <w:hideMark/>
          </w:tcPr>
          <w:p w14:paraId="20AD492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1420" w:type="dxa"/>
            <w:shd w:val="clear" w:color="auto" w:fill="auto"/>
            <w:noWrap/>
            <w:vAlign w:val="center"/>
            <w:hideMark/>
          </w:tcPr>
          <w:p w14:paraId="32DCA62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80" w:type="dxa"/>
            <w:shd w:val="clear" w:color="auto" w:fill="auto"/>
            <w:noWrap/>
            <w:vAlign w:val="center"/>
            <w:hideMark/>
          </w:tcPr>
          <w:p w14:paraId="55DDF99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49%</w:t>
            </w:r>
          </w:p>
        </w:tc>
        <w:tc>
          <w:tcPr>
            <w:tcW w:w="860" w:type="dxa"/>
            <w:shd w:val="clear" w:color="auto" w:fill="auto"/>
            <w:noWrap/>
            <w:vAlign w:val="center"/>
            <w:hideMark/>
          </w:tcPr>
          <w:p w14:paraId="3FBDA34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692E7B5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r>
      <w:tr w:rsidR="00FE3FE8" w:rsidRPr="009A501D" w14:paraId="51717296" w14:textId="77777777" w:rsidTr="00224E0F">
        <w:trPr>
          <w:trHeight w:val="170"/>
        </w:trPr>
        <w:tc>
          <w:tcPr>
            <w:tcW w:w="880" w:type="dxa"/>
            <w:shd w:val="clear" w:color="auto" w:fill="F2F2F2" w:themeFill="background1" w:themeFillShade="F2"/>
            <w:noWrap/>
            <w:vAlign w:val="center"/>
            <w:hideMark/>
          </w:tcPr>
          <w:p w14:paraId="7961F01B"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3D452C8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Finanzas Públicas Estatales y Municipales</w:t>
            </w:r>
          </w:p>
        </w:tc>
        <w:tc>
          <w:tcPr>
            <w:tcW w:w="902" w:type="dxa"/>
            <w:shd w:val="clear" w:color="auto" w:fill="F2F2F2" w:themeFill="background1" w:themeFillShade="F2"/>
            <w:noWrap/>
            <w:vAlign w:val="center"/>
            <w:hideMark/>
          </w:tcPr>
          <w:p w14:paraId="21C90B8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EFIPEM</w:t>
            </w:r>
          </w:p>
        </w:tc>
        <w:tc>
          <w:tcPr>
            <w:tcW w:w="1312" w:type="dxa"/>
            <w:shd w:val="clear" w:color="auto" w:fill="F2F2F2" w:themeFill="background1" w:themeFillShade="F2"/>
            <w:noWrap/>
            <w:vAlign w:val="center"/>
            <w:hideMark/>
          </w:tcPr>
          <w:p w14:paraId="38CC42D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44.6</w:t>
            </w:r>
          </w:p>
        </w:tc>
        <w:tc>
          <w:tcPr>
            <w:tcW w:w="1480" w:type="dxa"/>
            <w:shd w:val="clear" w:color="auto" w:fill="F2F2F2" w:themeFill="background1" w:themeFillShade="F2"/>
            <w:noWrap/>
            <w:vAlign w:val="center"/>
            <w:hideMark/>
          </w:tcPr>
          <w:p w14:paraId="0F2DE5B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F2F2F2" w:themeFill="background1" w:themeFillShade="F2"/>
            <w:noWrap/>
            <w:vAlign w:val="center"/>
            <w:hideMark/>
          </w:tcPr>
          <w:p w14:paraId="6ED15CC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F2F2F2" w:themeFill="background1" w:themeFillShade="F2"/>
            <w:noWrap/>
            <w:vAlign w:val="center"/>
            <w:hideMark/>
          </w:tcPr>
          <w:p w14:paraId="70E09E2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741FF4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420" w:type="dxa"/>
            <w:shd w:val="clear" w:color="auto" w:fill="F2F2F2" w:themeFill="background1" w:themeFillShade="F2"/>
            <w:noWrap/>
            <w:vAlign w:val="center"/>
            <w:hideMark/>
          </w:tcPr>
          <w:p w14:paraId="08F9138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w:t>
            </w:r>
          </w:p>
        </w:tc>
        <w:tc>
          <w:tcPr>
            <w:tcW w:w="1180" w:type="dxa"/>
            <w:shd w:val="clear" w:color="auto" w:fill="F2F2F2" w:themeFill="background1" w:themeFillShade="F2"/>
            <w:noWrap/>
            <w:vAlign w:val="center"/>
            <w:hideMark/>
          </w:tcPr>
          <w:p w14:paraId="566E83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29%</w:t>
            </w:r>
          </w:p>
        </w:tc>
        <w:tc>
          <w:tcPr>
            <w:tcW w:w="860" w:type="dxa"/>
            <w:shd w:val="clear" w:color="auto" w:fill="F2F2F2" w:themeFill="background1" w:themeFillShade="F2"/>
            <w:noWrap/>
            <w:vAlign w:val="center"/>
            <w:hideMark/>
          </w:tcPr>
          <w:p w14:paraId="68CAAD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100" w:type="dxa"/>
            <w:shd w:val="clear" w:color="auto" w:fill="F2F2F2" w:themeFill="background1" w:themeFillShade="F2"/>
            <w:noWrap/>
            <w:vAlign w:val="center"/>
            <w:hideMark/>
          </w:tcPr>
          <w:p w14:paraId="42765A4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w:t>
            </w:r>
          </w:p>
        </w:tc>
      </w:tr>
      <w:tr w:rsidR="00FE3FE8" w:rsidRPr="009A501D" w14:paraId="19E0BCBC" w14:textId="77777777" w:rsidTr="00224E0F">
        <w:trPr>
          <w:trHeight w:val="170"/>
        </w:trPr>
        <w:tc>
          <w:tcPr>
            <w:tcW w:w="880" w:type="dxa"/>
            <w:shd w:val="clear" w:color="auto" w:fill="F2F2F2" w:themeFill="background1" w:themeFillShade="F2"/>
            <w:noWrap/>
            <w:vAlign w:val="center"/>
            <w:hideMark/>
          </w:tcPr>
          <w:p w14:paraId="0845D1D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798EF2E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 xml:space="preserve">Industria </w:t>
            </w:r>
            <w:proofErr w:type="spellStart"/>
            <w:r w:rsidRPr="009A501D">
              <w:rPr>
                <w:rFonts w:ascii="Century Gothic" w:eastAsia="Times New Roman" w:hAnsi="Century Gothic" w:cs="Calibri"/>
                <w:color w:val="000000"/>
                <w:sz w:val="16"/>
                <w:szCs w:val="16"/>
                <w:lang w:eastAsia="es-MX"/>
              </w:rPr>
              <w:t>Minerometalúrgica</w:t>
            </w:r>
            <w:proofErr w:type="spellEnd"/>
          </w:p>
        </w:tc>
        <w:tc>
          <w:tcPr>
            <w:tcW w:w="902" w:type="dxa"/>
            <w:shd w:val="clear" w:color="auto" w:fill="F2F2F2" w:themeFill="background1" w:themeFillShade="F2"/>
            <w:noWrap/>
            <w:vAlign w:val="center"/>
            <w:hideMark/>
          </w:tcPr>
          <w:p w14:paraId="7C0A4A2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EIMM</w:t>
            </w:r>
          </w:p>
        </w:tc>
        <w:tc>
          <w:tcPr>
            <w:tcW w:w="1312" w:type="dxa"/>
            <w:shd w:val="clear" w:color="auto" w:fill="F2F2F2" w:themeFill="background1" w:themeFillShade="F2"/>
            <w:noWrap/>
            <w:vAlign w:val="center"/>
            <w:hideMark/>
          </w:tcPr>
          <w:p w14:paraId="31CCD00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11.2</w:t>
            </w:r>
          </w:p>
        </w:tc>
        <w:tc>
          <w:tcPr>
            <w:tcW w:w="1480" w:type="dxa"/>
            <w:shd w:val="clear" w:color="auto" w:fill="F2F2F2" w:themeFill="background1" w:themeFillShade="F2"/>
            <w:noWrap/>
            <w:vAlign w:val="center"/>
            <w:hideMark/>
          </w:tcPr>
          <w:p w14:paraId="195680F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F2F2F2" w:themeFill="background1" w:themeFillShade="F2"/>
            <w:noWrap/>
            <w:vAlign w:val="center"/>
            <w:hideMark/>
          </w:tcPr>
          <w:p w14:paraId="269ED32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F2F2F2" w:themeFill="background1" w:themeFillShade="F2"/>
            <w:noWrap/>
            <w:vAlign w:val="center"/>
            <w:hideMark/>
          </w:tcPr>
          <w:p w14:paraId="361690C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F2F2F2" w:themeFill="background1" w:themeFillShade="F2"/>
            <w:noWrap/>
            <w:vAlign w:val="center"/>
            <w:hideMark/>
          </w:tcPr>
          <w:p w14:paraId="1ABDCCF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12%</w:t>
            </w:r>
          </w:p>
        </w:tc>
        <w:tc>
          <w:tcPr>
            <w:tcW w:w="1420" w:type="dxa"/>
            <w:shd w:val="clear" w:color="auto" w:fill="F2F2F2" w:themeFill="background1" w:themeFillShade="F2"/>
            <w:noWrap/>
            <w:vAlign w:val="center"/>
            <w:hideMark/>
          </w:tcPr>
          <w:p w14:paraId="7E6CAD9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c>
          <w:tcPr>
            <w:tcW w:w="1180" w:type="dxa"/>
            <w:shd w:val="clear" w:color="auto" w:fill="F2F2F2" w:themeFill="background1" w:themeFillShade="F2"/>
            <w:noWrap/>
            <w:vAlign w:val="center"/>
            <w:hideMark/>
          </w:tcPr>
          <w:p w14:paraId="2A4C6AD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46%</w:t>
            </w:r>
          </w:p>
        </w:tc>
        <w:tc>
          <w:tcPr>
            <w:tcW w:w="860" w:type="dxa"/>
            <w:shd w:val="clear" w:color="auto" w:fill="F2F2F2" w:themeFill="background1" w:themeFillShade="F2"/>
            <w:noWrap/>
            <w:vAlign w:val="center"/>
            <w:hideMark/>
          </w:tcPr>
          <w:p w14:paraId="50ABDD6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F2F2F2" w:themeFill="background1" w:themeFillShade="F2"/>
            <w:noWrap/>
            <w:vAlign w:val="center"/>
            <w:hideMark/>
          </w:tcPr>
          <w:p w14:paraId="6C587DD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21FE7AF1" w14:textId="77777777" w:rsidTr="00224E0F">
        <w:trPr>
          <w:trHeight w:val="170"/>
        </w:trPr>
        <w:tc>
          <w:tcPr>
            <w:tcW w:w="880" w:type="dxa"/>
            <w:shd w:val="clear" w:color="auto" w:fill="auto"/>
            <w:noWrap/>
            <w:vAlign w:val="center"/>
            <w:hideMark/>
          </w:tcPr>
          <w:p w14:paraId="5DB5361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0BE9CAC2"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Sacrificio de Ganado en Rastros Municipales</w:t>
            </w:r>
          </w:p>
        </w:tc>
        <w:tc>
          <w:tcPr>
            <w:tcW w:w="902" w:type="dxa"/>
            <w:shd w:val="clear" w:color="auto" w:fill="auto"/>
            <w:noWrap/>
            <w:vAlign w:val="center"/>
            <w:hideMark/>
          </w:tcPr>
          <w:p w14:paraId="23142E4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ESGRM</w:t>
            </w:r>
          </w:p>
        </w:tc>
        <w:tc>
          <w:tcPr>
            <w:tcW w:w="1312" w:type="dxa"/>
            <w:shd w:val="clear" w:color="auto" w:fill="auto"/>
            <w:noWrap/>
            <w:vAlign w:val="center"/>
            <w:hideMark/>
          </w:tcPr>
          <w:p w14:paraId="583F027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w:t>
            </w:r>
          </w:p>
        </w:tc>
        <w:tc>
          <w:tcPr>
            <w:tcW w:w="1480" w:type="dxa"/>
            <w:shd w:val="clear" w:color="auto" w:fill="auto"/>
            <w:noWrap/>
            <w:vAlign w:val="center"/>
            <w:hideMark/>
          </w:tcPr>
          <w:p w14:paraId="044DCE4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37EEF46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200" w:type="dxa"/>
            <w:shd w:val="clear" w:color="auto" w:fill="auto"/>
            <w:noWrap/>
            <w:vAlign w:val="center"/>
            <w:hideMark/>
          </w:tcPr>
          <w:p w14:paraId="6522C3E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000" w:type="dxa"/>
            <w:shd w:val="clear" w:color="auto" w:fill="auto"/>
            <w:noWrap/>
            <w:vAlign w:val="center"/>
            <w:hideMark/>
          </w:tcPr>
          <w:p w14:paraId="01C2160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420" w:type="dxa"/>
            <w:shd w:val="clear" w:color="auto" w:fill="auto"/>
            <w:noWrap/>
            <w:vAlign w:val="center"/>
            <w:hideMark/>
          </w:tcPr>
          <w:p w14:paraId="0DD43C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180" w:type="dxa"/>
            <w:shd w:val="clear" w:color="auto" w:fill="auto"/>
            <w:noWrap/>
            <w:vAlign w:val="center"/>
            <w:hideMark/>
          </w:tcPr>
          <w:p w14:paraId="22107DF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860" w:type="dxa"/>
            <w:shd w:val="clear" w:color="auto" w:fill="auto"/>
            <w:noWrap/>
            <w:vAlign w:val="center"/>
            <w:hideMark/>
          </w:tcPr>
          <w:p w14:paraId="6DBD42E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c>
          <w:tcPr>
            <w:tcW w:w="1100" w:type="dxa"/>
            <w:shd w:val="clear" w:color="auto" w:fill="auto"/>
            <w:noWrap/>
            <w:vAlign w:val="center"/>
            <w:hideMark/>
          </w:tcPr>
          <w:p w14:paraId="10BC470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29%</w:t>
            </w:r>
          </w:p>
        </w:tc>
      </w:tr>
      <w:tr w:rsidR="00FE3FE8" w:rsidRPr="009A501D" w14:paraId="793287EE" w14:textId="77777777" w:rsidTr="00224E0F">
        <w:trPr>
          <w:trHeight w:val="170"/>
        </w:trPr>
        <w:tc>
          <w:tcPr>
            <w:tcW w:w="880" w:type="dxa"/>
            <w:shd w:val="clear" w:color="auto" w:fill="auto"/>
            <w:noWrap/>
            <w:vAlign w:val="center"/>
            <w:hideMark/>
          </w:tcPr>
          <w:p w14:paraId="3ABF326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53FCDAB4"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Transporte Urbano de Pasajeros</w:t>
            </w:r>
          </w:p>
        </w:tc>
        <w:tc>
          <w:tcPr>
            <w:tcW w:w="902" w:type="dxa"/>
            <w:shd w:val="clear" w:color="auto" w:fill="auto"/>
            <w:noWrap/>
            <w:vAlign w:val="center"/>
            <w:hideMark/>
          </w:tcPr>
          <w:p w14:paraId="265F03F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ETUP</w:t>
            </w:r>
          </w:p>
        </w:tc>
        <w:tc>
          <w:tcPr>
            <w:tcW w:w="1312" w:type="dxa"/>
            <w:shd w:val="clear" w:color="auto" w:fill="auto"/>
            <w:noWrap/>
            <w:vAlign w:val="center"/>
            <w:hideMark/>
          </w:tcPr>
          <w:p w14:paraId="26279C4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2.5</w:t>
            </w:r>
          </w:p>
        </w:tc>
        <w:tc>
          <w:tcPr>
            <w:tcW w:w="1480" w:type="dxa"/>
            <w:shd w:val="clear" w:color="auto" w:fill="auto"/>
            <w:noWrap/>
            <w:vAlign w:val="center"/>
            <w:hideMark/>
          </w:tcPr>
          <w:p w14:paraId="58A42F0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auto"/>
            <w:noWrap/>
            <w:vAlign w:val="center"/>
            <w:hideMark/>
          </w:tcPr>
          <w:p w14:paraId="2DAE1A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auto"/>
            <w:noWrap/>
            <w:vAlign w:val="center"/>
            <w:hideMark/>
          </w:tcPr>
          <w:p w14:paraId="0B34039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auto"/>
            <w:noWrap/>
            <w:vAlign w:val="center"/>
            <w:hideMark/>
          </w:tcPr>
          <w:p w14:paraId="657AAF3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420" w:type="dxa"/>
            <w:shd w:val="clear" w:color="auto" w:fill="auto"/>
            <w:noWrap/>
            <w:vAlign w:val="center"/>
            <w:hideMark/>
          </w:tcPr>
          <w:p w14:paraId="2EA0B8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w:t>
            </w:r>
          </w:p>
        </w:tc>
        <w:tc>
          <w:tcPr>
            <w:tcW w:w="1180" w:type="dxa"/>
            <w:shd w:val="clear" w:color="auto" w:fill="auto"/>
            <w:noWrap/>
            <w:vAlign w:val="center"/>
            <w:hideMark/>
          </w:tcPr>
          <w:p w14:paraId="66CE548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w:t>
            </w:r>
          </w:p>
        </w:tc>
        <w:tc>
          <w:tcPr>
            <w:tcW w:w="860" w:type="dxa"/>
            <w:shd w:val="clear" w:color="auto" w:fill="auto"/>
            <w:noWrap/>
            <w:vAlign w:val="center"/>
            <w:hideMark/>
          </w:tcPr>
          <w:p w14:paraId="148E93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100" w:type="dxa"/>
            <w:shd w:val="clear" w:color="auto" w:fill="auto"/>
            <w:noWrap/>
            <w:vAlign w:val="center"/>
            <w:hideMark/>
          </w:tcPr>
          <w:p w14:paraId="3CCF566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37%</w:t>
            </w:r>
          </w:p>
        </w:tc>
      </w:tr>
      <w:tr w:rsidR="00FE3FE8" w:rsidRPr="009A501D" w14:paraId="2FCD8760" w14:textId="77777777" w:rsidTr="00224E0F">
        <w:trPr>
          <w:trHeight w:val="170"/>
        </w:trPr>
        <w:tc>
          <w:tcPr>
            <w:tcW w:w="880" w:type="dxa"/>
            <w:shd w:val="clear" w:color="auto" w:fill="F2F2F2" w:themeFill="background1" w:themeFillShade="F2"/>
            <w:noWrap/>
            <w:vAlign w:val="center"/>
            <w:hideMark/>
          </w:tcPr>
          <w:p w14:paraId="22959F7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611432C9"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Programa de la Industria Manufacturera, Maquiladora y de Servicios de Exportación</w:t>
            </w:r>
          </w:p>
        </w:tc>
        <w:tc>
          <w:tcPr>
            <w:tcW w:w="902" w:type="dxa"/>
            <w:shd w:val="clear" w:color="auto" w:fill="F2F2F2" w:themeFill="background1" w:themeFillShade="F2"/>
            <w:noWrap/>
            <w:vAlign w:val="center"/>
            <w:hideMark/>
          </w:tcPr>
          <w:p w14:paraId="5EED219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IMMEX</w:t>
            </w:r>
          </w:p>
        </w:tc>
        <w:tc>
          <w:tcPr>
            <w:tcW w:w="1312" w:type="dxa"/>
            <w:shd w:val="clear" w:color="auto" w:fill="F2F2F2" w:themeFill="background1" w:themeFillShade="F2"/>
            <w:noWrap/>
            <w:vAlign w:val="center"/>
            <w:hideMark/>
          </w:tcPr>
          <w:p w14:paraId="4A2E45C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11.6</w:t>
            </w:r>
          </w:p>
        </w:tc>
        <w:tc>
          <w:tcPr>
            <w:tcW w:w="1480" w:type="dxa"/>
            <w:shd w:val="clear" w:color="auto" w:fill="F2F2F2" w:themeFill="background1" w:themeFillShade="F2"/>
            <w:noWrap/>
            <w:vAlign w:val="center"/>
            <w:hideMark/>
          </w:tcPr>
          <w:p w14:paraId="6C384F7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760" w:type="dxa"/>
            <w:shd w:val="clear" w:color="auto" w:fill="F2F2F2" w:themeFill="background1" w:themeFillShade="F2"/>
            <w:noWrap/>
            <w:vAlign w:val="center"/>
            <w:hideMark/>
          </w:tcPr>
          <w:p w14:paraId="474D767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200" w:type="dxa"/>
            <w:shd w:val="clear" w:color="auto" w:fill="F2F2F2" w:themeFill="background1" w:themeFillShade="F2"/>
            <w:noWrap/>
            <w:vAlign w:val="center"/>
            <w:hideMark/>
          </w:tcPr>
          <w:p w14:paraId="01C5FB1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000" w:type="dxa"/>
            <w:shd w:val="clear" w:color="auto" w:fill="F2F2F2" w:themeFill="background1" w:themeFillShade="F2"/>
            <w:noWrap/>
            <w:vAlign w:val="center"/>
            <w:hideMark/>
          </w:tcPr>
          <w:p w14:paraId="233F39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420" w:type="dxa"/>
            <w:shd w:val="clear" w:color="auto" w:fill="F2F2F2" w:themeFill="background1" w:themeFillShade="F2"/>
            <w:noWrap/>
            <w:vAlign w:val="center"/>
            <w:hideMark/>
          </w:tcPr>
          <w:p w14:paraId="4B7FD6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1180" w:type="dxa"/>
            <w:shd w:val="clear" w:color="auto" w:fill="F2F2F2" w:themeFill="background1" w:themeFillShade="F2"/>
            <w:noWrap/>
            <w:vAlign w:val="center"/>
            <w:hideMark/>
          </w:tcPr>
          <w:p w14:paraId="0267D8F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44%</w:t>
            </w:r>
          </w:p>
        </w:tc>
        <w:tc>
          <w:tcPr>
            <w:tcW w:w="860" w:type="dxa"/>
            <w:shd w:val="clear" w:color="auto" w:fill="F2F2F2" w:themeFill="background1" w:themeFillShade="F2"/>
            <w:noWrap/>
            <w:vAlign w:val="center"/>
            <w:hideMark/>
          </w:tcPr>
          <w:p w14:paraId="64FB5DE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00" w:type="dxa"/>
            <w:shd w:val="clear" w:color="auto" w:fill="F2F2F2" w:themeFill="background1" w:themeFillShade="F2"/>
            <w:noWrap/>
            <w:vAlign w:val="center"/>
            <w:hideMark/>
          </w:tcPr>
          <w:p w14:paraId="1A4DA55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11%</w:t>
            </w:r>
          </w:p>
        </w:tc>
      </w:tr>
      <w:tr w:rsidR="00FE3FE8" w:rsidRPr="009A501D" w14:paraId="3686D18C" w14:textId="77777777" w:rsidTr="00224E0F">
        <w:trPr>
          <w:trHeight w:val="170"/>
        </w:trPr>
        <w:tc>
          <w:tcPr>
            <w:tcW w:w="880" w:type="dxa"/>
            <w:shd w:val="clear" w:color="auto" w:fill="F2F2F2" w:themeFill="background1" w:themeFillShade="F2"/>
            <w:noWrap/>
            <w:vAlign w:val="center"/>
            <w:hideMark/>
          </w:tcPr>
          <w:p w14:paraId="7ACF364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F2F2F2" w:themeFill="background1" w:themeFillShade="F2"/>
            <w:vAlign w:val="center"/>
            <w:hideMark/>
          </w:tcPr>
          <w:p w14:paraId="7A614748"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Registro Estadístico de Negocios de México</w:t>
            </w:r>
          </w:p>
        </w:tc>
        <w:tc>
          <w:tcPr>
            <w:tcW w:w="902" w:type="dxa"/>
            <w:shd w:val="clear" w:color="auto" w:fill="F2F2F2" w:themeFill="background1" w:themeFillShade="F2"/>
            <w:noWrap/>
            <w:vAlign w:val="center"/>
            <w:hideMark/>
          </w:tcPr>
          <w:p w14:paraId="00F8961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RENEM</w:t>
            </w:r>
          </w:p>
        </w:tc>
        <w:tc>
          <w:tcPr>
            <w:tcW w:w="1312" w:type="dxa"/>
            <w:shd w:val="clear" w:color="auto" w:fill="F2F2F2" w:themeFill="background1" w:themeFillShade="F2"/>
            <w:noWrap/>
            <w:vAlign w:val="center"/>
            <w:hideMark/>
          </w:tcPr>
          <w:p w14:paraId="5BA37AE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219.6</w:t>
            </w:r>
          </w:p>
        </w:tc>
        <w:tc>
          <w:tcPr>
            <w:tcW w:w="1480" w:type="dxa"/>
            <w:shd w:val="clear" w:color="auto" w:fill="F2F2F2" w:themeFill="background1" w:themeFillShade="F2"/>
            <w:noWrap/>
            <w:vAlign w:val="center"/>
            <w:hideMark/>
          </w:tcPr>
          <w:p w14:paraId="29ADC0E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16%</w:t>
            </w:r>
          </w:p>
        </w:tc>
        <w:tc>
          <w:tcPr>
            <w:tcW w:w="760" w:type="dxa"/>
            <w:shd w:val="clear" w:color="auto" w:fill="F2F2F2" w:themeFill="background1" w:themeFillShade="F2"/>
            <w:noWrap/>
            <w:vAlign w:val="center"/>
            <w:hideMark/>
          </w:tcPr>
          <w:p w14:paraId="09CD9DC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200" w:type="dxa"/>
            <w:shd w:val="clear" w:color="auto" w:fill="F2F2F2" w:themeFill="background1" w:themeFillShade="F2"/>
            <w:noWrap/>
            <w:vAlign w:val="center"/>
            <w:hideMark/>
          </w:tcPr>
          <w:p w14:paraId="302AC8E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000" w:type="dxa"/>
            <w:shd w:val="clear" w:color="auto" w:fill="F2F2F2" w:themeFill="background1" w:themeFillShade="F2"/>
            <w:noWrap/>
            <w:vAlign w:val="center"/>
            <w:hideMark/>
          </w:tcPr>
          <w:p w14:paraId="746A88E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45%</w:t>
            </w:r>
          </w:p>
        </w:tc>
        <w:tc>
          <w:tcPr>
            <w:tcW w:w="1420" w:type="dxa"/>
            <w:shd w:val="clear" w:color="auto" w:fill="F2F2F2" w:themeFill="background1" w:themeFillShade="F2"/>
            <w:noWrap/>
            <w:vAlign w:val="center"/>
            <w:hideMark/>
          </w:tcPr>
          <w:p w14:paraId="361211B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10%</w:t>
            </w:r>
          </w:p>
        </w:tc>
        <w:tc>
          <w:tcPr>
            <w:tcW w:w="1180" w:type="dxa"/>
            <w:shd w:val="clear" w:color="auto" w:fill="F2F2F2" w:themeFill="background1" w:themeFillShade="F2"/>
            <w:noWrap/>
            <w:vAlign w:val="center"/>
            <w:hideMark/>
          </w:tcPr>
          <w:p w14:paraId="6E3E0AD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860" w:type="dxa"/>
            <w:shd w:val="clear" w:color="auto" w:fill="F2F2F2" w:themeFill="background1" w:themeFillShade="F2"/>
            <w:noWrap/>
            <w:vAlign w:val="center"/>
            <w:hideMark/>
          </w:tcPr>
          <w:p w14:paraId="5D33D6B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100" w:type="dxa"/>
            <w:shd w:val="clear" w:color="auto" w:fill="F2F2F2" w:themeFill="background1" w:themeFillShade="F2"/>
            <w:noWrap/>
            <w:vAlign w:val="center"/>
            <w:hideMark/>
          </w:tcPr>
          <w:p w14:paraId="28C206A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17%</w:t>
            </w:r>
          </w:p>
        </w:tc>
      </w:tr>
      <w:tr w:rsidR="00FE3FE8" w:rsidRPr="009A501D" w14:paraId="4658B5A2" w14:textId="77777777" w:rsidTr="00224E0F">
        <w:trPr>
          <w:trHeight w:val="170"/>
        </w:trPr>
        <w:tc>
          <w:tcPr>
            <w:tcW w:w="880" w:type="dxa"/>
            <w:shd w:val="clear" w:color="auto" w:fill="auto"/>
            <w:noWrap/>
            <w:vAlign w:val="center"/>
            <w:hideMark/>
          </w:tcPr>
          <w:p w14:paraId="6D21B24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40C09C57"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Vehículos de Motor registrados en circulación</w:t>
            </w:r>
          </w:p>
        </w:tc>
        <w:tc>
          <w:tcPr>
            <w:tcW w:w="902" w:type="dxa"/>
            <w:shd w:val="clear" w:color="auto" w:fill="auto"/>
            <w:noWrap/>
            <w:vAlign w:val="center"/>
            <w:hideMark/>
          </w:tcPr>
          <w:p w14:paraId="383A93F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VMRC</w:t>
            </w:r>
          </w:p>
        </w:tc>
        <w:tc>
          <w:tcPr>
            <w:tcW w:w="1312" w:type="dxa"/>
            <w:shd w:val="clear" w:color="auto" w:fill="auto"/>
            <w:noWrap/>
            <w:vAlign w:val="center"/>
            <w:hideMark/>
          </w:tcPr>
          <w:p w14:paraId="3A4A52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3.5</w:t>
            </w:r>
          </w:p>
        </w:tc>
        <w:tc>
          <w:tcPr>
            <w:tcW w:w="1480" w:type="dxa"/>
            <w:shd w:val="clear" w:color="auto" w:fill="auto"/>
            <w:noWrap/>
            <w:vAlign w:val="center"/>
            <w:hideMark/>
          </w:tcPr>
          <w:p w14:paraId="504528D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760" w:type="dxa"/>
            <w:shd w:val="clear" w:color="auto" w:fill="auto"/>
            <w:noWrap/>
            <w:vAlign w:val="center"/>
            <w:hideMark/>
          </w:tcPr>
          <w:p w14:paraId="083BE4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200" w:type="dxa"/>
            <w:shd w:val="clear" w:color="auto" w:fill="auto"/>
            <w:noWrap/>
            <w:vAlign w:val="center"/>
            <w:hideMark/>
          </w:tcPr>
          <w:p w14:paraId="7CCCC2E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000" w:type="dxa"/>
            <w:shd w:val="clear" w:color="auto" w:fill="auto"/>
            <w:noWrap/>
            <w:vAlign w:val="center"/>
            <w:hideMark/>
          </w:tcPr>
          <w:p w14:paraId="565E27E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15%</w:t>
            </w:r>
          </w:p>
        </w:tc>
        <w:tc>
          <w:tcPr>
            <w:tcW w:w="1420" w:type="dxa"/>
            <w:shd w:val="clear" w:color="auto" w:fill="auto"/>
            <w:noWrap/>
            <w:vAlign w:val="center"/>
            <w:hideMark/>
          </w:tcPr>
          <w:p w14:paraId="752EB3C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1180" w:type="dxa"/>
            <w:shd w:val="clear" w:color="auto" w:fill="auto"/>
            <w:noWrap/>
            <w:vAlign w:val="center"/>
            <w:hideMark/>
          </w:tcPr>
          <w:p w14:paraId="1BB466E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18%</w:t>
            </w:r>
          </w:p>
        </w:tc>
        <w:tc>
          <w:tcPr>
            <w:tcW w:w="860" w:type="dxa"/>
            <w:shd w:val="clear" w:color="auto" w:fill="auto"/>
            <w:noWrap/>
            <w:vAlign w:val="center"/>
            <w:hideMark/>
          </w:tcPr>
          <w:p w14:paraId="72DBDAE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8%</w:t>
            </w:r>
          </w:p>
        </w:tc>
        <w:tc>
          <w:tcPr>
            <w:tcW w:w="1100" w:type="dxa"/>
            <w:shd w:val="clear" w:color="auto" w:fill="auto"/>
            <w:noWrap/>
            <w:vAlign w:val="center"/>
            <w:hideMark/>
          </w:tcPr>
          <w:p w14:paraId="776A5C0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30%</w:t>
            </w:r>
          </w:p>
        </w:tc>
      </w:tr>
      <w:tr w:rsidR="00FE3FE8" w:rsidRPr="009A501D" w14:paraId="6234BC0A" w14:textId="77777777" w:rsidTr="00224E0F">
        <w:trPr>
          <w:trHeight w:val="170"/>
        </w:trPr>
        <w:tc>
          <w:tcPr>
            <w:tcW w:w="880" w:type="dxa"/>
            <w:shd w:val="clear" w:color="auto" w:fill="auto"/>
            <w:noWrap/>
            <w:vAlign w:val="center"/>
            <w:hideMark/>
          </w:tcPr>
          <w:p w14:paraId="543CD9E6"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DGEE</w:t>
            </w:r>
          </w:p>
        </w:tc>
        <w:tc>
          <w:tcPr>
            <w:tcW w:w="2466" w:type="dxa"/>
            <w:shd w:val="clear" w:color="auto" w:fill="auto"/>
            <w:vAlign w:val="center"/>
            <w:hideMark/>
          </w:tcPr>
          <w:p w14:paraId="3D80226C"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Vinculación de Registros Administrativos</w:t>
            </w:r>
          </w:p>
        </w:tc>
        <w:tc>
          <w:tcPr>
            <w:tcW w:w="902" w:type="dxa"/>
            <w:shd w:val="clear" w:color="auto" w:fill="auto"/>
            <w:noWrap/>
            <w:vAlign w:val="center"/>
            <w:hideMark/>
          </w:tcPr>
          <w:p w14:paraId="77B56937"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VRA</w:t>
            </w:r>
          </w:p>
        </w:tc>
        <w:tc>
          <w:tcPr>
            <w:tcW w:w="1312" w:type="dxa"/>
            <w:shd w:val="clear" w:color="auto" w:fill="auto"/>
            <w:noWrap/>
            <w:vAlign w:val="center"/>
            <w:hideMark/>
          </w:tcPr>
          <w:p w14:paraId="059256F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23.8</w:t>
            </w:r>
          </w:p>
        </w:tc>
        <w:tc>
          <w:tcPr>
            <w:tcW w:w="1480" w:type="dxa"/>
            <w:shd w:val="clear" w:color="auto" w:fill="auto"/>
            <w:noWrap/>
            <w:vAlign w:val="center"/>
            <w:hideMark/>
          </w:tcPr>
          <w:p w14:paraId="5A1F48D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7D39B39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200" w:type="dxa"/>
            <w:shd w:val="clear" w:color="auto" w:fill="auto"/>
            <w:noWrap/>
            <w:vAlign w:val="center"/>
            <w:hideMark/>
          </w:tcPr>
          <w:p w14:paraId="29ABD27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13%</w:t>
            </w:r>
          </w:p>
        </w:tc>
        <w:tc>
          <w:tcPr>
            <w:tcW w:w="1000" w:type="dxa"/>
            <w:shd w:val="clear" w:color="auto" w:fill="auto"/>
            <w:noWrap/>
            <w:vAlign w:val="center"/>
            <w:hideMark/>
          </w:tcPr>
          <w:p w14:paraId="3FB60F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w:t>
            </w:r>
          </w:p>
        </w:tc>
        <w:tc>
          <w:tcPr>
            <w:tcW w:w="1420" w:type="dxa"/>
            <w:shd w:val="clear" w:color="auto" w:fill="auto"/>
            <w:noWrap/>
            <w:vAlign w:val="center"/>
            <w:hideMark/>
          </w:tcPr>
          <w:p w14:paraId="469091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32%</w:t>
            </w:r>
          </w:p>
        </w:tc>
        <w:tc>
          <w:tcPr>
            <w:tcW w:w="1180" w:type="dxa"/>
            <w:shd w:val="clear" w:color="auto" w:fill="auto"/>
            <w:noWrap/>
            <w:vAlign w:val="center"/>
            <w:hideMark/>
          </w:tcPr>
          <w:p w14:paraId="332FF88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37%</w:t>
            </w:r>
          </w:p>
        </w:tc>
        <w:tc>
          <w:tcPr>
            <w:tcW w:w="860" w:type="dxa"/>
            <w:shd w:val="clear" w:color="auto" w:fill="auto"/>
            <w:noWrap/>
            <w:vAlign w:val="center"/>
            <w:hideMark/>
          </w:tcPr>
          <w:p w14:paraId="525F06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100" w:type="dxa"/>
            <w:shd w:val="clear" w:color="auto" w:fill="auto"/>
            <w:noWrap/>
            <w:vAlign w:val="center"/>
            <w:hideMark/>
          </w:tcPr>
          <w:p w14:paraId="229C534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r>
      <w:tr w:rsidR="00FE3FE8" w:rsidRPr="009A501D" w14:paraId="589D1A96" w14:textId="77777777" w:rsidTr="00224E0F">
        <w:trPr>
          <w:trHeight w:val="170"/>
        </w:trPr>
        <w:tc>
          <w:tcPr>
            <w:tcW w:w="880" w:type="dxa"/>
            <w:shd w:val="clear" w:color="auto" w:fill="F2F2F2" w:themeFill="background1" w:themeFillShade="F2"/>
            <w:noWrap/>
            <w:vAlign w:val="center"/>
            <w:hideMark/>
          </w:tcPr>
          <w:p w14:paraId="1C1EAA4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5F76DC5A"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 de Divorcios</w:t>
            </w:r>
          </w:p>
        </w:tc>
        <w:tc>
          <w:tcPr>
            <w:tcW w:w="902" w:type="dxa"/>
            <w:shd w:val="clear" w:color="auto" w:fill="F2F2F2" w:themeFill="background1" w:themeFillShade="F2"/>
            <w:noWrap/>
            <w:vAlign w:val="center"/>
            <w:hideMark/>
          </w:tcPr>
          <w:p w14:paraId="6DF046E1"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w:t>
            </w:r>
          </w:p>
        </w:tc>
        <w:tc>
          <w:tcPr>
            <w:tcW w:w="1312" w:type="dxa"/>
            <w:shd w:val="clear" w:color="auto" w:fill="F2F2F2" w:themeFill="background1" w:themeFillShade="F2"/>
            <w:noWrap/>
            <w:vAlign w:val="center"/>
            <w:hideMark/>
          </w:tcPr>
          <w:p w14:paraId="35DC0BF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52.3</w:t>
            </w:r>
          </w:p>
        </w:tc>
        <w:tc>
          <w:tcPr>
            <w:tcW w:w="1480" w:type="dxa"/>
            <w:shd w:val="clear" w:color="auto" w:fill="F2F2F2" w:themeFill="background1" w:themeFillShade="F2"/>
            <w:noWrap/>
            <w:vAlign w:val="center"/>
            <w:hideMark/>
          </w:tcPr>
          <w:p w14:paraId="55C2ED1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320EBC0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7A508AF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7EEF526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78%</w:t>
            </w:r>
          </w:p>
        </w:tc>
        <w:tc>
          <w:tcPr>
            <w:tcW w:w="1420" w:type="dxa"/>
            <w:shd w:val="clear" w:color="auto" w:fill="F2F2F2" w:themeFill="background1" w:themeFillShade="F2"/>
            <w:noWrap/>
            <w:vAlign w:val="center"/>
            <w:hideMark/>
          </w:tcPr>
          <w:p w14:paraId="3E39609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21%</w:t>
            </w:r>
          </w:p>
        </w:tc>
        <w:tc>
          <w:tcPr>
            <w:tcW w:w="1180" w:type="dxa"/>
            <w:shd w:val="clear" w:color="auto" w:fill="F2F2F2" w:themeFill="background1" w:themeFillShade="F2"/>
            <w:noWrap/>
            <w:vAlign w:val="center"/>
            <w:hideMark/>
          </w:tcPr>
          <w:p w14:paraId="3A3B174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07F824B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55A5E70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219BBCA1" w14:textId="77777777" w:rsidTr="00224E0F">
        <w:trPr>
          <w:trHeight w:val="170"/>
        </w:trPr>
        <w:tc>
          <w:tcPr>
            <w:tcW w:w="880" w:type="dxa"/>
            <w:shd w:val="clear" w:color="auto" w:fill="F2F2F2" w:themeFill="background1" w:themeFillShade="F2"/>
            <w:noWrap/>
            <w:vAlign w:val="center"/>
            <w:hideMark/>
          </w:tcPr>
          <w:p w14:paraId="1E11CFED"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2C626C0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de Defunciones Fetales</w:t>
            </w:r>
          </w:p>
        </w:tc>
        <w:tc>
          <w:tcPr>
            <w:tcW w:w="902" w:type="dxa"/>
            <w:shd w:val="clear" w:color="auto" w:fill="F2F2F2" w:themeFill="background1" w:themeFillShade="F2"/>
            <w:noWrap/>
            <w:vAlign w:val="center"/>
            <w:hideMark/>
          </w:tcPr>
          <w:p w14:paraId="56D5F89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EDF</w:t>
            </w:r>
          </w:p>
        </w:tc>
        <w:tc>
          <w:tcPr>
            <w:tcW w:w="1312" w:type="dxa"/>
            <w:shd w:val="clear" w:color="auto" w:fill="F2F2F2" w:themeFill="background1" w:themeFillShade="F2"/>
            <w:noWrap/>
            <w:vAlign w:val="center"/>
            <w:hideMark/>
          </w:tcPr>
          <w:p w14:paraId="69AF9D3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31.6</w:t>
            </w:r>
          </w:p>
        </w:tc>
        <w:tc>
          <w:tcPr>
            <w:tcW w:w="1480" w:type="dxa"/>
            <w:shd w:val="clear" w:color="auto" w:fill="F2F2F2" w:themeFill="background1" w:themeFillShade="F2"/>
            <w:noWrap/>
            <w:vAlign w:val="center"/>
            <w:hideMark/>
          </w:tcPr>
          <w:p w14:paraId="112F1C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575E71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F2F2F2" w:themeFill="background1" w:themeFillShade="F2"/>
            <w:noWrap/>
            <w:vAlign w:val="center"/>
            <w:hideMark/>
          </w:tcPr>
          <w:p w14:paraId="5D3D8A5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1CF0238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93%</w:t>
            </w:r>
          </w:p>
        </w:tc>
        <w:tc>
          <w:tcPr>
            <w:tcW w:w="1420" w:type="dxa"/>
            <w:shd w:val="clear" w:color="auto" w:fill="F2F2F2" w:themeFill="background1" w:themeFillShade="F2"/>
            <w:noWrap/>
            <w:vAlign w:val="center"/>
            <w:hideMark/>
          </w:tcPr>
          <w:p w14:paraId="43901E0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1180" w:type="dxa"/>
            <w:shd w:val="clear" w:color="auto" w:fill="F2F2F2" w:themeFill="background1" w:themeFillShade="F2"/>
            <w:noWrap/>
            <w:vAlign w:val="center"/>
            <w:hideMark/>
          </w:tcPr>
          <w:p w14:paraId="0ADBE10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860" w:type="dxa"/>
            <w:shd w:val="clear" w:color="auto" w:fill="F2F2F2" w:themeFill="background1" w:themeFillShade="F2"/>
            <w:noWrap/>
            <w:vAlign w:val="center"/>
            <w:hideMark/>
          </w:tcPr>
          <w:p w14:paraId="3054D37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4142253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7710D102" w14:textId="77777777" w:rsidTr="00224E0F">
        <w:trPr>
          <w:trHeight w:val="170"/>
        </w:trPr>
        <w:tc>
          <w:tcPr>
            <w:tcW w:w="880" w:type="dxa"/>
            <w:shd w:val="clear" w:color="auto" w:fill="auto"/>
            <w:noWrap/>
            <w:vAlign w:val="center"/>
            <w:hideMark/>
          </w:tcPr>
          <w:p w14:paraId="6EA01EB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0FC63A9B"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de Defunciones Registradas</w:t>
            </w:r>
          </w:p>
        </w:tc>
        <w:tc>
          <w:tcPr>
            <w:tcW w:w="902" w:type="dxa"/>
            <w:shd w:val="clear" w:color="auto" w:fill="auto"/>
            <w:noWrap/>
            <w:vAlign w:val="center"/>
            <w:hideMark/>
          </w:tcPr>
          <w:p w14:paraId="42C2F8B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EDR</w:t>
            </w:r>
          </w:p>
        </w:tc>
        <w:tc>
          <w:tcPr>
            <w:tcW w:w="1312" w:type="dxa"/>
            <w:shd w:val="clear" w:color="auto" w:fill="auto"/>
            <w:noWrap/>
            <w:vAlign w:val="center"/>
            <w:hideMark/>
          </w:tcPr>
          <w:p w14:paraId="4CCD5FD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78.6</w:t>
            </w:r>
          </w:p>
        </w:tc>
        <w:tc>
          <w:tcPr>
            <w:tcW w:w="1480" w:type="dxa"/>
            <w:shd w:val="clear" w:color="auto" w:fill="auto"/>
            <w:noWrap/>
            <w:vAlign w:val="center"/>
            <w:hideMark/>
          </w:tcPr>
          <w:p w14:paraId="7DE2E4F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0476CF7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5D01EC4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2DD18CA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91%</w:t>
            </w:r>
          </w:p>
        </w:tc>
        <w:tc>
          <w:tcPr>
            <w:tcW w:w="1420" w:type="dxa"/>
            <w:shd w:val="clear" w:color="auto" w:fill="auto"/>
            <w:noWrap/>
            <w:vAlign w:val="center"/>
            <w:hideMark/>
          </w:tcPr>
          <w:p w14:paraId="5B0C982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1180" w:type="dxa"/>
            <w:shd w:val="clear" w:color="auto" w:fill="auto"/>
            <w:noWrap/>
            <w:vAlign w:val="center"/>
            <w:hideMark/>
          </w:tcPr>
          <w:p w14:paraId="0D35518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860" w:type="dxa"/>
            <w:shd w:val="clear" w:color="auto" w:fill="auto"/>
            <w:noWrap/>
            <w:vAlign w:val="center"/>
            <w:hideMark/>
          </w:tcPr>
          <w:p w14:paraId="5185879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0AAF02F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6269BA70" w14:textId="77777777" w:rsidTr="00224E0F">
        <w:trPr>
          <w:trHeight w:val="170"/>
        </w:trPr>
        <w:tc>
          <w:tcPr>
            <w:tcW w:w="880" w:type="dxa"/>
            <w:shd w:val="clear" w:color="auto" w:fill="auto"/>
            <w:noWrap/>
            <w:vAlign w:val="center"/>
            <w:hideMark/>
          </w:tcPr>
          <w:p w14:paraId="5B2F246C"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3A95364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 de Museos</w:t>
            </w:r>
          </w:p>
        </w:tc>
        <w:tc>
          <w:tcPr>
            <w:tcW w:w="902" w:type="dxa"/>
            <w:shd w:val="clear" w:color="auto" w:fill="auto"/>
            <w:noWrap/>
            <w:vAlign w:val="center"/>
            <w:hideMark/>
          </w:tcPr>
          <w:p w14:paraId="094F0820"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w:t>
            </w:r>
          </w:p>
        </w:tc>
        <w:tc>
          <w:tcPr>
            <w:tcW w:w="1312" w:type="dxa"/>
            <w:shd w:val="clear" w:color="auto" w:fill="auto"/>
            <w:noWrap/>
            <w:vAlign w:val="center"/>
            <w:hideMark/>
          </w:tcPr>
          <w:p w14:paraId="37F7630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20.0</w:t>
            </w:r>
          </w:p>
        </w:tc>
        <w:tc>
          <w:tcPr>
            <w:tcW w:w="1480" w:type="dxa"/>
            <w:shd w:val="clear" w:color="auto" w:fill="auto"/>
            <w:noWrap/>
            <w:vAlign w:val="center"/>
            <w:hideMark/>
          </w:tcPr>
          <w:p w14:paraId="289FE91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19BE5C3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36E3A42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561D82F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94%</w:t>
            </w:r>
          </w:p>
        </w:tc>
        <w:tc>
          <w:tcPr>
            <w:tcW w:w="1420" w:type="dxa"/>
            <w:shd w:val="clear" w:color="auto" w:fill="auto"/>
            <w:noWrap/>
            <w:vAlign w:val="center"/>
            <w:hideMark/>
          </w:tcPr>
          <w:p w14:paraId="4537632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auto"/>
            <w:noWrap/>
            <w:vAlign w:val="center"/>
            <w:hideMark/>
          </w:tcPr>
          <w:p w14:paraId="78E2B17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2BBE2EB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3A1212D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r>
      <w:tr w:rsidR="00FE3FE8" w:rsidRPr="009A501D" w14:paraId="28D375A1" w14:textId="77777777" w:rsidTr="00224E0F">
        <w:trPr>
          <w:trHeight w:val="170"/>
        </w:trPr>
        <w:tc>
          <w:tcPr>
            <w:tcW w:w="880" w:type="dxa"/>
            <w:shd w:val="clear" w:color="auto" w:fill="F2F2F2" w:themeFill="background1" w:themeFillShade="F2"/>
            <w:noWrap/>
            <w:vAlign w:val="center"/>
            <w:hideMark/>
          </w:tcPr>
          <w:p w14:paraId="0D224FF4"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78620161"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 de Matrimonios</w:t>
            </w:r>
          </w:p>
        </w:tc>
        <w:tc>
          <w:tcPr>
            <w:tcW w:w="902" w:type="dxa"/>
            <w:shd w:val="clear" w:color="auto" w:fill="F2F2F2" w:themeFill="background1" w:themeFillShade="F2"/>
            <w:noWrap/>
            <w:vAlign w:val="center"/>
            <w:hideMark/>
          </w:tcPr>
          <w:p w14:paraId="62DBD9DA"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EMAT</w:t>
            </w:r>
          </w:p>
        </w:tc>
        <w:tc>
          <w:tcPr>
            <w:tcW w:w="1312" w:type="dxa"/>
            <w:shd w:val="clear" w:color="auto" w:fill="F2F2F2" w:themeFill="background1" w:themeFillShade="F2"/>
            <w:noWrap/>
            <w:vAlign w:val="center"/>
            <w:hideMark/>
          </w:tcPr>
          <w:p w14:paraId="2741648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42.3</w:t>
            </w:r>
          </w:p>
        </w:tc>
        <w:tc>
          <w:tcPr>
            <w:tcW w:w="1480" w:type="dxa"/>
            <w:shd w:val="clear" w:color="auto" w:fill="F2F2F2" w:themeFill="background1" w:themeFillShade="F2"/>
            <w:noWrap/>
            <w:vAlign w:val="center"/>
            <w:hideMark/>
          </w:tcPr>
          <w:p w14:paraId="12BA4AD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0FD5CBA3"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17F1E22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357E36B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69%</w:t>
            </w:r>
          </w:p>
        </w:tc>
        <w:tc>
          <w:tcPr>
            <w:tcW w:w="1420" w:type="dxa"/>
            <w:shd w:val="clear" w:color="auto" w:fill="F2F2F2" w:themeFill="background1" w:themeFillShade="F2"/>
            <w:noWrap/>
            <w:vAlign w:val="center"/>
            <w:hideMark/>
          </w:tcPr>
          <w:p w14:paraId="4605823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24%</w:t>
            </w:r>
          </w:p>
        </w:tc>
        <w:tc>
          <w:tcPr>
            <w:tcW w:w="1180" w:type="dxa"/>
            <w:shd w:val="clear" w:color="auto" w:fill="F2F2F2" w:themeFill="background1" w:themeFillShade="F2"/>
            <w:noWrap/>
            <w:vAlign w:val="center"/>
            <w:hideMark/>
          </w:tcPr>
          <w:p w14:paraId="5C6238B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w:t>
            </w:r>
          </w:p>
        </w:tc>
        <w:tc>
          <w:tcPr>
            <w:tcW w:w="860" w:type="dxa"/>
            <w:shd w:val="clear" w:color="auto" w:fill="F2F2F2" w:themeFill="background1" w:themeFillShade="F2"/>
            <w:noWrap/>
            <w:vAlign w:val="center"/>
            <w:hideMark/>
          </w:tcPr>
          <w:p w14:paraId="3F27E861"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790AA7C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4F4B3952" w14:textId="77777777" w:rsidTr="00224E0F">
        <w:trPr>
          <w:trHeight w:val="170"/>
        </w:trPr>
        <w:tc>
          <w:tcPr>
            <w:tcW w:w="880" w:type="dxa"/>
            <w:shd w:val="clear" w:color="auto" w:fill="F2F2F2" w:themeFill="background1" w:themeFillShade="F2"/>
            <w:noWrap/>
            <w:vAlign w:val="center"/>
            <w:hideMark/>
          </w:tcPr>
          <w:p w14:paraId="53547089"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F2F2F2" w:themeFill="background1" w:themeFillShade="F2"/>
            <w:vAlign w:val="center"/>
            <w:hideMark/>
          </w:tcPr>
          <w:p w14:paraId="696E29CF"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 de Nacimientos Registrados</w:t>
            </w:r>
          </w:p>
        </w:tc>
        <w:tc>
          <w:tcPr>
            <w:tcW w:w="902" w:type="dxa"/>
            <w:shd w:val="clear" w:color="auto" w:fill="F2F2F2" w:themeFill="background1" w:themeFillShade="F2"/>
            <w:noWrap/>
            <w:vAlign w:val="center"/>
            <w:hideMark/>
          </w:tcPr>
          <w:p w14:paraId="4246D592"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ENR</w:t>
            </w:r>
          </w:p>
        </w:tc>
        <w:tc>
          <w:tcPr>
            <w:tcW w:w="1312" w:type="dxa"/>
            <w:shd w:val="clear" w:color="auto" w:fill="F2F2F2" w:themeFill="background1" w:themeFillShade="F2"/>
            <w:noWrap/>
            <w:vAlign w:val="center"/>
            <w:hideMark/>
          </w:tcPr>
          <w:p w14:paraId="327C270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62.9</w:t>
            </w:r>
          </w:p>
        </w:tc>
        <w:tc>
          <w:tcPr>
            <w:tcW w:w="1480" w:type="dxa"/>
            <w:shd w:val="clear" w:color="auto" w:fill="F2F2F2" w:themeFill="background1" w:themeFillShade="F2"/>
            <w:noWrap/>
            <w:vAlign w:val="center"/>
            <w:hideMark/>
          </w:tcPr>
          <w:p w14:paraId="5FF2A52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F2F2F2" w:themeFill="background1" w:themeFillShade="F2"/>
            <w:noWrap/>
            <w:vAlign w:val="center"/>
            <w:hideMark/>
          </w:tcPr>
          <w:p w14:paraId="7AB62F3D"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F2F2F2" w:themeFill="background1" w:themeFillShade="F2"/>
            <w:noWrap/>
            <w:vAlign w:val="center"/>
            <w:hideMark/>
          </w:tcPr>
          <w:p w14:paraId="3A3F3D3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F2F2F2" w:themeFill="background1" w:themeFillShade="F2"/>
            <w:noWrap/>
            <w:vAlign w:val="center"/>
            <w:hideMark/>
          </w:tcPr>
          <w:p w14:paraId="271BF27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74%</w:t>
            </w:r>
          </w:p>
        </w:tc>
        <w:tc>
          <w:tcPr>
            <w:tcW w:w="1420" w:type="dxa"/>
            <w:shd w:val="clear" w:color="auto" w:fill="F2F2F2" w:themeFill="background1" w:themeFillShade="F2"/>
            <w:noWrap/>
            <w:vAlign w:val="center"/>
            <w:hideMark/>
          </w:tcPr>
          <w:p w14:paraId="7630D13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22%</w:t>
            </w:r>
          </w:p>
        </w:tc>
        <w:tc>
          <w:tcPr>
            <w:tcW w:w="1180" w:type="dxa"/>
            <w:shd w:val="clear" w:color="auto" w:fill="F2F2F2" w:themeFill="background1" w:themeFillShade="F2"/>
            <w:noWrap/>
            <w:vAlign w:val="center"/>
            <w:hideMark/>
          </w:tcPr>
          <w:p w14:paraId="49D7D21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4%</w:t>
            </w:r>
          </w:p>
        </w:tc>
        <w:tc>
          <w:tcPr>
            <w:tcW w:w="860" w:type="dxa"/>
            <w:shd w:val="clear" w:color="auto" w:fill="F2F2F2" w:themeFill="background1" w:themeFillShade="F2"/>
            <w:noWrap/>
            <w:vAlign w:val="center"/>
            <w:hideMark/>
          </w:tcPr>
          <w:p w14:paraId="77A4DBA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0A8C9C0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085FB6D6" w14:textId="77777777" w:rsidTr="00224E0F">
        <w:trPr>
          <w:trHeight w:val="170"/>
        </w:trPr>
        <w:tc>
          <w:tcPr>
            <w:tcW w:w="880" w:type="dxa"/>
            <w:shd w:val="clear" w:color="auto" w:fill="auto"/>
            <w:noWrap/>
            <w:vAlign w:val="center"/>
            <w:hideMark/>
          </w:tcPr>
          <w:p w14:paraId="13E2EB2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DGES</w:t>
            </w:r>
          </w:p>
        </w:tc>
        <w:tc>
          <w:tcPr>
            <w:tcW w:w="2466" w:type="dxa"/>
            <w:shd w:val="clear" w:color="auto" w:fill="auto"/>
            <w:vAlign w:val="center"/>
            <w:hideMark/>
          </w:tcPr>
          <w:p w14:paraId="03636A38"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sobre relaciones laborales de jurisdicción local</w:t>
            </w:r>
          </w:p>
        </w:tc>
        <w:tc>
          <w:tcPr>
            <w:tcW w:w="902" w:type="dxa"/>
            <w:shd w:val="clear" w:color="auto" w:fill="auto"/>
            <w:noWrap/>
            <w:vAlign w:val="center"/>
            <w:hideMark/>
          </w:tcPr>
          <w:p w14:paraId="17EEAB48"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ERLAJUL</w:t>
            </w:r>
          </w:p>
        </w:tc>
        <w:tc>
          <w:tcPr>
            <w:tcW w:w="1312" w:type="dxa"/>
            <w:shd w:val="clear" w:color="auto" w:fill="auto"/>
            <w:noWrap/>
            <w:vAlign w:val="center"/>
            <w:hideMark/>
          </w:tcPr>
          <w:p w14:paraId="3A2DA0D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57.0</w:t>
            </w:r>
          </w:p>
        </w:tc>
        <w:tc>
          <w:tcPr>
            <w:tcW w:w="1480" w:type="dxa"/>
            <w:shd w:val="clear" w:color="auto" w:fill="auto"/>
            <w:noWrap/>
            <w:vAlign w:val="center"/>
            <w:hideMark/>
          </w:tcPr>
          <w:p w14:paraId="037FBD4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760" w:type="dxa"/>
            <w:shd w:val="clear" w:color="auto" w:fill="auto"/>
            <w:noWrap/>
            <w:vAlign w:val="center"/>
            <w:hideMark/>
          </w:tcPr>
          <w:p w14:paraId="568D4BF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200" w:type="dxa"/>
            <w:shd w:val="clear" w:color="auto" w:fill="auto"/>
            <w:noWrap/>
            <w:vAlign w:val="center"/>
            <w:hideMark/>
          </w:tcPr>
          <w:p w14:paraId="05A7661F"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020579A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92%</w:t>
            </w:r>
          </w:p>
        </w:tc>
        <w:tc>
          <w:tcPr>
            <w:tcW w:w="1420" w:type="dxa"/>
            <w:shd w:val="clear" w:color="auto" w:fill="auto"/>
            <w:noWrap/>
            <w:vAlign w:val="center"/>
            <w:hideMark/>
          </w:tcPr>
          <w:p w14:paraId="271791BE"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auto"/>
            <w:noWrap/>
            <w:vAlign w:val="center"/>
            <w:hideMark/>
          </w:tcPr>
          <w:p w14:paraId="4E3EFCB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5%</w:t>
            </w:r>
          </w:p>
        </w:tc>
        <w:tc>
          <w:tcPr>
            <w:tcW w:w="860" w:type="dxa"/>
            <w:shd w:val="clear" w:color="auto" w:fill="auto"/>
            <w:noWrap/>
            <w:vAlign w:val="center"/>
            <w:hideMark/>
          </w:tcPr>
          <w:p w14:paraId="6171EF6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6AF9B34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3E29C603" w14:textId="77777777" w:rsidTr="00224E0F">
        <w:trPr>
          <w:trHeight w:val="170"/>
        </w:trPr>
        <w:tc>
          <w:tcPr>
            <w:tcW w:w="880" w:type="dxa"/>
            <w:shd w:val="clear" w:color="auto" w:fill="auto"/>
            <w:noWrap/>
            <w:vAlign w:val="center"/>
            <w:hideMark/>
          </w:tcPr>
          <w:p w14:paraId="5AF5F5F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lastRenderedPageBreak/>
              <w:t>DGES</w:t>
            </w:r>
          </w:p>
        </w:tc>
        <w:tc>
          <w:tcPr>
            <w:tcW w:w="2466" w:type="dxa"/>
            <w:shd w:val="clear" w:color="auto" w:fill="auto"/>
            <w:vAlign w:val="center"/>
            <w:hideMark/>
          </w:tcPr>
          <w:p w14:paraId="28E94CB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Estadísticas de salud en establecimientos particulares</w:t>
            </w:r>
          </w:p>
        </w:tc>
        <w:tc>
          <w:tcPr>
            <w:tcW w:w="902" w:type="dxa"/>
            <w:shd w:val="clear" w:color="auto" w:fill="auto"/>
            <w:noWrap/>
            <w:vAlign w:val="center"/>
            <w:hideMark/>
          </w:tcPr>
          <w:p w14:paraId="192FB483"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ESEP</w:t>
            </w:r>
          </w:p>
        </w:tc>
        <w:tc>
          <w:tcPr>
            <w:tcW w:w="1312" w:type="dxa"/>
            <w:shd w:val="clear" w:color="auto" w:fill="auto"/>
            <w:noWrap/>
            <w:vAlign w:val="center"/>
            <w:hideMark/>
          </w:tcPr>
          <w:p w14:paraId="562CBE6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34.4</w:t>
            </w:r>
          </w:p>
        </w:tc>
        <w:tc>
          <w:tcPr>
            <w:tcW w:w="1480" w:type="dxa"/>
            <w:shd w:val="clear" w:color="auto" w:fill="auto"/>
            <w:noWrap/>
            <w:vAlign w:val="center"/>
            <w:hideMark/>
          </w:tcPr>
          <w:p w14:paraId="0D90A9A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760" w:type="dxa"/>
            <w:shd w:val="clear" w:color="auto" w:fill="auto"/>
            <w:noWrap/>
            <w:vAlign w:val="center"/>
            <w:hideMark/>
          </w:tcPr>
          <w:p w14:paraId="01C9C676"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1200" w:type="dxa"/>
            <w:shd w:val="clear" w:color="auto" w:fill="auto"/>
            <w:noWrap/>
            <w:vAlign w:val="center"/>
            <w:hideMark/>
          </w:tcPr>
          <w:p w14:paraId="34CF5F54"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000" w:type="dxa"/>
            <w:shd w:val="clear" w:color="auto" w:fill="auto"/>
            <w:noWrap/>
            <w:vAlign w:val="center"/>
            <w:hideMark/>
          </w:tcPr>
          <w:p w14:paraId="1288F7C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96%</w:t>
            </w:r>
          </w:p>
        </w:tc>
        <w:tc>
          <w:tcPr>
            <w:tcW w:w="1420" w:type="dxa"/>
            <w:shd w:val="clear" w:color="auto" w:fill="auto"/>
            <w:noWrap/>
            <w:vAlign w:val="center"/>
            <w:hideMark/>
          </w:tcPr>
          <w:p w14:paraId="2B966B1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2%</w:t>
            </w:r>
          </w:p>
        </w:tc>
        <w:tc>
          <w:tcPr>
            <w:tcW w:w="1180" w:type="dxa"/>
            <w:shd w:val="clear" w:color="auto" w:fill="auto"/>
            <w:noWrap/>
            <w:vAlign w:val="center"/>
            <w:hideMark/>
          </w:tcPr>
          <w:p w14:paraId="4497AE2B"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w:t>
            </w:r>
          </w:p>
        </w:tc>
        <w:tc>
          <w:tcPr>
            <w:tcW w:w="860" w:type="dxa"/>
            <w:shd w:val="clear" w:color="auto" w:fill="auto"/>
            <w:noWrap/>
            <w:vAlign w:val="center"/>
            <w:hideMark/>
          </w:tcPr>
          <w:p w14:paraId="0A018CC7"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auto"/>
            <w:noWrap/>
            <w:vAlign w:val="center"/>
            <w:hideMark/>
          </w:tcPr>
          <w:p w14:paraId="78826A02"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r>
      <w:tr w:rsidR="00FE3FE8" w:rsidRPr="009A501D" w14:paraId="733C2273" w14:textId="77777777" w:rsidTr="00224E0F">
        <w:trPr>
          <w:trHeight w:val="170"/>
        </w:trPr>
        <w:tc>
          <w:tcPr>
            <w:tcW w:w="880" w:type="dxa"/>
            <w:shd w:val="clear" w:color="auto" w:fill="F2F2F2" w:themeFill="background1" w:themeFillShade="F2"/>
            <w:noWrap/>
            <w:vAlign w:val="center"/>
            <w:hideMark/>
          </w:tcPr>
          <w:p w14:paraId="639E4185"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DGIAI</w:t>
            </w:r>
          </w:p>
        </w:tc>
        <w:tc>
          <w:tcPr>
            <w:tcW w:w="2466" w:type="dxa"/>
            <w:shd w:val="clear" w:color="auto" w:fill="F2F2F2" w:themeFill="background1" w:themeFillShade="F2"/>
            <w:vAlign w:val="center"/>
            <w:hideMark/>
          </w:tcPr>
          <w:p w14:paraId="494482C0" w14:textId="77777777" w:rsidR="00FE3FE8" w:rsidRPr="009A501D" w:rsidRDefault="00FE3FE8" w:rsidP="00224E0F">
            <w:pPr>
              <w:spacing w:after="0" w:line="240" w:lineRule="auto"/>
              <w:contextualSpacing/>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Estado de Ánimo de los Tuiteros</w:t>
            </w:r>
          </w:p>
        </w:tc>
        <w:tc>
          <w:tcPr>
            <w:tcW w:w="902" w:type="dxa"/>
            <w:shd w:val="clear" w:color="auto" w:fill="F2F2F2" w:themeFill="background1" w:themeFillShade="F2"/>
            <w:noWrap/>
            <w:vAlign w:val="center"/>
            <w:hideMark/>
          </w:tcPr>
          <w:p w14:paraId="6458EE1E" w14:textId="77777777" w:rsidR="00FE3FE8" w:rsidRPr="009A501D" w:rsidRDefault="00FE3FE8" w:rsidP="00EC2D26">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ESANTU</w:t>
            </w:r>
          </w:p>
        </w:tc>
        <w:tc>
          <w:tcPr>
            <w:tcW w:w="1312" w:type="dxa"/>
            <w:shd w:val="clear" w:color="auto" w:fill="F2F2F2" w:themeFill="background1" w:themeFillShade="F2"/>
            <w:noWrap/>
            <w:vAlign w:val="center"/>
            <w:hideMark/>
          </w:tcPr>
          <w:p w14:paraId="42B3E418"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0.8</w:t>
            </w:r>
          </w:p>
        </w:tc>
        <w:tc>
          <w:tcPr>
            <w:tcW w:w="1480" w:type="dxa"/>
            <w:shd w:val="clear" w:color="auto" w:fill="F2F2F2" w:themeFill="background1" w:themeFillShade="F2"/>
            <w:noWrap/>
            <w:vAlign w:val="center"/>
            <w:hideMark/>
          </w:tcPr>
          <w:p w14:paraId="0A42357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760" w:type="dxa"/>
            <w:shd w:val="clear" w:color="auto" w:fill="F2F2F2" w:themeFill="background1" w:themeFillShade="F2"/>
            <w:noWrap/>
            <w:vAlign w:val="center"/>
            <w:hideMark/>
          </w:tcPr>
          <w:p w14:paraId="290A4B1C"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200" w:type="dxa"/>
            <w:shd w:val="clear" w:color="auto" w:fill="F2F2F2" w:themeFill="background1" w:themeFillShade="F2"/>
            <w:noWrap/>
            <w:vAlign w:val="center"/>
            <w:hideMark/>
          </w:tcPr>
          <w:p w14:paraId="0AF03715"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000" w:type="dxa"/>
            <w:shd w:val="clear" w:color="auto" w:fill="F2F2F2" w:themeFill="background1" w:themeFillShade="F2"/>
            <w:noWrap/>
            <w:vAlign w:val="center"/>
            <w:hideMark/>
          </w:tcPr>
          <w:p w14:paraId="3C7DE62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420" w:type="dxa"/>
            <w:shd w:val="clear" w:color="auto" w:fill="F2F2F2" w:themeFill="background1" w:themeFillShade="F2"/>
            <w:noWrap/>
            <w:vAlign w:val="center"/>
            <w:hideMark/>
          </w:tcPr>
          <w:p w14:paraId="44F3A25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1180" w:type="dxa"/>
            <w:shd w:val="clear" w:color="auto" w:fill="F2F2F2" w:themeFill="background1" w:themeFillShade="F2"/>
            <w:noWrap/>
            <w:vAlign w:val="center"/>
            <w:hideMark/>
          </w:tcPr>
          <w:p w14:paraId="51A6B4B9"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c>
          <w:tcPr>
            <w:tcW w:w="860" w:type="dxa"/>
            <w:shd w:val="clear" w:color="auto" w:fill="F2F2F2" w:themeFill="background1" w:themeFillShade="F2"/>
            <w:noWrap/>
            <w:vAlign w:val="center"/>
            <w:hideMark/>
          </w:tcPr>
          <w:p w14:paraId="036FF900"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0%</w:t>
            </w:r>
          </w:p>
        </w:tc>
        <w:tc>
          <w:tcPr>
            <w:tcW w:w="1100" w:type="dxa"/>
            <w:shd w:val="clear" w:color="auto" w:fill="F2F2F2" w:themeFill="background1" w:themeFillShade="F2"/>
            <w:noWrap/>
            <w:vAlign w:val="center"/>
            <w:hideMark/>
          </w:tcPr>
          <w:p w14:paraId="79B015AA" w14:textId="77777777" w:rsidR="00FE3FE8" w:rsidRPr="009A501D" w:rsidRDefault="00FE3FE8" w:rsidP="00224E0F">
            <w:pPr>
              <w:spacing w:after="0" w:line="240" w:lineRule="auto"/>
              <w:contextualSpacing/>
              <w:jc w:val="center"/>
              <w:rPr>
                <w:rFonts w:ascii="Century Gothic" w:eastAsia="Times New Roman" w:hAnsi="Century Gothic" w:cs="Calibri"/>
                <w:color w:val="000000"/>
                <w:sz w:val="16"/>
                <w:szCs w:val="16"/>
                <w:lang w:eastAsia="es-MX"/>
              </w:rPr>
            </w:pPr>
            <w:r w:rsidRPr="009A501D">
              <w:rPr>
                <w:rFonts w:ascii="Century Gothic" w:eastAsia="Times New Roman" w:hAnsi="Century Gothic" w:cs="Calibri"/>
                <w:color w:val="000000"/>
                <w:sz w:val="16"/>
                <w:szCs w:val="16"/>
                <w:lang w:eastAsia="es-MX"/>
              </w:rPr>
              <w:t>14%</w:t>
            </w:r>
          </w:p>
        </w:tc>
      </w:tr>
      <w:tr w:rsidR="00FE3FE8" w:rsidRPr="009A501D" w14:paraId="7ECF3A86" w14:textId="77777777" w:rsidTr="00224E0F">
        <w:trPr>
          <w:trHeight w:val="170"/>
        </w:trPr>
        <w:tc>
          <w:tcPr>
            <w:tcW w:w="880" w:type="dxa"/>
            <w:shd w:val="clear" w:color="auto" w:fill="002060"/>
            <w:noWrap/>
            <w:vAlign w:val="center"/>
            <w:hideMark/>
          </w:tcPr>
          <w:p w14:paraId="6502942E" w14:textId="77777777" w:rsidR="00FE3FE8" w:rsidRPr="009A501D" w:rsidRDefault="00FE3FE8" w:rsidP="00224E0F">
            <w:pPr>
              <w:spacing w:after="0" w:line="240" w:lineRule="auto"/>
              <w:contextualSpacing/>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2466" w:type="dxa"/>
            <w:shd w:val="clear" w:color="auto" w:fill="002060"/>
            <w:vAlign w:val="center"/>
            <w:hideMark/>
          </w:tcPr>
          <w:p w14:paraId="2EFB9309" w14:textId="77777777" w:rsidR="00FE3FE8" w:rsidRPr="009A501D" w:rsidRDefault="00FE3FE8" w:rsidP="00224E0F">
            <w:pPr>
              <w:spacing w:after="0" w:line="240" w:lineRule="auto"/>
              <w:contextualSpacing/>
              <w:jc w:val="right"/>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Total</w:t>
            </w:r>
          </w:p>
        </w:tc>
        <w:tc>
          <w:tcPr>
            <w:tcW w:w="902" w:type="dxa"/>
            <w:shd w:val="clear" w:color="auto" w:fill="002060"/>
            <w:noWrap/>
            <w:vAlign w:val="center"/>
            <w:hideMark/>
          </w:tcPr>
          <w:p w14:paraId="04449072" w14:textId="77777777" w:rsidR="00FE3FE8" w:rsidRPr="009A501D" w:rsidRDefault="00FE3FE8" w:rsidP="00224E0F">
            <w:pPr>
              <w:spacing w:after="0" w:line="240" w:lineRule="auto"/>
              <w:contextualSpacing/>
              <w:rPr>
                <w:rFonts w:ascii="Century Gothic" w:eastAsia="Times New Roman" w:hAnsi="Century Gothic" w:cs="Calibri"/>
                <w:color w:val="FFFFFF"/>
                <w:sz w:val="16"/>
                <w:szCs w:val="16"/>
                <w:lang w:eastAsia="es-MX"/>
              </w:rPr>
            </w:pPr>
            <w:r w:rsidRPr="009A501D">
              <w:rPr>
                <w:rFonts w:ascii="Century Gothic" w:eastAsia="Times New Roman" w:hAnsi="Century Gothic" w:cs="Calibri"/>
                <w:color w:val="FFFFFF"/>
                <w:sz w:val="16"/>
                <w:szCs w:val="16"/>
                <w:lang w:eastAsia="es-MX"/>
              </w:rPr>
              <w:t> </w:t>
            </w:r>
          </w:p>
        </w:tc>
        <w:tc>
          <w:tcPr>
            <w:tcW w:w="1312" w:type="dxa"/>
            <w:shd w:val="clear" w:color="auto" w:fill="002060"/>
            <w:noWrap/>
            <w:vAlign w:val="center"/>
            <w:hideMark/>
          </w:tcPr>
          <w:p w14:paraId="55662687"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10547.9</w:t>
            </w:r>
          </w:p>
        </w:tc>
        <w:tc>
          <w:tcPr>
            <w:tcW w:w="1480" w:type="dxa"/>
            <w:shd w:val="clear" w:color="auto" w:fill="002060"/>
            <w:noWrap/>
            <w:vAlign w:val="center"/>
            <w:hideMark/>
          </w:tcPr>
          <w:p w14:paraId="4AE0DCF6"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760" w:type="dxa"/>
            <w:shd w:val="clear" w:color="auto" w:fill="002060"/>
            <w:noWrap/>
            <w:vAlign w:val="center"/>
            <w:hideMark/>
          </w:tcPr>
          <w:p w14:paraId="2F89B3FE"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1200" w:type="dxa"/>
            <w:shd w:val="clear" w:color="auto" w:fill="002060"/>
            <w:noWrap/>
            <w:vAlign w:val="center"/>
            <w:hideMark/>
          </w:tcPr>
          <w:p w14:paraId="50CADCF5"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1000" w:type="dxa"/>
            <w:shd w:val="clear" w:color="auto" w:fill="002060"/>
            <w:noWrap/>
            <w:vAlign w:val="center"/>
            <w:hideMark/>
          </w:tcPr>
          <w:p w14:paraId="118B7A00"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1420" w:type="dxa"/>
            <w:shd w:val="clear" w:color="auto" w:fill="002060"/>
            <w:noWrap/>
            <w:vAlign w:val="center"/>
            <w:hideMark/>
          </w:tcPr>
          <w:p w14:paraId="2ED4010E"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1180" w:type="dxa"/>
            <w:shd w:val="clear" w:color="auto" w:fill="002060"/>
            <w:noWrap/>
            <w:vAlign w:val="center"/>
            <w:hideMark/>
          </w:tcPr>
          <w:p w14:paraId="163952A0"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860" w:type="dxa"/>
            <w:shd w:val="clear" w:color="auto" w:fill="002060"/>
            <w:noWrap/>
            <w:vAlign w:val="center"/>
            <w:hideMark/>
          </w:tcPr>
          <w:p w14:paraId="3023841D"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c>
          <w:tcPr>
            <w:tcW w:w="1100" w:type="dxa"/>
            <w:shd w:val="clear" w:color="auto" w:fill="002060"/>
            <w:noWrap/>
            <w:vAlign w:val="center"/>
            <w:hideMark/>
          </w:tcPr>
          <w:p w14:paraId="5D902B05" w14:textId="77777777" w:rsidR="00FE3FE8" w:rsidRPr="009A501D" w:rsidRDefault="00FE3FE8" w:rsidP="00224E0F">
            <w:pPr>
              <w:spacing w:after="0" w:line="240" w:lineRule="auto"/>
              <w:contextualSpacing/>
              <w:jc w:val="center"/>
              <w:rPr>
                <w:rFonts w:ascii="Century Gothic" w:eastAsia="Times New Roman" w:hAnsi="Century Gothic" w:cs="Calibri"/>
                <w:b/>
                <w:bCs/>
                <w:color w:val="FFFFFF"/>
                <w:sz w:val="16"/>
                <w:szCs w:val="16"/>
                <w:lang w:eastAsia="es-MX"/>
              </w:rPr>
            </w:pPr>
            <w:r w:rsidRPr="009A501D">
              <w:rPr>
                <w:rFonts w:ascii="Century Gothic" w:eastAsia="Times New Roman" w:hAnsi="Century Gothic" w:cs="Calibri"/>
                <w:b/>
                <w:bCs/>
                <w:color w:val="FFFFFF"/>
                <w:sz w:val="16"/>
                <w:szCs w:val="16"/>
                <w:lang w:eastAsia="es-MX"/>
              </w:rPr>
              <w:t> </w:t>
            </w:r>
          </w:p>
        </w:tc>
      </w:tr>
    </w:tbl>
    <w:p w14:paraId="41006621" w14:textId="0B56A899" w:rsidR="00514E11" w:rsidRPr="009A501D" w:rsidRDefault="00514E11" w:rsidP="00664A1D">
      <w:pPr>
        <w:spacing w:before="240"/>
        <w:rPr>
          <w:rFonts w:ascii="Century Gothic" w:hAnsi="Century Gothic"/>
          <w:sz w:val="19"/>
          <w:szCs w:val="19"/>
        </w:rPr>
      </w:pPr>
      <w:r w:rsidRPr="009A501D">
        <w:rPr>
          <w:rFonts w:ascii="Century Gothic" w:hAnsi="Century Gothic"/>
          <w:sz w:val="19"/>
          <w:szCs w:val="19"/>
        </w:rPr>
        <w:br w:type="page"/>
      </w:r>
    </w:p>
    <w:p w14:paraId="72DB16C8" w14:textId="18A93A1F" w:rsidR="00797776" w:rsidRPr="009A501D" w:rsidRDefault="00797776" w:rsidP="00664A1D">
      <w:pPr>
        <w:pStyle w:val="Ttulo2"/>
        <w:rPr>
          <w:rFonts w:ascii="Century Gothic" w:eastAsiaTheme="minorHAnsi" w:hAnsi="Century Gothic" w:cstheme="minorBidi"/>
          <w:bCs/>
          <w:color w:val="0079BF"/>
          <w:sz w:val="24"/>
          <w:szCs w:val="24"/>
        </w:rPr>
      </w:pPr>
      <w:bookmarkStart w:id="41" w:name="_Toc131161819"/>
      <w:r w:rsidRPr="009A501D">
        <w:rPr>
          <w:rFonts w:ascii="Century Gothic" w:eastAsiaTheme="minorHAnsi" w:hAnsi="Century Gothic" w:cstheme="minorBidi"/>
          <w:bCs/>
          <w:color w:val="0079BF"/>
          <w:sz w:val="24"/>
          <w:szCs w:val="24"/>
        </w:rPr>
        <w:lastRenderedPageBreak/>
        <w:t>Anexo 8: Registros en el Sistema de Seguimiento de Cambios</w:t>
      </w:r>
      <w:bookmarkEnd w:id="41"/>
    </w:p>
    <w:p w14:paraId="2FDC7EB1" w14:textId="665C500D" w:rsidR="00797776" w:rsidRPr="009A501D" w:rsidRDefault="00797776" w:rsidP="00664A1D">
      <w:pPr>
        <w:spacing w:before="240"/>
        <w:jc w:val="both"/>
        <w:rPr>
          <w:rFonts w:ascii="Century Gothic" w:hAnsi="Century Gothic"/>
          <w:sz w:val="19"/>
          <w:szCs w:val="19"/>
        </w:rPr>
      </w:pPr>
      <w:r w:rsidRPr="009A501D">
        <w:rPr>
          <w:rFonts w:ascii="Century Gothic" w:hAnsi="Century Gothic"/>
          <w:sz w:val="19"/>
          <w:szCs w:val="19"/>
        </w:rPr>
        <w:t xml:space="preserve">Los </w:t>
      </w:r>
      <w:r w:rsidRPr="009A501D">
        <w:rPr>
          <w:rFonts w:ascii="Century Gothic" w:hAnsi="Century Gothic"/>
          <w:i/>
          <w:sz w:val="19"/>
          <w:szCs w:val="19"/>
        </w:rPr>
        <w:t>Lineamientos del Proceso de Gestión de Cambios en los Programas de Información Estadística y Geográfica</w:t>
      </w:r>
      <w:r w:rsidRPr="009A501D">
        <w:rPr>
          <w:rFonts w:ascii="Century Gothic" w:hAnsi="Century Gothic"/>
          <w:sz w:val="19"/>
          <w:szCs w:val="19"/>
        </w:rPr>
        <w:t xml:space="preserve"> (Lineamientos) fueron aprobados por la Junta de Gobierno del INEGI en diciembre de 2019. El propósito de estos Lineamientos es establecer los pasos que se deben seguir para documentar los cambios que se realizan en los </w:t>
      </w:r>
      <w:r w:rsidR="00246796" w:rsidRPr="009A501D">
        <w:rPr>
          <w:rFonts w:ascii="Century Gothic" w:hAnsi="Century Gothic"/>
          <w:sz w:val="19"/>
          <w:szCs w:val="19"/>
        </w:rPr>
        <w:t>procesos de producción</w:t>
      </w:r>
      <w:r w:rsidRPr="009A501D">
        <w:rPr>
          <w:rFonts w:ascii="Century Gothic" w:hAnsi="Century Gothic"/>
          <w:sz w:val="19"/>
          <w:szCs w:val="19"/>
        </w:rPr>
        <w:t xml:space="preserve"> y que repercuten en su diseño. Esta documentación debe permitir conocer tanto el origen y tipo de cambio, como los efectos que tiene sobre los resultados.</w:t>
      </w:r>
    </w:p>
    <w:p w14:paraId="2BB193B2" w14:textId="69595125" w:rsidR="00797776" w:rsidRPr="009A501D" w:rsidRDefault="00797776" w:rsidP="00664A1D">
      <w:pPr>
        <w:spacing w:before="240"/>
        <w:jc w:val="both"/>
        <w:rPr>
          <w:rFonts w:ascii="Century Gothic" w:hAnsi="Century Gothic"/>
          <w:sz w:val="19"/>
          <w:szCs w:val="19"/>
        </w:rPr>
      </w:pPr>
      <w:r w:rsidRPr="009A501D">
        <w:rPr>
          <w:rFonts w:ascii="Century Gothic" w:hAnsi="Century Gothic"/>
          <w:sz w:val="19"/>
          <w:szCs w:val="19"/>
        </w:rPr>
        <w:t xml:space="preserve">Conforme a la </w:t>
      </w:r>
      <w:r w:rsidRPr="009A501D">
        <w:rPr>
          <w:rFonts w:ascii="Century Gothic" w:hAnsi="Century Gothic"/>
          <w:i/>
          <w:sz w:val="19"/>
          <w:szCs w:val="19"/>
        </w:rPr>
        <w:t xml:space="preserve">Norma </w:t>
      </w:r>
      <w:r w:rsidR="007F0FBE" w:rsidRPr="009A501D">
        <w:rPr>
          <w:rFonts w:ascii="Century Gothic" w:hAnsi="Century Gothic"/>
          <w:i/>
          <w:iCs/>
          <w:sz w:val="19"/>
          <w:szCs w:val="19"/>
        </w:rPr>
        <w:t xml:space="preserve">Técnica </w:t>
      </w:r>
      <w:r w:rsidRPr="009A501D">
        <w:rPr>
          <w:rFonts w:ascii="Century Gothic" w:hAnsi="Century Gothic"/>
          <w:i/>
          <w:sz w:val="19"/>
          <w:szCs w:val="19"/>
        </w:rPr>
        <w:t xml:space="preserve">del </w:t>
      </w:r>
      <w:r w:rsidR="007F0FBE" w:rsidRPr="009A501D">
        <w:rPr>
          <w:rFonts w:ascii="Century Gothic" w:hAnsi="Century Gothic"/>
          <w:i/>
          <w:iCs/>
          <w:sz w:val="19"/>
          <w:szCs w:val="19"/>
        </w:rPr>
        <w:t>Proceso de Producción de Información Estadística y Geográfica</w:t>
      </w:r>
      <w:r w:rsidR="007F0FBE" w:rsidRPr="009A501D">
        <w:rPr>
          <w:rFonts w:ascii="Century Gothic" w:hAnsi="Century Gothic"/>
          <w:sz w:val="19"/>
          <w:szCs w:val="19"/>
        </w:rPr>
        <w:t xml:space="preserve"> (NTPPIEG)</w:t>
      </w:r>
      <w:r w:rsidRPr="009A501D">
        <w:rPr>
          <w:rFonts w:ascii="Century Gothic" w:hAnsi="Century Gothic"/>
          <w:sz w:val="19"/>
          <w:szCs w:val="19"/>
        </w:rPr>
        <w:t>, en la fase de diseño se define lo que se va a ejecutar posteriormente. Dentro de las evidencias que deben generarse en esta fase se encuentran: el diseño conceptual, el diseño de los sistemas de producción y de los flujos de trabajo, el diseño de la captación, el diseño del marco muestral y tipo de muestreo (cuando corresponda), el diseño del procesamiento y análisis de la producción, así como el diseño del esquema de difusión que se utilizará. El proceso de gestión de cambios regulado en los Lineamientos se basa en estas evidencias para la documentación de los cambios.</w:t>
      </w:r>
    </w:p>
    <w:p w14:paraId="6B3960B2" w14:textId="69887F6E" w:rsidR="00797776" w:rsidRPr="009A501D" w:rsidRDefault="00797776" w:rsidP="00664A1D">
      <w:pPr>
        <w:spacing w:before="240"/>
        <w:jc w:val="both"/>
        <w:rPr>
          <w:rFonts w:ascii="Century Gothic" w:hAnsi="Century Gothic"/>
          <w:sz w:val="19"/>
          <w:szCs w:val="19"/>
        </w:rPr>
      </w:pPr>
      <w:r w:rsidRPr="009A501D">
        <w:rPr>
          <w:rFonts w:ascii="Century Gothic" w:hAnsi="Century Gothic"/>
          <w:sz w:val="19"/>
          <w:szCs w:val="19"/>
        </w:rPr>
        <w:t>Los Lineamientos prevén dos tipos de cambios: los previstos, es decir, aquellos que se realizan de forma planeada antes de la ejecución del proceso</w:t>
      </w:r>
      <w:r w:rsidR="006F248A" w:rsidRPr="009A501D">
        <w:rPr>
          <w:rFonts w:ascii="Century Gothic" w:hAnsi="Century Gothic"/>
          <w:sz w:val="19"/>
          <w:szCs w:val="19"/>
        </w:rPr>
        <w:t>, y</w:t>
      </w:r>
      <w:r w:rsidRPr="009A501D">
        <w:rPr>
          <w:rFonts w:ascii="Century Gothic" w:hAnsi="Century Gothic"/>
          <w:sz w:val="19"/>
          <w:szCs w:val="19"/>
        </w:rPr>
        <w:t xml:space="preserve"> los cambios no previstos, </w:t>
      </w:r>
      <w:r w:rsidR="006F248A" w:rsidRPr="009A501D">
        <w:rPr>
          <w:rFonts w:ascii="Century Gothic" w:hAnsi="Century Gothic"/>
          <w:sz w:val="19"/>
          <w:szCs w:val="19"/>
        </w:rPr>
        <w:t xml:space="preserve">que </w:t>
      </w:r>
      <w:r w:rsidRPr="009A501D">
        <w:rPr>
          <w:rFonts w:ascii="Century Gothic" w:hAnsi="Century Gothic"/>
          <w:sz w:val="19"/>
          <w:szCs w:val="19"/>
        </w:rPr>
        <w:t>ocurren si durante la ejecución del proceso se realizan actividades distintas a las establecidas en el diseño. A partir de la necesidad de documentar estos cambios, en octubre de 2020 fue liberado el Sistema de Seguimiento de Cambios.</w:t>
      </w:r>
    </w:p>
    <w:p w14:paraId="07C9D54C" w14:textId="535E23E6" w:rsidR="00797776" w:rsidRPr="009A501D" w:rsidRDefault="00797776" w:rsidP="00664A1D">
      <w:pPr>
        <w:spacing w:before="240"/>
        <w:jc w:val="both"/>
        <w:rPr>
          <w:rFonts w:ascii="Century Gothic" w:hAnsi="Century Gothic"/>
          <w:sz w:val="19"/>
          <w:szCs w:val="19"/>
        </w:rPr>
      </w:pPr>
      <w:r w:rsidRPr="009A501D">
        <w:rPr>
          <w:rFonts w:ascii="Century Gothic" w:hAnsi="Century Gothic"/>
          <w:sz w:val="19"/>
          <w:szCs w:val="19"/>
        </w:rPr>
        <w:t>En 2022 se registraron cambios al diseño de 6 procesos de producción</w:t>
      </w:r>
      <w:r w:rsidR="00B90BCB" w:rsidRPr="009A501D">
        <w:rPr>
          <w:rFonts w:ascii="Century Gothic" w:hAnsi="Century Gothic"/>
          <w:sz w:val="19"/>
          <w:szCs w:val="19"/>
        </w:rPr>
        <w:t>.</w:t>
      </w:r>
      <w:r w:rsidRPr="009A501D">
        <w:rPr>
          <w:rFonts w:ascii="Century Gothic" w:hAnsi="Century Gothic"/>
          <w:sz w:val="19"/>
          <w:szCs w:val="19"/>
        </w:rPr>
        <w:t xml:space="preserve"> </w:t>
      </w:r>
      <w:r w:rsidR="00B90BCB" w:rsidRPr="009A501D">
        <w:rPr>
          <w:rFonts w:ascii="Century Gothic" w:hAnsi="Century Gothic"/>
          <w:sz w:val="19"/>
          <w:szCs w:val="19"/>
        </w:rPr>
        <w:t>A</w:t>
      </w:r>
      <w:r w:rsidRPr="009A501D">
        <w:rPr>
          <w:rFonts w:ascii="Century Gothic" w:hAnsi="Century Gothic"/>
          <w:sz w:val="19"/>
          <w:szCs w:val="19"/>
        </w:rPr>
        <w:t xml:space="preserve"> continuación</w:t>
      </w:r>
      <w:r w:rsidR="00B90BCB" w:rsidRPr="009A501D">
        <w:rPr>
          <w:rFonts w:ascii="Century Gothic" w:hAnsi="Century Gothic"/>
          <w:sz w:val="19"/>
          <w:szCs w:val="19"/>
        </w:rPr>
        <w:t>,</w:t>
      </w:r>
      <w:r w:rsidRPr="009A501D">
        <w:rPr>
          <w:rFonts w:ascii="Century Gothic" w:hAnsi="Century Gothic"/>
          <w:sz w:val="19"/>
          <w:szCs w:val="19"/>
        </w:rPr>
        <w:t xml:space="preserve"> se describen las principales características de estos cambios.</w:t>
      </w:r>
    </w:p>
    <w:p w14:paraId="13973747" w14:textId="77777777" w:rsidR="00797776" w:rsidRPr="009A501D" w:rsidRDefault="00797776" w:rsidP="00224E0F">
      <w:pPr>
        <w:pStyle w:val="Prrafodelista"/>
        <w:numPr>
          <w:ilvl w:val="0"/>
          <w:numId w:val="19"/>
        </w:numPr>
        <w:spacing w:before="240" w:after="240"/>
        <w:ind w:left="284" w:hanging="284"/>
        <w:contextualSpacing w:val="0"/>
        <w:jc w:val="both"/>
        <w:rPr>
          <w:rFonts w:ascii="Century Gothic" w:hAnsi="Century Gothic"/>
          <w:color w:val="0079BF"/>
          <w:sz w:val="19"/>
          <w:szCs w:val="19"/>
        </w:rPr>
      </w:pPr>
      <w:r w:rsidRPr="009A501D">
        <w:rPr>
          <w:rFonts w:ascii="Century Gothic" w:hAnsi="Century Gothic"/>
          <w:color w:val="0079BF"/>
          <w:sz w:val="19"/>
          <w:szCs w:val="19"/>
        </w:rPr>
        <w:t>Encuesta Nacional de Calidad e Impacto Gubernamental (ENCIG)</w:t>
      </w:r>
    </w:p>
    <w:p w14:paraId="37F4E660" w14:textId="4B223D54" w:rsidR="00797776" w:rsidRPr="009A501D" w:rsidRDefault="00BD50AF" w:rsidP="00224E0F">
      <w:pPr>
        <w:pStyle w:val="Prrafodelista"/>
        <w:numPr>
          <w:ilvl w:val="0"/>
          <w:numId w:val="21"/>
        </w:numPr>
        <w:spacing w:before="240"/>
        <w:ind w:left="709" w:hanging="425"/>
        <w:jc w:val="both"/>
        <w:rPr>
          <w:rFonts w:ascii="Century Gothic" w:hAnsi="Century Gothic"/>
          <w:sz w:val="19"/>
          <w:szCs w:val="19"/>
        </w:rPr>
      </w:pPr>
      <w:r w:rsidRPr="009A501D">
        <w:rPr>
          <w:rFonts w:ascii="Century Gothic" w:hAnsi="Century Gothic"/>
          <w:sz w:val="19"/>
          <w:szCs w:val="19"/>
        </w:rPr>
        <w:t>S</w:t>
      </w:r>
      <w:r w:rsidR="00797776" w:rsidRPr="009A501D">
        <w:rPr>
          <w:rFonts w:ascii="Century Gothic" w:hAnsi="Century Gothic"/>
          <w:sz w:val="19"/>
          <w:szCs w:val="19"/>
        </w:rPr>
        <w:t>e identific</w:t>
      </w:r>
      <w:r w:rsidRPr="009A501D">
        <w:rPr>
          <w:rFonts w:ascii="Century Gothic" w:hAnsi="Century Gothic"/>
          <w:sz w:val="19"/>
          <w:szCs w:val="19"/>
        </w:rPr>
        <w:t>ó</w:t>
      </w:r>
      <w:r w:rsidR="00797776" w:rsidRPr="009A501D">
        <w:rPr>
          <w:rFonts w:ascii="Century Gothic" w:hAnsi="Century Gothic"/>
          <w:sz w:val="19"/>
          <w:szCs w:val="19"/>
        </w:rPr>
        <w:t xml:space="preserve"> la necesidad de contar con un indicador que mida la confianza de la población de 18 años y más, en la Administración Pública</w:t>
      </w:r>
      <w:r w:rsidRPr="009A501D">
        <w:rPr>
          <w:rFonts w:ascii="Century Gothic" w:hAnsi="Century Gothic"/>
          <w:sz w:val="19"/>
          <w:szCs w:val="19"/>
        </w:rPr>
        <w:t xml:space="preserve">. Este nuevo </w:t>
      </w:r>
      <w:r w:rsidR="00797776" w:rsidRPr="009A501D">
        <w:rPr>
          <w:rFonts w:ascii="Century Gothic" w:hAnsi="Century Gothic"/>
          <w:sz w:val="19"/>
          <w:szCs w:val="19"/>
        </w:rPr>
        <w:t>indicador permit</w:t>
      </w:r>
      <w:r w:rsidRPr="009A501D">
        <w:rPr>
          <w:rFonts w:ascii="Century Gothic" w:hAnsi="Century Gothic"/>
          <w:sz w:val="19"/>
          <w:szCs w:val="19"/>
        </w:rPr>
        <w:t>irá</w:t>
      </w:r>
      <w:r w:rsidR="00797776" w:rsidRPr="009A501D">
        <w:rPr>
          <w:rFonts w:ascii="Century Gothic" w:hAnsi="Century Gothic"/>
          <w:sz w:val="19"/>
          <w:szCs w:val="19"/>
        </w:rPr>
        <w:t xml:space="preserve"> la comparación con indicadores internacionales sugeridos por OCDE</w:t>
      </w:r>
      <w:r w:rsidR="00203785" w:rsidRPr="009A501D">
        <w:rPr>
          <w:rFonts w:ascii="Century Gothic" w:hAnsi="Century Gothic"/>
          <w:sz w:val="19"/>
          <w:szCs w:val="19"/>
        </w:rPr>
        <w:t xml:space="preserve"> para la Encuesta Mundial Gallup (EMG)</w:t>
      </w:r>
      <w:r w:rsidR="00797776" w:rsidRPr="009A501D">
        <w:rPr>
          <w:rFonts w:ascii="Century Gothic" w:hAnsi="Century Gothic"/>
          <w:sz w:val="19"/>
          <w:szCs w:val="19"/>
        </w:rPr>
        <w:t>.</w:t>
      </w:r>
    </w:p>
    <w:p w14:paraId="1782D4CB" w14:textId="77777777" w:rsidR="007F5B3F" w:rsidRPr="009A501D" w:rsidRDefault="007F5B3F" w:rsidP="00224E0F">
      <w:pPr>
        <w:pStyle w:val="Prrafodelista"/>
        <w:spacing w:before="240"/>
        <w:ind w:left="709" w:hanging="425"/>
        <w:jc w:val="both"/>
        <w:rPr>
          <w:rFonts w:ascii="Century Gothic" w:hAnsi="Century Gothic"/>
          <w:sz w:val="19"/>
          <w:szCs w:val="19"/>
        </w:rPr>
      </w:pPr>
    </w:p>
    <w:p w14:paraId="7123126B" w14:textId="56599118" w:rsidR="00BD50AF" w:rsidRPr="009A501D" w:rsidRDefault="00203785" w:rsidP="00224E0F">
      <w:pPr>
        <w:pStyle w:val="Prrafodelista"/>
        <w:spacing w:before="240"/>
        <w:ind w:left="709"/>
        <w:jc w:val="both"/>
        <w:rPr>
          <w:rFonts w:ascii="Century Gothic" w:hAnsi="Century Gothic"/>
          <w:sz w:val="19"/>
          <w:szCs w:val="19"/>
        </w:rPr>
      </w:pPr>
      <w:r w:rsidRPr="009A501D">
        <w:rPr>
          <w:rFonts w:ascii="Century Gothic" w:hAnsi="Century Gothic"/>
          <w:sz w:val="19"/>
          <w:szCs w:val="19"/>
        </w:rPr>
        <w:t>La ENCIG tiene como fin proveer información al público en general y ofrecer elementos para la toma de decisiones de política pública en materia de mejora regulatoria, combate contra la corrupción y mejora de los servicios públicos, por lo que se consideró adecuado incluir el nuevo indicador.  Se consideró el concepto de Confianza que propone la OCDE, el cual se define como la creencia de una persona de que otra persona o institución actuarán de manera consistente con sus expectativas de comportamiento positivo.  Parte de la premisa de que la confianza está influenciada por una amplia gama de factores, entre ellos la integridad del sector público, el nivel de apertura del gobierno, la calidad de los servicios y la equidad percibida.  Se complementó la ENCIG 2021 con una pregunta que indagara sobre la confianza que la población de 18 años y más tiene en las personas de su entorno cercano, de su entorno lejano y además en algunos actores principales o de primer contacto del ámbito gubernamental.</w:t>
      </w:r>
    </w:p>
    <w:p w14:paraId="3B375F8E" w14:textId="77777777" w:rsidR="00203785" w:rsidRPr="009A501D" w:rsidRDefault="00203785" w:rsidP="00224E0F">
      <w:pPr>
        <w:pStyle w:val="Prrafodelista"/>
        <w:spacing w:before="240"/>
        <w:ind w:left="709" w:hanging="425"/>
        <w:jc w:val="both"/>
        <w:rPr>
          <w:rFonts w:ascii="Century Gothic" w:hAnsi="Century Gothic"/>
          <w:sz w:val="19"/>
          <w:szCs w:val="19"/>
        </w:rPr>
      </w:pPr>
    </w:p>
    <w:p w14:paraId="697850B0" w14:textId="7BF767A9" w:rsidR="00BD50AF" w:rsidRPr="009A501D" w:rsidRDefault="00BD50AF" w:rsidP="00224E0F">
      <w:pPr>
        <w:pStyle w:val="Prrafodelista"/>
        <w:numPr>
          <w:ilvl w:val="0"/>
          <w:numId w:val="21"/>
        </w:numPr>
        <w:spacing w:before="240"/>
        <w:ind w:left="709" w:hanging="425"/>
        <w:jc w:val="both"/>
        <w:rPr>
          <w:rFonts w:ascii="Century Gothic" w:hAnsi="Century Gothic"/>
          <w:sz w:val="19"/>
          <w:szCs w:val="19"/>
        </w:rPr>
      </w:pPr>
      <w:r w:rsidRPr="009A501D">
        <w:rPr>
          <w:rFonts w:ascii="Century Gothic" w:hAnsi="Century Gothic"/>
          <w:sz w:val="19"/>
          <w:szCs w:val="19"/>
        </w:rPr>
        <w:t>Cambios en la administración federal provocaron la desaparición de algunas instituciones y programas sociales o su cambio de nombre, por tal motivo se identifica la necesidad de cambiar los nombres de estas instituciones o programas sociales en el diseño conceptual.</w:t>
      </w:r>
    </w:p>
    <w:p w14:paraId="5D50C56A" w14:textId="77777777" w:rsidR="00203785" w:rsidRPr="009A501D" w:rsidRDefault="00203785" w:rsidP="00224E0F">
      <w:pPr>
        <w:pStyle w:val="Prrafodelista"/>
        <w:spacing w:before="240"/>
        <w:ind w:left="709" w:hanging="425"/>
        <w:jc w:val="both"/>
        <w:rPr>
          <w:rFonts w:ascii="Century Gothic" w:hAnsi="Century Gothic"/>
          <w:sz w:val="19"/>
          <w:szCs w:val="19"/>
        </w:rPr>
      </w:pPr>
    </w:p>
    <w:p w14:paraId="0FD01E64" w14:textId="355C03C3" w:rsidR="00797776" w:rsidRPr="009A501D" w:rsidRDefault="00203785" w:rsidP="00224E0F">
      <w:pPr>
        <w:pStyle w:val="Prrafodelista"/>
        <w:spacing w:before="240"/>
        <w:ind w:left="709"/>
        <w:jc w:val="both"/>
        <w:rPr>
          <w:rFonts w:ascii="Century Gothic" w:hAnsi="Century Gothic"/>
          <w:sz w:val="19"/>
          <w:szCs w:val="19"/>
        </w:rPr>
      </w:pPr>
      <w:r w:rsidRPr="009A501D">
        <w:rPr>
          <w:rFonts w:ascii="Century Gothic" w:hAnsi="Century Gothic"/>
          <w:sz w:val="19"/>
          <w:szCs w:val="19"/>
        </w:rPr>
        <w:t>Los</w:t>
      </w:r>
      <w:r w:rsidR="00797776" w:rsidRPr="009A501D">
        <w:rPr>
          <w:rFonts w:ascii="Century Gothic" w:hAnsi="Century Gothic"/>
          <w:sz w:val="19"/>
          <w:szCs w:val="19"/>
        </w:rPr>
        <w:t xml:space="preserve"> nombre</w:t>
      </w:r>
      <w:r w:rsidRPr="009A501D">
        <w:rPr>
          <w:rFonts w:ascii="Century Gothic" w:hAnsi="Century Gothic"/>
          <w:sz w:val="19"/>
          <w:szCs w:val="19"/>
        </w:rPr>
        <w:t>s</w:t>
      </w:r>
      <w:r w:rsidR="00797776" w:rsidRPr="009A501D">
        <w:rPr>
          <w:rFonts w:ascii="Century Gothic" w:hAnsi="Century Gothic"/>
          <w:sz w:val="19"/>
          <w:szCs w:val="19"/>
        </w:rPr>
        <w:t xml:space="preserve"> de instituciones o programas sociales</w:t>
      </w:r>
      <w:r w:rsidRPr="009A501D">
        <w:rPr>
          <w:rFonts w:ascii="Century Gothic" w:hAnsi="Century Gothic"/>
          <w:sz w:val="19"/>
          <w:szCs w:val="19"/>
        </w:rPr>
        <w:t xml:space="preserve"> modificados fueron: </w:t>
      </w:r>
    </w:p>
    <w:p w14:paraId="3E2AADC8" w14:textId="45984C2C"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Instituto de Salud para el Bienestar (INSABI) (antes seguro popular).</w:t>
      </w:r>
    </w:p>
    <w:p w14:paraId="0659A821" w14:textId="35FF1E01"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Becas para el Bienestar Benito Juárez.</w:t>
      </w:r>
    </w:p>
    <w:p w14:paraId="38939EA1" w14:textId="172EDFC3"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 xml:space="preserve">Apoyo para el Bienestar de </w:t>
      </w:r>
      <w:proofErr w:type="gramStart"/>
      <w:r w:rsidRPr="009A501D">
        <w:rPr>
          <w:rFonts w:ascii="Century Gothic" w:hAnsi="Century Gothic"/>
          <w:sz w:val="19"/>
          <w:szCs w:val="19"/>
        </w:rPr>
        <w:t>las Niñas y Niños</w:t>
      </w:r>
      <w:proofErr w:type="gramEnd"/>
      <w:r w:rsidRPr="009A501D">
        <w:rPr>
          <w:rFonts w:ascii="Century Gothic" w:hAnsi="Century Gothic"/>
          <w:sz w:val="19"/>
          <w:szCs w:val="19"/>
        </w:rPr>
        <w:t>.</w:t>
      </w:r>
    </w:p>
    <w:p w14:paraId="12395983" w14:textId="7C4AF5AE"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lastRenderedPageBreak/>
        <w:t>Hijos de Madres Trabajadoras.</w:t>
      </w:r>
    </w:p>
    <w:p w14:paraId="3D2BB3F5" w14:textId="62C01D1A"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Pensión para Adultos Mayores.</w:t>
      </w:r>
    </w:p>
    <w:p w14:paraId="50A38EC7" w14:textId="7F296940"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Prospera (se elimina).</w:t>
      </w:r>
    </w:p>
    <w:p w14:paraId="2DA93ACA" w14:textId="72B7B149" w:rsidR="00797776" w:rsidRPr="009A501D" w:rsidRDefault="00797776" w:rsidP="00224E0F">
      <w:pPr>
        <w:pStyle w:val="Prrafodelista"/>
        <w:numPr>
          <w:ilvl w:val="2"/>
          <w:numId w:val="23"/>
        </w:numPr>
        <w:spacing w:before="240"/>
        <w:ind w:left="993" w:hanging="284"/>
        <w:jc w:val="both"/>
        <w:rPr>
          <w:rFonts w:ascii="Century Gothic" w:hAnsi="Century Gothic"/>
          <w:sz w:val="19"/>
          <w:szCs w:val="19"/>
        </w:rPr>
      </w:pPr>
      <w:r w:rsidRPr="009A501D">
        <w:rPr>
          <w:rFonts w:ascii="Century Gothic" w:hAnsi="Century Gothic"/>
          <w:sz w:val="19"/>
          <w:szCs w:val="19"/>
        </w:rPr>
        <w:t>Estancias infantiles (se elimina).</w:t>
      </w:r>
    </w:p>
    <w:p w14:paraId="6FF60A48" w14:textId="77777777" w:rsidR="00797776" w:rsidRPr="009A501D" w:rsidRDefault="00797776" w:rsidP="00224E0F">
      <w:pPr>
        <w:pStyle w:val="Prrafodelista"/>
        <w:numPr>
          <w:ilvl w:val="0"/>
          <w:numId w:val="19"/>
        </w:numPr>
        <w:spacing w:before="480"/>
        <w:ind w:left="714" w:hanging="357"/>
        <w:contextualSpacing w:val="0"/>
        <w:jc w:val="both"/>
        <w:rPr>
          <w:rFonts w:ascii="Century Gothic" w:hAnsi="Century Gothic"/>
          <w:color w:val="0079BF"/>
          <w:sz w:val="19"/>
          <w:szCs w:val="19"/>
        </w:rPr>
      </w:pPr>
      <w:r w:rsidRPr="009A501D">
        <w:rPr>
          <w:rFonts w:ascii="Century Gothic" w:hAnsi="Century Gothic"/>
          <w:color w:val="0079BF"/>
          <w:sz w:val="19"/>
          <w:szCs w:val="19"/>
        </w:rPr>
        <w:t>Encuesta Nacional sobre la Dinámica de las Relaciones en los Hogares (ENDIREH)</w:t>
      </w:r>
    </w:p>
    <w:p w14:paraId="3636A944" w14:textId="77777777" w:rsidR="00B93022" w:rsidRPr="009A501D" w:rsidRDefault="00797776" w:rsidP="00224E0F">
      <w:pPr>
        <w:spacing w:before="240"/>
        <w:ind w:left="426"/>
        <w:jc w:val="both"/>
        <w:rPr>
          <w:rFonts w:ascii="Century Gothic" w:hAnsi="Century Gothic"/>
          <w:sz w:val="19"/>
          <w:szCs w:val="19"/>
        </w:rPr>
      </w:pPr>
      <w:r w:rsidRPr="009A501D">
        <w:rPr>
          <w:rFonts w:ascii="Century Gothic" w:hAnsi="Century Gothic"/>
          <w:sz w:val="19"/>
          <w:szCs w:val="19"/>
        </w:rPr>
        <w:t xml:space="preserve">Con la finalidad de actualizar y fortalecer los instrumentos de captación de la Encuesta Nacional sobre la Dinámica de las Relaciones en los Hogares (ENDIREH) 2021, para tener mejores mediciones de la violencia contra las mujeres, se identificó la necesidad de realizar los siguientes cambios: </w:t>
      </w:r>
    </w:p>
    <w:p w14:paraId="428D800D" w14:textId="77777777" w:rsidR="00B93022" w:rsidRPr="009A501D" w:rsidRDefault="00797776" w:rsidP="00224E0F">
      <w:pPr>
        <w:pStyle w:val="Prrafodelista"/>
        <w:numPr>
          <w:ilvl w:val="0"/>
          <w:numId w:val="24"/>
        </w:numPr>
        <w:spacing w:before="240"/>
        <w:ind w:left="709" w:hanging="283"/>
        <w:jc w:val="both"/>
        <w:rPr>
          <w:rFonts w:ascii="Century Gothic" w:hAnsi="Century Gothic"/>
          <w:sz w:val="19"/>
          <w:szCs w:val="19"/>
        </w:rPr>
      </w:pPr>
      <w:r w:rsidRPr="009A501D">
        <w:rPr>
          <w:rFonts w:ascii="Century Gothic" w:hAnsi="Century Gothic"/>
          <w:sz w:val="19"/>
          <w:szCs w:val="19"/>
        </w:rPr>
        <w:t>Se actualizaron los programas sociales, servicios de salud e instituciones de interés, derivados de la nueva administración de gobierno</w:t>
      </w:r>
    </w:p>
    <w:p w14:paraId="67A246F1" w14:textId="09EA96D7" w:rsidR="00B93022" w:rsidRPr="009A501D" w:rsidRDefault="00B93022" w:rsidP="00224E0F">
      <w:pPr>
        <w:pStyle w:val="Prrafodelista"/>
        <w:numPr>
          <w:ilvl w:val="0"/>
          <w:numId w:val="24"/>
        </w:numPr>
        <w:spacing w:before="240"/>
        <w:ind w:left="709" w:hanging="283"/>
        <w:jc w:val="both"/>
        <w:rPr>
          <w:rFonts w:ascii="Century Gothic" w:hAnsi="Century Gothic"/>
          <w:sz w:val="19"/>
          <w:szCs w:val="19"/>
        </w:rPr>
      </w:pPr>
      <w:r w:rsidRPr="009A501D">
        <w:rPr>
          <w:rFonts w:ascii="Century Gothic" w:hAnsi="Century Gothic"/>
          <w:sz w:val="19"/>
          <w:szCs w:val="19"/>
        </w:rPr>
        <w:t>S</w:t>
      </w:r>
      <w:r w:rsidR="00797776" w:rsidRPr="009A501D">
        <w:rPr>
          <w:rFonts w:ascii="Century Gothic" w:hAnsi="Century Gothic"/>
          <w:sz w:val="19"/>
          <w:szCs w:val="19"/>
        </w:rPr>
        <w:t xml:space="preserve">e incorporó lenguaje incluyente para varias preguntas </w:t>
      </w:r>
    </w:p>
    <w:p w14:paraId="0007D003" w14:textId="5950163C" w:rsidR="00B93022" w:rsidRPr="009A501D" w:rsidRDefault="00B93022" w:rsidP="00224E0F">
      <w:pPr>
        <w:pStyle w:val="Prrafodelista"/>
        <w:numPr>
          <w:ilvl w:val="0"/>
          <w:numId w:val="24"/>
        </w:numPr>
        <w:spacing w:before="240"/>
        <w:ind w:left="709" w:hanging="283"/>
        <w:jc w:val="both"/>
        <w:rPr>
          <w:rFonts w:ascii="Century Gothic" w:hAnsi="Century Gothic"/>
          <w:sz w:val="19"/>
          <w:szCs w:val="19"/>
        </w:rPr>
      </w:pPr>
      <w:r w:rsidRPr="009A501D">
        <w:rPr>
          <w:rFonts w:ascii="Century Gothic" w:hAnsi="Century Gothic"/>
          <w:sz w:val="19"/>
          <w:szCs w:val="19"/>
        </w:rPr>
        <w:t xml:space="preserve">Se </w:t>
      </w:r>
      <w:r w:rsidR="00797776" w:rsidRPr="009A501D">
        <w:rPr>
          <w:rFonts w:ascii="Century Gothic" w:hAnsi="Century Gothic"/>
          <w:sz w:val="19"/>
          <w:szCs w:val="19"/>
        </w:rPr>
        <w:t>incluyeron reactivos para captar temáticas que se encontraban ausentes o se hicieron cambios en algunos existentes:</w:t>
      </w:r>
    </w:p>
    <w:p w14:paraId="78BD3FAF" w14:textId="07A95D39" w:rsidR="00B93022" w:rsidRPr="009A501D" w:rsidRDefault="002975D8"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l</w:t>
      </w:r>
      <w:r w:rsidR="00797776" w:rsidRPr="009A501D">
        <w:rPr>
          <w:rFonts w:ascii="Century Gothic" w:hAnsi="Century Gothic"/>
          <w:sz w:val="19"/>
          <w:szCs w:val="19"/>
        </w:rPr>
        <w:t xml:space="preserve">a condición de discapacidad de la mujer elegida </w:t>
      </w:r>
    </w:p>
    <w:p w14:paraId="517AFEB6" w14:textId="076A0025"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 xml:space="preserve">el conocimiento de la existencia de protocolos y mecanismos de actuación para la atención de casos de violencia de género implementados en la institución a la que acude a estudiar o a trabajar </w:t>
      </w:r>
    </w:p>
    <w:p w14:paraId="352BA88D" w14:textId="77777777"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 xml:space="preserve">un reactivo para mejorar la captación sobre violencia digital y </w:t>
      </w:r>
    </w:p>
    <w:p w14:paraId="503279F0" w14:textId="1C4DD9FE"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una pregunta para evaluar la situación de violencia contra las mujeres durante el periodo de epidemia por</w:t>
      </w:r>
      <w:r w:rsidR="00F141AF" w:rsidRPr="009A501D">
        <w:rPr>
          <w:rFonts w:ascii="Century Gothic" w:hAnsi="Century Gothic"/>
          <w:sz w:val="19"/>
          <w:szCs w:val="19"/>
        </w:rPr>
        <w:t xml:space="preserve"> el virus</w:t>
      </w:r>
      <w:r w:rsidRPr="009A501D">
        <w:rPr>
          <w:rFonts w:ascii="Century Gothic" w:hAnsi="Century Gothic"/>
          <w:sz w:val="19"/>
          <w:szCs w:val="19"/>
        </w:rPr>
        <w:t xml:space="preserve"> SARS-COV-2 en los ámbitos familiar y de pareja derivado del confinamiento y de la suspensión de actividades escolares, laborales y económicas</w:t>
      </w:r>
    </w:p>
    <w:p w14:paraId="3D3E86C9" w14:textId="6E226DA3"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se incorporaron dos preguntas que captan insultos hacia los(as) hijos(as) por parte de la mujer y/o su esposo o pareja (exesposo, expareja o exnovio), en tanto que se produzca una situación de enojo, lo que permitirá indagar sobre un tipo de maltrato verbal que puede manifestarse en mayor medida hacia los(as) hijos(as)</w:t>
      </w:r>
    </w:p>
    <w:p w14:paraId="02F2956C" w14:textId="3FB7A9F0" w:rsidR="00B93022" w:rsidRPr="009A501D" w:rsidRDefault="00B93022"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 xml:space="preserve">Se </w:t>
      </w:r>
      <w:r w:rsidR="00797776" w:rsidRPr="009A501D">
        <w:rPr>
          <w:rFonts w:ascii="Century Gothic" w:hAnsi="Century Gothic"/>
          <w:sz w:val="19"/>
          <w:szCs w:val="19"/>
        </w:rPr>
        <w:t>incorporó información de temas vinculados al objetivo 5 de los Objetivos de Desarrollo Sostenible y sobre participación política</w:t>
      </w:r>
    </w:p>
    <w:p w14:paraId="4F45EA56" w14:textId="6F360E51"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 xml:space="preserve"> se redujo el número de reactivos del apartado sobre tensiones y conflictos de acuerdo con los resultados obtenidos en la ENDIREH 2016, a fin de dar mayor agilidad al instrumento y mejorar la calidad de la información sobre el tema</w:t>
      </w:r>
    </w:p>
    <w:p w14:paraId="39D03B43" w14:textId="5A67E56C" w:rsidR="00B93022" w:rsidRPr="009A501D" w:rsidRDefault="00797776"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se adecuó el apartado sobre roles de género a las mejores prácticas internacionales</w:t>
      </w:r>
    </w:p>
    <w:p w14:paraId="7CCC8871" w14:textId="4A514705" w:rsidR="00797776" w:rsidRPr="009A501D" w:rsidRDefault="002975D8" w:rsidP="00224E0F">
      <w:pPr>
        <w:pStyle w:val="Prrafodelista"/>
        <w:numPr>
          <w:ilvl w:val="1"/>
          <w:numId w:val="24"/>
        </w:numPr>
        <w:spacing w:before="240"/>
        <w:ind w:left="993" w:hanging="284"/>
        <w:jc w:val="both"/>
        <w:rPr>
          <w:rFonts w:ascii="Century Gothic" w:hAnsi="Century Gothic"/>
          <w:sz w:val="19"/>
          <w:szCs w:val="19"/>
        </w:rPr>
      </w:pPr>
      <w:r w:rsidRPr="009A501D">
        <w:rPr>
          <w:rFonts w:ascii="Century Gothic" w:hAnsi="Century Gothic"/>
          <w:sz w:val="19"/>
          <w:szCs w:val="19"/>
        </w:rPr>
        <w:t>en</w:t>
      </w:r>
      <w:r w:rsidR="00797776" w:rsidRPr="009A501D">
        <w:rPr>
          <w:rFonts w:ascii="Century Gothic" w:hAnsi="Century Gothic"/>
          <w:sz w:val="19"/>
          <w:szCs w:val="19"/>
        </w:rPr>
        <w:t xml:space="preserve"> el apartado sobre búsqueda de apoyo y denuncia, </w:t>
      </w:r>
      <w:r w:rsidR="00B93022" w:rsidRPr="009A501D">
        <w:rPr>
          <w:rFonts w:ascii="Century Gothic" w:hAnsi="Century Gothic"/>
          <w:sz w:val="19"/>
          <w:szCs w:val="19"/>
        </w:rPr>
        <w:t xml:space="preserve">se precisó </w:t>
      </w:r>
      <w:r w:rsidR="00797776" w:rsidRPr="009A501D">
        <w:rPr>
          <w:rFonts w:ascii="Century Gothic" w:hAnsi="Century Gothic"/>
          <w:sz w:val="19"/>
          <w:szCs w:val="19"/>
        </w:rPr>
        <w:t>el año de petición de atención/denuncia, instituciones/organizaciones y motivos de la solicitud de atención y presentación de denuncia, para los diferentes ámbitos.</w:t>
      </w:r>
    </w:p>
    <w:p w14:paraId="2B1E7451" w14:textId="77777777" w:rsidR="00224E0F" w:rsidRPr="009A501D" w:rsidRDefault="00224E0F" w:rsidP="00224E0F">
      <w:pPr>
        <w:pStyle w:val="Prrafodelista"/>
        <w:spacing w:before="240"/>
        <w:ind w:left="993"/>
        <w:jc w:val="both"/>
        <w:rPr>
          <w:rFonts w:ascii="Century Gothic" w:hAnsi="Century Gothic"/>
          <w:sz w:val="19"/>
          <w:szCs w:val="19"/>
        </w:rPr>
      </w:pPr>
    </w:p>
    <w:p w14:paraId="3F348F0F" w14:textId="77777777" w:rsidR="00797776" w:rsidRPr="009A501D" w:rsidRDefault="00797776" w:rsidP="00664A1D">
      <w:pPr>
        <w:pStyle w:val="Prrafodelista"/>
        <w:numPr>
          <w:ilvl w:val="0"/>
          <w:numId w:val="19"/>
        </w:numPr>
        <w:spacing w:before="240"/>
        <w:jc w:val="both"/>
        <w:rPr>
          <w:rFonts w:ascii="Century Gothic" w:hAnsi="Century Gothic"/>
          <w:color w:val="0079BF"/>
          <w:sz w:val="19"/>
          <w:szCs w:val="19"/>
        </w:rPr>
      </w:pPr>
      <w:r w:rsidRPr="009A501D">
        <w:rPr>
          <w:rFonts w:ascii="Century Gothic" w:hAnsi="Century Gothic"/>
          <w:color w:val="0079BF"/>
          <w:sz w:val="19"/>
          <w:szCs w:val="19"/>
        </w:rPr>
        <w:t>Censo Nacional de Transparencia, Acceso a la Información Pública y Protección de Datos Personales Estatal (CNTAIPPDPE)</w:t>
      </w:r>
    </w:p>
    <w:p w14:paraId="0718B2CB" w14:textId="317BF0DD" w:rsidR="00D25D0C" w:rsidRPr="009A501D" w:rsidRDefault="00D25D0C" w:rsidP="00224E0F">
      <w:pPr>
        <w:spacing w:before="240"/>
        <w:ind w:left="426"/>
        <w:jc w:val="both"/>
        <w:rPr>
          <w:rFonts w:ascii="Century Gothic" w:hAnsi="Century Gothic"/>
          <w:sz w:val="19"/>
          <w:szCs w:val="19"/>
        </w:rPr>
      </w:pPr>
      <w:r w:rsidRPr="009A501D">
        <w:rPr>
          <w:rFonts w:ascii="Century Gothic" w:hAnsi="Century Gothic"/>
          <w:sz w:val="19"/>
          <w:szCs w:val="19"/>
        </w:rPr>
        <w:t>Se requirieron</w:t>
      </w:r>
      <w:r w:rsidR="00797776" w:rsidRPr="009A501D">
        <w:rPr>
          <w:rFonts w:ascii="Century Gothic" w:hAnsi="Century Gothic"/>
          <w:sz w:val="19"/>
          <w:szCs w:val="19"/>
        </w:rPr>
        <w:t xml:space="preserve"> ajustes sustantivos a las preguntas que lo conforman, así como algunas adiciones a los contenidos que hacen parte de este </w:t>
      </w:r>
      <w:r w:rsidR="00246796" w:rsidRPr="009A501D">
        <w:rPr>
          <w:rFonts w:ascii="Century Gothic" w:hAnsi="Century Gothic"/>
          <w:sz w:val="19"/>
          <w:szCs w:val="19"/>
        </w:rPr>
        <w:t>proceso</w:t>
      </w:r>
      <w:r w:rsidR="00797776" w:rsidRPr="009A501D">
        <w:rPr>
          <w:rFonts w:ascii="Century Gothic" w:hAnsi="Century Gothic"/>
          <w:sz w:val="19"/>
          <w:szCs w:val="19"/>
        </w:rPr>
        <w:t xml:space="preserve"> estadístico. Dichos cambios resultan de los procesos de estandarización de contenidos transversales entre los censos nacionales de gobierno, de las observaciones de especialistas y operadores en la materia, así como de la identificación de necesidades de información realizada por el personal de la Dirección General Adjunta de Políticas y Censos Nacionales de Gobierno. Cabe destacar que, para este </w:t>
      </w:r>
      <w:r w:rsidR="00246796" w:rsidRPr="009A501D">
        <w:rPr>
          <w:rFonts w:ascii="Century Gothic" w:hAnsi="Century Gothic"/>
          <w:sz w:val="19"/>
          <w:szCs w:val="19"/>
        </w:rPr>
        <w:t>proceso</w:t>
      </w:r>
      <w:r w:rsidR="00797776" w:rsidRPr="009A501D">
        <w:rPr>
          <w:rFonts w:ascii="Century Gothic" w:hAnsi="Century Gothic"/>
          <w:sz w:val="19"/>
          <w:szCs w:val="19"/>
        </w:rPr>
        <w:t xml:space="preserve"> en específico, se llevaron a cabo reuniones de trabajo con las unidades administrativas del Instituto Nacional de Transparencia, Acceso a la Información y Protección de Datos Personales </w:t>
      </w:r>
      <w:r w:rsidR="00797776" w:rsidRPr="009A501D">
        <w:rPr>
          <w:rFonts w:ascii="Century Gothic" w:hAnsi="Century Gothic"/>
          <w:sz w:val="19"/>
          <w:szCs w:val="19"/>
        </w:rPr>
        <w:lastRenderedPageBreak/>
        <w:t>que participan en el llenado de la información de la versión federal de este censo. Los principales cambios que se requieren derivan de estos ejercicios y se concentran en</w:t>
      </w:r>
      <w:r w:rsidRPr="009A501D">
        <w:rPr>
          <w:rFonts w:ascii="Century Gothic" w:hAnsi="Century Gothic"/>
          <w:sz w:val="19"/>
          <w:szCs w:val="19"/>
        </w:rPr>
        <w:t>:</w:t>
      </w:r>
    </w:p>
    <w:p w14:paraId="19E24346" w14:textId="77777777" w:rsidR="00D25D0C" w:rsidRPr="009A501D" w:rsidRDefault="00797776" w:rsidP="00224E0F">
      <w:pPr>
        <w:pStyle w:val="Prrafodelista"/>
        <w:numPr>
          <w:ilvl w:val="0"/>
          <w:numId w:val="25"/>
        </w:numPr>
        <w:spacing w:before="240"/>
        <w:ind w:left="993" w:hanging="284"/>
        <w:jc w:val="both"/>
        <w:rPr>
          <w:rFonts w:ascii="Century Gothic" w:hAnsi="Century Gothic"/>
          <w:sz w:val="19"/>
          <w:szCs w:val="19"/>
        </w:rPr>
      </w:pPr>
      <w:r w:rsidRPr="009A501D">
        <w:rPr>
          <w:rFonts w:ascii="Century Gothic" w:hAnsi="Century Gothic"/>
          <w:sz w:val="19"/>
          <w:szCs w:val="19"/>
        </w:rPr>
        <w:t xml:space="preserve">la garantía del acceso a la información pública y de </w:t>
      </w:r>
    </w:p>
    <w:p w14:paraId="4C71C0EF" w14:textId="41A34560" w:rsidR="00797776" w:rsidRPr="009A501D" w:rsidRDefault="00797776" w:rsidP="00224E0F">
      <w:pPr>
        <w:pStyle w:val="Prrafodelista"/>
        <w:numPr>
          <w:ilvl w:val="0"/>
          <w:numId w:val="25"/>
        </w:numPr>
        <w:spacing w:before="240"/>
        <w:ind w:left="993" w:hanging="284"/>
        <w:jc w:val="both"/>
        <w:rPr>
          <w:rFonts w:ascii="Century Gothic" w:hAnsi="Century Gothic"/>
          <w:sz w:val="19"/>
          <w:szCs w:val="19"/>
        </w:rPr>
      </w:pPr>
      <w:r w:rsidRPr="009A501D">
        <w:rPr>
          <w:rFonts w:ascii="Century Gothic" w:hAnsi="Century Gothic"/>
          <w:sz w:val="19"/>
          <w:szCs w:val="19"/>
        </w:rPr>
        <w:t>la protección de los datos personales.</w:t>
      </w:r>
    </w:p>
    <w:p w14:paraId="2FA94CD1" w14:textId="77777777" w:rsidR="00797776" w:rsidRPr="009A501D" w:rsidRDefault="00797776" w:rsidP="00224E0F">
      <w:pPr>
        <w:pStyle w:val="Prrafodelista"/>
        <w:spacing w:before="240"/>
        <w:ind w:left="993"/>
        <w:jc w:val="both"/>
        <w:rPr>
          <w:rFonts w:ascii="Century Gothic" w:hAnsi="Century Gothic"/>
          <w:sz w:val="19"/>
          <w:szCs w:val="19"/>
        </w:rPr>
      </w:pPr>
    </w:p>
    <w:p w14:paraId="75030EB8" w14:textId="77777777" w:rsidR="00797776" w:rsidRPr="009A501D" w:rsidRDefault="00797776" w:rsidP="00224E0F">
      <w:pPr>
        <w:pStyle w:val="Prrafodelista"/>
        <w:numPr>
          <w:ilvl w:val="0"/>
          <w:numId w:val="19"/>
        </w:numPr>
        <w:spacing w:before="240"/>
        <w:ind w:left="714" w:hanging="357"/>
        <w:contextualSpacing w:val="0"/>
        <w:jc w:val="both"/>
        <w:rPr>
          <w:rFonts w:ascii="Century Gothic" w:hAnsi="Century Gothic"/>
          <w:color w:val="0079BF"/>
          <w:sz w:val="19"/>
          <w:szCs w:val="19"/>
        </w:rPr>
      </w:pPr>
      <w:r w:rsidRPr="009A501D">
        <w:rPr>
          <w:rFonts w:ascii="Century Gothic" w:hAnsi="Century Gothic"/>
          <w:color w:val="0079BF"/>
          <w:sz w:val="19"/>
          <w:szCs w:val="19"/>
        </w:rPr>
        <w:t>Censo Nacional de Gobiernos Municipales y Demarcaciones Territoriales de la Ciudad de México (CNGMD)</w:t>
      </w:r>
    </w:p>
    <w:p w14:paraId="7428B105" w14:textId="29CDC6FE" w:rsidR="002975D8" w:rsidRPr="009A501D" w:rsidRDefault="002975D8" w:rsidP="00224E0F">
      <w:pPr>
        <w:pStyle w:val="Prrafodelista"/>
        <w:numPr>
          <w:ilvl w:val="0"/>
          <w:numId w:val="28"/>
        </w:numPr>
        <w:spacing w:before="240"/>
        <w:ind w:left="993" w:hanging="284"/>
        <w:jc w:val="both"/>
        <w:rPr>
          <w:rFonts w:ascii="Century Gothic" w:hAnsi="Century Gothic"/>
          <w:sz w:val="19"/>
          <w:szCs w:val="19"/>
        </w:rPr>
      </w:pPr>
      <w:r w:rsidRPr="009A501D">
        <w:rPr>
          <w:rFonts w:ascii="Century Gothic" w:hAnsi="Century Gothic"/>
          <w:sz w:val="19"/>
          <w:szCs w:val="19"/>
        </w:rPr>
        <w:t xml:space="preserve">Se </w:t>
      </w:r>
      <w:r w:rsidR="00797776" w:rsidRPr="009A501D">
        <w:rPr>
          <w:rFonts w:ascii="Century Gothic" w:hAnsi="Century Gothic"/>
          <w:sz w:val="19"/>
          <w:szCs w:val="19"/>
        </w:rPr>
        <w:t xml:space="preserve">requiere realizar ajustes sustantivos a las preguntas que lo conforman, así como algunas adiciones a los contenidos que hacen parte de este </w:t>
      </w:r>
      <w:r w:rsidR="00246796" w:rsidRPr="009A501D">
        <w:rPr>
          <w:rFonts w:ascii="Century Gothic" w:hAnsi="Century Gothic"/>
          <w:sz w:val="19"/>
          <w:szCs w:val="19"/>
        </w:rPr>
        <w:t>proceso</w:t>
      </w:r>
      <w:r w:rsidR="00797776" w:rsidRPr="009A501D">
        <w:rPr>
          <w:rFonts w:ascii="Century Gothic" w:hAnsi="Century Gothic"/>
          <w:sz w:val="19"/>
          <w:szCs w:val="19"/>
        </w:rPr>
        <w:t xml:space="preserve"> estadístico. Dichos cambios resultan de los procesos de estandarización de contenidos transversales entre los censos nacionales de gobierno relacionados con el proceso de seguridad pública y justicia penal, de las observaciones de especialistas y operadores en la materia, del diagnóstico contenido en la Política Nacional Anticorrupción, así como de la identificación de necesidades de información realizada por el personal de la Dirección General Adjunta de Políticas y Censos Nacionales de Gobierno. Cabe destacar que, para este </w:t>
      </w:r>
      <w:r w:rsidR="00246796" w:rsidRPr="009A501D">
        <w:rPr>
          <w:rFonts w:ascii="Century Gothic" w:hAnsi="Century Gothic"/>
          <w:sz w:val="19"/>
          <w:szCs w:val="19"/>
        </w:rPr>
        <w:t>proceso</w:t>
      </w:r>
      <w:r w:rsidR="00797776" w:rsidRPr="009A501D">
        <w:rPr>
          <w:rFonts w:ascii="Century Gothic" w:hAnsi="Century Gothic"/>
          <w:sz w:val="19"/>
          <w:szCs w:val="19"/>
        </w:rPr>
        <w:t xml:space="preserve"> en específico, se llevaron a cabo diversas reuniones y ejercicios de consulta con especialistas y usuarios especializados de la información en materia de gobierno, mismos que pertenecen a instituciones como el Centro de Investigación y Docencia Económicas (CIDE), el Centro de Investigaciones y Estudios Superiores en Antropología Social (CIESAS), el Colegio de la Frontera Norte (COLEF), la Facultad Latinoamericana de Ciencias Sociales (FLACSO), el Instituto de Geografía de la Universidad Nacional Autónoma de México (UNAM) y el Instituto Nacional para el Federalismo y el Desarrollo Municipal (INAFED). </w:t>
      </w:r>
    </w:p>
    <w:p w14:paraId="5CEE6AF1" w14:textId="684C7745" w:rsidR="002975D8" w:rsidRPr="009A501D" w:rsidRDefault="00797776" w:rsidP="00224E0F">
      <w:pPr>
        <w:spacing w:before="240"/>
        <w:ind w:left="360" w:firstLine="633"/>
        <w:jc w:val="both"/>
        <w:rPr>
          <w:rFonts w:ascii="Century Gothic" w:hAnsi="Century Gothic"/>
          <w:sz w:val="19"/>
          <w:szCs w:val="19"/>
        </w:rPr>
      </w:pPr>
      <w:r w:rsidRPr="009A501D">
        <w:rPr>
          <w:rFonts w:ascii="Century Gothic" w:hAnsi="Century Gothic"/>
          <w:sz w:val="19"/>
          <w:szCs w:val="19"/>
        </w:rPr>
        <w:t xml:space="preserve">Los principales </w:t>
      </w:r>
      <w:r w:rsidR="002975D8" w:rsidRPr="009A501D">
        <w:rPr>
          <w:rFonts w:ascii="Century Gothic" w:hAnsi="Century Gothic"/>
          <w:sz w:val="19"/>
          <w:szCs w:val="19"/>
        </w:rPr>
        <w:t xml:space="preserve">realizados se </w:t>
      </w:r>
      <w:r w:rsidRPr="009A501D">
        <w:rPr>
          <w:rFonts w:ascii="Century Gothic" w:hAnsi="Century Gothic"/>
          <w:sz w:val="19"/>
          <w:szCs w:val="19"/>
        </w:rPr>
        <w:t>concentra</w:t>
      </w:r>
      <w:r w:rsidR="002975D8" w:rsidRPr="009A501D">
        <w:rPr>
          <w:rFonts w:ascii="Century Gothic" w:hAnsi="Century Gothic"/>
          <w:sz w:val="19"/>
          <w:szCs w:val="19"/>
        </w:rPr>
        <w:t>ron</w:t>
      </w:r>
      <w:r w:rsidRPr="009A501D">
        <w:rPr>
          <w:rFonts w:ascii="Century Gothic" w:hAnsi="Century Gothic"/>
          <w:sz w:val="19"/>
          <w:szCs w:val="19"/>
        </w:rPr>
        <w:t xml:space="preserve"> en los temas de</w:t>
      </w:r>
      <w:r w:rsidR="002975D8" w:rsidRPr="009A501D">
        <w:rPr>
          <w:rFonts w:ascii="Century Gothic" w:hAnsi="Century Gothic"/>
          <w:sz w:val="19"/>
          <w:szCs w:val="19"/>
        </w:rPr>
        <w:t>:</w:t>
      </w:r>
      <w:r w:rsidRPr="009A501D">
        <w:rPr>
          <w:rFonts w:ascii="Century Gothic" w:hAnsi="Century Gothic"/>
          <w:sz w:val="19"/>
          <w:szCs w:val="19"/>
        </w:rPr>
        <w:t xml:space="preserve"> </w:t>
      </w:r>
    </w:p>
    <w:p w14:paraId="795CD201" w14:textId="4B58DCC6" w:rsidR="002975D8"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participación ciudadana</w:t>
      </w:r>
    </w:p>
    <w:p w14:paraId="60F1226D" w14:textId="2F9FAED8" w:rsidR="002975D8"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protección civil </w:t>
      </w:r>
    </w:p>
    <w:p w14:paraId="074EA43A" w14:textId="4980ABD2" w:rsidR="002975D8"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prestación de los servicios públicos municipales</w:t>
      </w:r>
    </w:p>
    <w:p w14:paraId="442AC035" w14:textId="77777777" w:rsidR="007F5B3F" w:rsidRPr="009A501D" w:rsidRDefault="007F5B3F" w:rsidP="007F5B3F">
      <w:pPr>
        <w:pStyle w:val="Prrafodelista"/>
        <w:spacing w:before="240"/>
        <w:ind w:left="1080"/>
        <w:jc w:val="both"/>
        <w:rPr>
          <w:rFonts w:ascii="Century Gothic" w:hAnsi="Century Gothic"/>
          <w:sz w:val="19"/>
          <w:szCs w:val="19"/>
        </w:rPr>
      </w:pPr>
    </w:p>
    <w:p w14:paraId="44BB9ABD" w14:textId="791B8965" w:rsidR="00701316" w:rsidRPr="009A501D" w:rsidRDefault="002975D8" w:rsidP="00224E0F">
      <w:pPr>
        <w:pStyle w:val="Prrafodelista"/>
        <w:numPr>
          <w:ilvl w:val="0"/>
          <w:numId w:val="29"/>
        </w:numPr>
        <w:spacing w:before="240"/>
        <w:ind w:left="993" w:hanging="284"/>
        <w:jc w:val="both"/>
        <w:rPr>
          <w:rFonts w:ascii="Century Gothic" w:hAnsi="Century Gothic"/>
          <w:sz w:val="19"/>
          <w:szCs w:val="19"/>
        </w:rPr>
      </w:pPr>
      <w:r w:rsidRPr="009A501D">
        <w:rPr>
          <w:rFonts w:ascii="Century Gothic" w:hAnsi="Century Gothic"/>
          <w:sz w:val="19"/>
          <w:szCs w:val="19"/>
        </w:rPr>
        <w:t>Adicionalmente, c</w:t>
      </w:r>
      <w:r w:rsidR="00797776" w:rsidRPr="009A501D">
        <w:rPr>
          <w:rFonts w:ascii="Century Gothic" w:hAnsi="Century Gothic"/>
          <w:sz w:val="19"/>
          <w:szCs w:val="19"/>
        </w:rPr>
        <w:t xml:space="preserve">omo parte de la prestación de estos servicios públicos municipales, y en el marco de la mejora de los instrumentos de captación de la Recopilación de Información de los Cementerios Públicos en las Zonas Metropolitanas del País 2020, se celebraron encuentros con el personal de la Dirección de Operaciones de Búsqueda de la Comisión Nacional de Búsqueda de la Secretaría de Gobernación. En materia de seguridad pública y justicia, tuvo lugar una serie de reuniones de trabajo con diversas instituciones relacionadas con dichas materias, entre las que se encuentran el Centro Nacional de Información del Secretariado Ejecutivo del Sistema Nacional de Seguridad Pública, y secretarías de seguridad pública tanto estatales como municipales. También tuvieron lugar sesiones con organizaciones de la sociedad civil y especialistas en el tema. </w:t>
      </w:r>
      <w:r w:rsidR="00701316" w:rsidRPr="009A501D">
        <w:rPr>
          <w:rFonts w:ascii="Century Gothic" w:hAnsi="Century Gothic"/>
          <w:sz w:val="19"/>
          <w:szCs w:val="19"/>
        </w:rPr>
        <w:t>Con el objetivo que el CNGMD 2021 contribuya a reflejar la realidad en la que operan las instituciones de seguridad pública de los municipios del país, se realizaron cambios en los siguientes temas:</w:t>
      </w:r>
    </w:p>
    <w:p w14:paraId="7AEBCD0B" w14:textId="2A004421" w:rsidR="0070131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implementación del Modelo Homologado de Justicia Cívica </w:t>
      </w:r>
    </w:p>
    <w:p w14:paraId="27F7FFBE" w14:textId="57924304" w:rsidR="0070131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dignificación del servicio del personal, las Unidades de Asuntos </w:t>
      </w:r>
      <w:r w:rsidR="00701316" w:rsidRPr="009A501D">
        <w:rPr>
          <w:rFonts w:ascii="Century Gothic" w:hAnsi="Century Gothic"/>
          <w:sz w:val="19"/>
          <w:szCs w:val="19"/>
        </w:rPr>
        <w:t>Internos</w:t>
      </w:r>
      <w:r w:rsidRPr="009A501D">
        <w:rPr>
          <w:rFonts w:ascii="Century Gothic" w:hAnsi="Century Gothic"/>
          <w:sz w:val="19"/>
          <w:szCs w:val="19"/>
        </w:rPr>
        <w:t>, las Comisiones de Honor y Justicia</w:t>
      </w:r>
    </w:p>
    <w:p w14:paraId="52B36F59" w14:textId="4D1A983B" w:rsidR="0070131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la infraestructura para la seguridad pública</w:t>
      </w:r>
    </w:p>
    <w:p w14:paraId="10E4F124" w14:textId="2FAAF8E1" w:rsidR="0070131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las unidades especializadas </w:t>
      </w:r>
    </w:p>
    <w:p w14:paraId="3982C3CB" w14:textId="01851AD7" w:rsidR="0070131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los centros de atención de llamadas de emergencia </w:t>
      </w:r>
    </w:p>
    <w:p w14:paraId="0E033FAC" w14:textId="4239F836" w:rsidR="00797776" w:rsidRPr="009A501D" w:rsidRDefault="00797776" w:rsidP="00224E0F">
      <w:pPr>
        <w:pStyle w:val="Prrafodelista"/>
        <w:numPr>
          <w:ilvl w:val="1"/>
          <w:numId w:val="24"/>
        </w:numPr>
        <w:spacing w:before="240"/>
        <w:ind w:left="1276" w:hanging="283"/>
        <w:jc w:val="both"/>
        <w:rPr>
          <w:rFonts w:ascii="Century Gothic" w:hAnsi="Century Gothic"/>
          <w:sz w:val="19"/>
          <w:szCs w:val="19"/>
        </w:rPr>
      </w:pPr>
      <w:r w:rsidRPr="009A501D">
        <w:rPr>
          <w:rFonts w:ascii="Century Gothic" w:hAnsi="Century Gothic"/>
          <w:sz w:val="19"/>
          <w:szCs w:val="19"/>
        </w:rPr>
        <w:t xml:space="preserve">demanda de servicios policiales </w:t>
      </w:r>
    </w:p>
    <w:p w14:paraId="44F418F7" w14:textId="77777777" w:rsidR="00E608A3" w:rsidRPr="009A501D" w:rsidRDefault="00E608A3" w:rsidP="00E608A3">
      <w:pPr>
        <w:pStyle w:val="Prrafodelista"/>
        <w:spacing w:before="240"/>
        <w:ind w:left="1276"/>
        <w:jc w:val="both"/>
        <w:rPr>
          <w:rFonts w:ascii="Century Gothic" w:hAnsi="Century Gothic"/>
          <w:sz w:val="19"/>
          <w:szCs w:val="19"/>
        </w:rPr>
      </w:pPr>
    </w:p>
    <w:p w14:paraId="14A16182" w14:textId="77777777" w:rsidR="00797776" w:rsidRPr="009A501D" w:rsidRDefault="00797776" w:rsidP="0028492E">
      <w:pPr>
        <w:pStyle w:val="Prrafodelista"/>
        <w:numPr>
          <w:ilvl w:val="0"/>
          <w:numId w:val="19"/>
        </w:numPr>
        <w:spacing w:before="240"/>
        <w:jc w:val="both"/>
        <w:rPr>
          <w:rFonts w:ascii="Century Gothic" w:hAnsi="Century Gothic"/>
          <w:color w:val="0079BF"/>
          <w:sz w:val="19"/>
          <w:szCs w:val="19"/>
        </w:rPr>
      </w:pPr>
      <w:r w:rsidRPr="009A501D">
        <w:rPr>
          <w:rFonts w:ascii="Century Gothic" w:hAnsi="Century Gothic"/>
          <w:color w:val="0079BF"/>
          <w:sz w:val="19"/>
          <w:szCs w:val="19"/>
        </w:rPr>
        <w:lastRenderedPageBreak/>
        <w:t>Estadísticas de salud en establecimientos particulares (ESEP)</w:t>
      </w:r>
    </w:p>
    <w:p w14:paraId="31547217" w14:textId="77777777" w:rsidR="007F5B3F" w:rsidRPr="009A501D" w:rsidRDefault="007F5B3F" w:rsidP="007F5B3F">
      <w:pPr>
        <w:pStyle w:val="Prrafodelista"/>
        <w:spacing w:before="240"/>
        <w:jc w:val="both"/>
        <w:rPr>
          <w:rFonts w:ascii="Century Gothic" w:hAnsi="Century Gothic"/>
          <w:color w:val="0079BF"/>
          <w:sz w:val="19"/>
          <w:szCs w:val="19"/>
        </w:rPr>
      </w:pPr>
    </w:p>
    <w:p w14:paraId="6E69020C" w14:textId="77777777" w:rsidR="00701316" w:rsidRPr="009A501D" w:rsidRDefault="00701316" w:rsidP="00224E0F">
      <w:pPr>
        <w:pStyle w:val="Prrafodelista"/>
        <w:numPr>
          <w:ilvl w:val="0"/>
          <w:numId w:val="30"/>
        </w:numPr>
        <w:spacing w:before="240"/>
        <w:ind w:left="993" w:hanging="284"/>
        <w:jc w:val="both"/>
        <w:rPr>
          <w:rFonts w:ascii="Century Gothic" w:hAnsi="Century Gothic"/>
          <w:sz w:val="19"/>
          <w:szCs w:val="19"/>
        </w:rPr>
      </w:pPr>
      <w:r w:rsidRPr="009A501D">
        <w:rPr>
          <w:rFonts w:ascii="Century Gothic" w:hAnsi="Century Gothic"/>
          <w:sz w:val="19"/>
          <w:szCs w:val="19"/>
        </w:rPr>
        <w:t>A</w:t>
      </w:r>
      <w:r w:rsidR="00797776" w:rsidRPr="009A501D">
        <w:rPr>
          <w:rFonts w:ascii="Century Gothic" w:hAnsi="Century Gothic"/>
          <w:sz w:val="19"/>
          <w:szCs w:val="19"/>
        </w:rPr>
        <w:t>ctualizar el instrumento de captación de información de los establecimientos particulares de salud, forma PEC-6-20-A, para registrar lo referente a morbilidad COVID-19 de casos confirmados y casos sospechosos. Incluir en la forma PEC- 6-20-A, en el apartado de morbilidad, las causas (U071 Y U072) referidas a COVID-19, para su uso a partir del ciclo 2021, abandonando el uso emergente del anexo COVID-19 implementado en el ciclo 2020.</w:t>
      </w:r>
    </w:p>
    <w:p w14:paraId="52C34195" w14:textId="77777777" w:rsidR="00701316" w:rsidRPr="009A501D" w:rsidRDefault="00701316" w:rsidP="00224E0F">
      <w:pPr>
        <w:pStyle w:val="Prrafodelista"/>
        <w:spacing w:before="240"/>
        <w:ind w:left="993" w:hanging="284"/>
        <w:jc w:val="both"/>
        <w:rPr>
          <w:rFonts w:ascii="Century Gothic" w:hAnsi="Century Gothic"/>
          <w:sz w:val="19"/>
          <w:szCs w:val="19"/>
        </w:rPr>
      </w:pPr>
    </w:p>
    <w:p w14:paraId="1725547F" w14:textId="3B5A3520" w:rsidR="00797776" w:rsidRPr="009A501D" w:rsidRDefault="00797776" w:rsidP="00224E0F">
      <w:pPr>
        <w:pStyle w:val="Prrafodelista"/>
        <w:numPr>
          <w:ilvl w:val="0"/>
          <w:numId w:val="30"/>
        </w:numPr>
        <w:spacing w:before="240"/>
        <w:ind w:left="993" w:hanging="284"/>
        <w:jc w:val="both"/>
        <w:rPr>
          <w:rFonts w:ascii="Century Gothic" w:hAnsi="Century Gothic"/>
          <w:sz w:val="19"/>
          <w:szCs w:val="19"/>
        </w:rPr>
      </w:pPr>
      <w:r w:rsidRPr="009A501D">
        <w:rPr>
          <w:rFonts w:ascii="Century Gothic" w:hAnsi="Century Gothic"/>
          <w:sz w:val="19"/>
          <w:szCs w:val="19"/>
        </w:rPr>
        <w:t>Incluir en el sistema IKTAN Web ESEP el módulo de captación de las boletas PEC 6-20 A y de registros captados en el sistema RECOI para contar con información al día del avance en la captación de boletas PEC 6-20 A y registros capturados en el sistema RECOI proporcionados por las fuentes informantes de para el seguimiento de la fase de captación; y ofrecer los datos del avance de la captación de los registros administrativos para consulta de los funcionarios de la Coordinación General de Operación Regional</w:t>
      </w:r>
      <w:r w:rsidR="00701316" w:rsidRPr="009A501D">
        <w:rPr>
          <w:rFonts w:ascii="Century Gothic" w:hAnsi="Century Gothic"/>
          <w:sz w:val="19"/>
          <w:szCs w:val="19"/>
        </w:rPr>
        <w:t>.</w:t>
      </w:r>
      <w:r w:rsidRPr="009A501D">
        <w:rPr>
          <w:rFonts w:ascii="Century Gothic" w:hAnsi="Century Gothic"/>
          <w:sz w:val="19"/>
          <w:szCs w:val="19"/>
        </w:rPr>
        <w:t xml:space="preserve"> </w:t>
      </w:r>
    </w:p>
    <w:p w14:paraId="4BAFA3C6" w14:textId="77777777" w:rsidR="00224E0F" w:rsidRPr="009A501D" w:rsidRDefault="00224E0F" w:rsidP="00224E0F">
      <w:pPr>
        <w:pStyle w:val="Prrafodelista"/>
        <w:rPr>
          <w:rFonts w:ascii="Century Gothic" w:hAnsi="Century Gothic"/>
          <w:sz w:val="19"/>
          <w:szCs w:val="19"/>
        </w:rPr>
      </w:pPr>
    </w:p>
    <w:p w14:paraId="0EB4DDDA" w14:textId="77777777" w:rsidR="00797776" w:rsidRPr="009A501D" w:rsidRDefault="00797776" w:rsidP="00224E0F">
      <w:pPr>
        <w:pStyle w:val="Prrafodelista"/>
        <w:spacing w:before="240"/>
        <w:ind w:left="993"/>
        <w:jc w:val="both"/>
        <w:rPr>
          <w:rFonts w:ascii="Century Gothic" w:hAnsi="Century Gothic"/>
          <w:sz w:val="19"/>
          <w:szCs w:val="19"/>
        </w:rPr>
      </w:pPr>
    </w:p>
    <w:p w14:paraId="4E74A5B4" w14:textId="77777777" w:rsidR="00797776" w:rsidRPr="009A501D" w:rsidRDefault="00797776" w:rsidP="0028492E">
      <w:pPr>
        <w:pStyle w:val="Prrafodelista"/>
        <w:numPr>
          <w:ilvl w:val="0"/>
          <w:numId w:val="19"/>
        </w:numPr>
        <w:spacing w:before="240"/>
        <w:jc w:val="both"/>
        <w:rPr>
          <w:rFonts w:ascii="Century Gothic" w:hAnsi="Century Gothic"/>
          <w:color w:val="0079BF"/>
          <w:sz w:val="19"/>
          <w:szCs w:val="19"/>
        </w:rPr>
      </w:pPr>
      <w:r w:rsidRPr="009A501D">
        <w:rPr>
          <w:rFonts w:ascii="Century Gothic" w:hAnsi="Century Gothic"/>
          <w:color w:val="0079BF"/>
          <w:sz w:val="19"/>
          <w:szCs w:val="19"/>
        </w:rPr>
        <w:t>Topografía (TOPO)</w:t>
      </w:r>
    </w:p>
    <w:p w14:paraId="6544CC58" w14:textId="77777777" w:rsidR="007F5B3F" w:rsidRPr="009A501D" w:rsidRDefault="007F5B3F" w:rsidP="007F5B3F">
      <w:pPr>
        <w:pStyle w:val="Prrafodelista"/>
        <w:spacing w:before="240"/>
        <w:jc w:val="both"/>
        <w:rPr>
          <w:rFonts w:ascii="Century Gothic" w:hAnsi="Century Gothic"/>
          <w:color w:val="0079BF"/>
          <w:sz w:val="19"/>
          <w:szCs w:val="19"/>
        </w:rPr>
      </w:pPr>
    </w:p>
    <w:p w14:paraId="5288AFCB" w14:textId="77777777" w:rsidR="0066367B" w:rsidRPr="009A501D" w:rsidRDefault="00797776" w:rsidP="006020C6">
      <w:pPr>
        <w:pStyle w:val="Prrafodelista"/>
        <w:spacing w:before="240"/>
        <w:ind w:left="993"/>
        <w:jc w:val="both"/>
        <w:rPr>
          <w:rFonts w:ascii="Century Gothic" w:hAnsi="Century Gothic"/>
          <w:sz w:val="19"/>
          <w:szCs w:val="19"/>
        </w:rPr>
      </w:pPr>
      <w:r w:rsidRPr="009A501D">
        <w:rPr>
          <w:rFonts w:ascii="Century Gothic" w:hAnsi="Century Gothic"/>
          <w:sz w:val="19"/>
          <w:szCs w:val="19"/>
        </w:rPr>
        <w:t xml:space="preserve">Con la visión de aplicar los principios de cartografía digital al proceso de producción de la información topográfica a escala 1:50 000, así como incorporar la explotación de los registros administrativos con el uso las nuevas geo tecnologías, se propone la generación del Continuo Nacional de Información Topográfica a escala 1:50 000; aplicando el proceso de unión de los objetos espaciales con geometría de línea y polígono contenidos en los 2,357 conjuntos de datos vectoriales en formatos de 15´por 20´ de latitud y longitud respectivamente que conforman la cobertura nacional, acorde a de los temas y objetos espaciales del diccionario de datos topográficos a escala 1:50 000 vigente. </w:t>
      </w:r>
    </w:p>
    <w:p w14:paraId="2C4D734C" w14:textId="77777777" w:rsidR="0066367B" w:rsidRPr="009A501D" w:rsidRDefault="0066367B" w:rsidP="00224E0F">
      <w:pPr>
        <w:pStyle w:val="Prrafodelista"/>
        <w:spacing w:before="240"/>
        <w:ind w:left="993"/>
        <w:jc w:val="both"/>
        <w:rPr>
          <w:rFonts w:ascii="Century Gothic" w:hAnsi="Century Gothic"/>
          <w:sz w:val="19"/>
          <w:szCs w:val="19"/>
        </w:rPr>
      </w:pPr>
    </w:p>
    <w:p w14:paraId="4D23FECE" w14:textId="77777777" w:rsidR="00224E0F" w:rsidRPr="009A501D" w:rsidRDefault="00797776" w:rsidP="00224E0F">
      <w:pPr>
        <w:pStyle w:val="Prrafodelista"/>
        <w:spacing w:before="240"/>
        <w:ind w:left="993"/>
        <w:jc w:val="both"/>
        <w:rPr>
          <w:rFonts w:ascii="Century Gothic" w:hAnsi="Century Gothic"/>
          <w:sz w:val="19"/>
          <w:szCs w:val="19"/>
        </w:rPr>
      </w:pPr>
      <w:r w:rsidRPr="009A501D">
        <w:rPr>
          <w:rFonts w:ascii="Century Gothic" w:hAnsi="Century Gothic"/>
          <w:sz w:val="19"/>
          <w:szCs w:val="19"/>
        </w:rPr>
        <w:t>El cambio plantea lograr la homologación de las bases de datos mediante procesos colaborativos, manteniendo la granularidad de la información y haciendo más eficientes los tramos de producción y de control al incorporar aplicaciones de software libre y generación de herramientas informáticas propias en combinación de softwares comerciales, así como la aplicación de la normativa vigente en el SNIEG. Con la instrumentación de la base de datos del continuo nacional de información topográfica, se garantizará la estandarización de todos los elementos geográficos y en consecuencia mejorará la eficiencia de los procesos, la socialización de los datos, y la generación de cartografía por zonas y objetos espaciales de interés de los usuarios. Se tendrá impacto en la transferencia del conocimiento geográfico del territorio nacional al brindar información topográfica dinámica, evolutiva, actualizada y puesta a disposición mediante una plataforma abierta que además permitirá fortalecer sus indicadores de pertinencia y oportunidad.</w:t>
      </w:r>
    </w:p>
    <w:p w14:paraId="56E814ED" w14:textId="77777777" w:rsidR="00481C71" w:rsidRPr="009A501D" w:rsidRDefault="00797776">
      <w:pPr>
        <w:rPr>
          <w:rFonts w:ascii="Century Gothic" w:hAnsi="Century Gothic"/>
          <w:sz w:val="19"/>
          <w:szCs w:val="19"/>
        </w:rPr>
        <w:sectPr w:rsidR="00481C71" w:rsidRPr="009A501D" w:rsidSect="006825BD">
          <w:pgSz w:w="15840" w:h="12240" w:orient="landscape"/>
          <w:pgMar w:top="720" w:right="720" w:bottom="720" w:left="720" w:header="709" w:footer="709" w:gutter="0"/>
          <w:cols w:space="708"/>
          <w:docGrid w:linePitch="360"/>
        </w:sectPr>
      </w:pPr>
      <w:r w:rsidRPr="009A501D">
        <w:rPr>
          <w:rFonts w:ascii="Century Gothic" w:hAnsi="Century Gothic"/>
          <w:sz w:val="19"/>
          <w:szCs w:val="19"/>
        </w:rPr>
        <w:br w:type="page"/>
      </w:r>
    </w:p>
    <w:p w14:paraId="475AE2BE" w14:textId="0C1F0DFE" w:rsidR="00514E11" w:rsidRPr="009A501D" w:rsidRDefault="00514E11" w:rsidP="00B211F6">
      <w:pPr>
        <w:pStyle w:val="Default"/>
        <w:spacing w:before="240" w:after="160"/>
        <w:outlineLvl w:val="0"/>
        <w:rPr>
          <w:rFonts w:ascii="Century Gothic" w:hAnsi="Century Gothic"/>
          <w:smallCaps/>
          <w:color w:val="2E74B5" w:themeColor="accent1" w:themeShade="BF"/>
          <w:sz w:val="32"/>
          <w:szCs w:val="32"/>
          <w:lang w:val="es-MX"/>
        </w:rPr>
      </w:pPr>
      <w:bookmarkStart w:id="42" w:name="_Toc131161820"/>
      <w:r w:rsidRPr="009A501D">
        <w:rPr>
          <w:rFonts w:ascii="Century Gothic" w:hAnsi="Century Gothic"/>
          <w:smallCaps/>
          <w:color w:val="2E74B5" w:themeColor="accent1" w:themeShade="BF"/>
          <w:sz w:val="32"/>
          <w:szCs w:val="32"/>
          <w:lang w:val="es-MX"/>
        </w:rPr>
        <w:lastRenderedPageBreak/>
        <w:t>GLOSARIO DE ACRÓNIMOS</w:t>
      </w:r>
      <w:bookmarkEnd w:id="42"/>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615"/>
        <w:gridCol w:w="8450"/>
      </w:tblGrid>
      <w:tr w:rsidR="006834B0" w:rsidRPr="009A501D" w14:paraId="25977E70" w14:textId="77777777" w:rsidTr="00AE2D83">
        <w:trPr>
          <w:trHeight w:val="182"/>
          <w:tblHeader/>
          <w:jc w:val="center"/>
        </w:trPr>
        <w:tc>
          <w:tcPr>
            <w:tcW w:w="1615" w:type="dxa"/>
            <w:shd w:val="clear" w:color="auto" w:fill="1F3864" w:themeFill="accent5" w:themeFillShade="80"/>
            <w:noWrap/>
            <w:vAlign w:val="center"/>
            <w:hideMark/>
          </w:tcPr>
          <w:p w14:paraId="00E6B738" w14:textId="77777777" w:rsidR="006834B0" w:rsidRPr="009A501D" w:rsidRDefault="006834B0" w:rsidP="007F5B3F">
            <w:pPr>
              <w:spacing w:after="0" w:line="240" w:lineRule="auto"/>
              <w:contextualSpacing/>
              <w:rPr>
                <w:rFonts w:ascii="Century Gothic" w:eastAsia="Times New Roman" w:hAnsi="Century Gothic" w:cs="Calibri"/>
                <w:b/>
                <w:color w:val="FFFFFF" w:themeColor="background1"/>
                <w:sz w:val="16"/>
                <w:szCs w:val="16"/>
              </w:rPr>
            </w:pPr>
            <w:r w:rsidRPr="009A501D">
              <w:rPr>
                <w:rFonts w:ascii="Century Gothic" w:eastAsia="Times New Roman" w:hAnsi="Century Gothic" w:cs="Calibri"/>
                <w:b/>
                <w:color w:val="FFFFFF" w:themeColor="background1"/>
                <w:sz w:val="16"/>
                <w:szCs w:val="16"/>
              </w:rPr>
              <w:t>Acrónimo</w:t>
            </w:r>
          </w:p>
        </w:tc>
        <w:tc>
          <w:tcPr>
            <w:tcW w:w="8450" w:type="dxa"/>
            <w:shd w:val="clear" w:color="auto" w:fill="1F3864" w:themeFill="accent5" w:themeFillShade="80"/>
            <w:noWrap/>
            <w:vAlign w:val="center"/>
            <w:hideMark/>
          </w:tcPr>
          <w:p w14:paraId="2E0F8CC0" w14:textId="77777777" w:rsidR="006834B0" w:rsidRPr="009A501D" w:rsidRDefault="006834B0" w:rsidP="007F5B3F">
            <w:pPr>
              <w:spacing w:after="0" w:line="240" w:lineRule="auto"/>
              <w:contextualSpacing/>
              <w:rPr>
                <w:rFonts w:ascii="Century Gothic" w:eastAsia="Times New Roman" w:hAnsi="Century Gothic" w:cs="Calibri"/>
                <w:b/>
                <w:color w:val="FFFFFF" w:themeColor="background1"/>
                <w:sz w:val="16"/>
                <w:szCs w:val="16"/>
              </w:rPr>
            </w:pPr>
            <w:r w:rsidRPr="009A501D">
              <w:rPr>
                <w:rFonts w:ascii="Century Gothic" w:eastAsia="Times New Roman" w:hAnsi="Century Gothic" w:cs="Calibri"/>
                <w:b/>
                <w:color w:val="FFFFFF" w:themeColor="background1"/>
                <w:sz w:val="16"/>
                <w:szCs w:val="16"/>
              </w:rPr>
              <w:t>Unidad Administrativa (UA)</w:t>
            </w:r>
          </w:p>
        </w:tc>
      </w:tr>
      <w:tr w:rsidR="006834B0" w:rsidRPr="009A501D" w14:paraId="78B20381" w14:textId="77777777" w:rsidTr="004A6561">
        <w:trPr>
          <w:trHeight w:val="227"/>
          <w:jc w:val="center"/>
        </w:trPr>
        <w:tc>
          <w:tcPr>
            <w:tcW w:w="1615" w:type="dxa"/>
            <w:shd w:val="clear" w:color="auto" w:fill="auto"/>
            <w:noWrap/>
            <w:vAlign w:val="center"/>
          </w:tcPr>
          <w:p w14:paraId="3FDA681D"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CGAJ</w:t>
            </w:r>
          </w:p>
        </w:tc>
        <w:tc>
          <w:tcPr>
            <w:tcW w:w="8450" w:type="dxa"/>
            <w:shd w:val="clear" w:color="auto" w:fill="auto"/>
            <w:noWrap/>
            <w:vAlign w:val="center"/>
          </w:tcPr>
          <w:p w14:paraId="38D9056D"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Coordinación General de Asuntos Jurídicos</w:t>
            </w:r>
          </w:p>
        </w:tc>
      </w:tr>
      <w:tr w:rsidR="006834B0" w:rsidRPr="009A501D" w14:paraId="658A75F8" w14:textId="77777777" w:rsidTr="004A6561">
        <w:trPr>
          <w:trHeight w:val="227"/>
          <w:jc w:val="center"/>
        </w:trPr>
        <w:tc>
          <w:tcPr>
            <w:tcW w:w="1615" w:type="dxa"/>
            <w:shd w:val="clear" w:color="auto" w:fill="auto"/>
            <w:noWrap/>
            <w:vAlign w:val="center"/>
          </w:tcPr>
          <w:p w14:paraId="603D750E"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CGI</w:t>
            </w:r>
          </w:p>
        </w:tc>
        <w:tc>
          <w:tcPr>
            <w:tcW w:w="8450" w:type="dxa"/>
            <w:shd w:val="clear" w:color="auto" w:fill="auto"/>
            <w:noWrap/>
            <w:vAlign w:val="center"/>
          </w:tcPr>
          <w:p w14:paraId="30C08A68"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Coordinación General de Informática</w:t>
            </w:r>
          </w:p>
        </w:tc>
      </w:tr>
      <w:tr w:rsidR="006834B0" w:rsidRPr="009A501D" w14:paraId="4CB3B0E2" w14:textId="77777777" w:rsidTr="004A6561">
        <w:trPr>
          <w:trHeight w:val="227"/>
          <w:jc w:val="center"/>
        </w:trPr>
        <w:tc>
          <w:tcPr>
            <w:tcW w:w="1615" w:type="dxa"/>
            <w:shd w:val="clear" w:color="auto" w:fill="auto"/>
            <w:noWrap/>
            <w:vAlign w:val="center"/>
          </w:tcPr>
          <w:p w14:paraId="0BDCA229"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CGOR</w:t>
            </w:r>
          </w:p>
        </w:tc>
        <w:tc>
          <w:tcPr>
            <w:tcW w:w="8450" w:type="dxa"/>
            <w:shd w:val="clear" w:color="auto" w:fill="auto"/>
            <w:noWrap/>
            <w:vAlign w:val="center"/>
          </w:tcPr>
          <w:p w14:paraId="2A45A410"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Coordinación General de Operación Regional</w:t>
            </w:r>
          </w:p>
        </w:tc>
      </w:tr>
      <w:tr w:rsidR="006834B0" w:rsidRPr="009A501D" w14:paraId="1F5E77C8" w14:textId="77777777" w:rsidTr="004A6561">
        <w:trPr>
          <w:trHeight w:val="227"/>
          <w:jc w:val="center"/>
        </w:trPr>
        <w:tc>
          <w:tcPr>
            <w:tcW w:w="1615" w:type="dxa"/>
            <w:shd w:val="clear" w:color="auto" w:fill="auto"/>
            <w:noWrap/>
            <w:vAlign w:val="center"/>
          </w:tcPr>
          <w:p w14:paraId="2495BB59"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DGA</w:t>
            </w:r>
          </w:p>
        </w:tc>
        <w:tc>
          <w:tcPr>
            <w:tcW w:w="8450" w:type="dxa"/>
            <w:shd w:val="clear" w:color="auto" w:fill="auto"/>
            <w:noWrap/>
            <w:vAlign w:val="center"/>
          </w:tcPr>
          <w:p w14:paraId="1F4118BB"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Administración</w:t>
            </w:r>
          </w:p>
        </w:tc>
      </w:tr>
      <w:tr w:rsidR="006834B0" w:rsidRPr="009A501D" w14:paraId="39811BE3" w14:textId="77777777" w:rsidTr="004A6561">
        <w:trPr>
          <w:trHeight w:val="227"/>
          <w:jc w:val="center"/>
        </w:trPr>
        <w:tc>
          <w:tcPr>
            <w:tcW w:w="1615" w:type="dxa"/>
            <w:shd w:val="clear" w:color="auto" w:fill="auto"/>
            <w:noWrap/>
            <w:vAlign w:val="center"/>
          </w:tcPr>
          <w:p w14:paraId="0625EFD4"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DGCSNIEG</w:t>
            </w:r>
          </w:p>
        </w:tc>
        <w:tc>
          <w:tcPr>
            <w:tcW w:w="8450" w:type="dxa"/>
            <w:shd w:val="clear" w:color="auto" w:fill="auto"/>
            <w:noWrap/>
            <w:vAlign w:val="center"/>
          </w:tcPr>
          <w:p w14:paraId="786E4605"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Coordinación del Sistema Nacional de Información Estadística y Geográfica</w:t>
            </w:r>
          </w:p>
        </w:tc>
      </w:tr>
      <w:tr w:rsidR="006834B0" w:rsidRPr="009A501D" w14:paraId="5BE8A285" w14:textId="77777777" w:rsidTr="004A6561">
        <w:trPr>
          <w:trHeight w:val="227"/>
          <w:jc w:val="center"/>
        </w:trPr>
        <w:tc>
          <w:tcPr>
            <w:tcW w:w="1615" w:type="dxa"/>
            <w:shd w:val="clear" w:color="auto" w:fill="auto"/>
            <w:noWrap/>
            <w:vAlign w:val="center"/>
          </w:tcPr>
          <w:p w14:paraId="2917A6DD"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DGCSPIRI</w:t>
            </w:r>
          </w:p>
        </w:tc>
        <w:tc>
          <w:tcPr>
            <w:tcW w:w="8450" w:type="dxa"/>
            <w:shd w:val="clear" w:color="auto" w:fill="auto"/>
            <w:noWrap/>
            <w:vAlign w:val="center"/>
          </w:tcPr>
          <w:p w14:paraId="0B692622"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Comunicación, Servicio Público de Información y Relaciones Institucionales</w:t>
            </w:r>
          </w:p>
        </w:tc>
      </w:tr>
      <w:tr w:rsidR="006834B0" w:rsidRPr="009A501D" w14:paraId="12363444" w14:textId="77777777" w:rsidTr="004A6561">
        <w:trPr>
          <w:trHeight w:val="227"/>
          <w:jc w:val="center"/>
        </w:trPr>
        <w:tc>
          <w:tcPr>
            <w:tcW w:w="1615" w:type="dxa"/>
            <w:shd w:val="clear" w:color="auto" w:fill="auto"/>
            <w:noWrap/>
            <w:vAlign w:val="center"/>
          </w:tcPr>
          <w:p w14:paraId="06AF9CB1"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DGEE</w:t>
            </w:r>
          </w:p>
        </w:tc>
        <w:tc>
          <w:tcPr>
            <w:tcW w:w="8450" w:type="dxa"/>
            <w:shd w:val="clear" w:color="auto" w:fill="auto"/>
            <w:noWrap/>
            <w:vAlign w:val="center"/>
          </w:tcPr>
          <w:p w14:paraId="1A1AD3A6"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Estadísticas Económicas</w:t>
            </w:r>
          </w:p>
        </w:tc>
      </w:tr>
      <w:tr w:rsidR="006834B0" w:rsidRPr="009A501D" w14:paraId="43115FDE" w14:textId="77777777" w:rsidTr="004A6561">
        <w:trPr>
          <w:trHeight w:val="227"/>
          <w:jc w:val="center"/>
        </w:trPr>
        <w:tc>
          <w:tcPr>
            <w:tcW w:w="1615" w:type="dxa"/>
            <w:shd w:val="clear" w:color="auto" w:fill="auto"/>
            <w:noWrap/>
            <w:vAlign w:val="center"/>
          </w:tcPr>
          <w:p w14:paraId="447FC794"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DGEGSPJ</w:t>
            </w:r>
          </w:p>
        </w:tc>
        <w:tc>
          <w:tcPr>
            <w:tcW w:w="8450" w:type="dxa"/>
            <w:shd w:val="clear" w:color="auto" w:fill="auto"/>
            <w:noWrap/>
            <w:vAlign w:val="center"/>
          </w:tcPr>
          <w:p w14:paraId="75185F6A"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Estadísticas de Gobierno, Seguridad Pública y Justicia</w:t>
            </w:r>
          </w:p>
        </w:tc>
      </w:tr>
      <w:tr w:rsidR="006834B0" w:rsidRPr="009A501D" w14:paraId="0702623C" w14:textId="77777777" w:rsidTr="004A6561">
        <w:trPr>
          <w:trHeight w:val="227"/>
          <w:jc w:val="center"/>
        </w:trPr>
        <w:tc>
          <w:tcPr>
            <w:tcW w:w="1615" w:type="dxa"/>
            <w:shd w:val="clear" w:color="auto" w:fill="auto"/>
            <w:noWrap/>
            <w:vAlign w:val="center"/>
          </w:tcPr>
          <w:p w14:paraId="0C9792F4"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DGES</w:t>
            </w:r>
          </w:p>
        </w:tc>
        <w:tc>
          <w:tcPr>
            <w:tcW w:w="8450" w:type="dxa"/>
            <w:shd w:val="clear" w:color="auto" w:fill="auto"/>
            <w:noWrap/>
            <w:vAlign w:val="center"/>
          </w:tcPr>
          <w:p w14:paraId="2DED632C"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Estadísticas Sociodemográficas</w:t>
            </w:r>
          </w:p>
        </w:tc>
      </w:tr>
      <w:tr w:rsidR="006834B0" w:rsidRPr="009A501D" w14:paraId="02CB8DE2" w14:textId="77777777" w:rsidTr="004A6561">
        <w:trPr>
          <w:trHeight w:val="227"/>
          <w:jc w:val="center"/>
        </w:trPr>
        <w:tc>
          <w:tcPr>
            <w:tcW w:w="1615" w:type="dxa"/>
            <w:shd w:val="clear" w:color="auto" w:fill="auto"/>
            <w:noWrap/>
            <w:vAlign w:val="center"/>
          </w:tcPr>
          <w:p w14:paraId="017F43B6"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DGGMA</w:t>
            </w:r>
          </w:p>
        </w:tc>
        <w:tc>
          <w:tcPr>
            <w:tcW w:w="8450" w:type="dxa"/>
            <w:shd w:val="clear" w:color="auto" w:fill="auto"/>
            <w:noWrap/>
            <w:vAlign w:val="center"/>
          </w:tcPr>
          <w:p w14:paraId="0A553B2B"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Geografía y Medio Ambiente</w:t>
            </w:r>
          </w:p>
        </w:tc>
      </w:tr>
      <w:tr w:rsidR="006834B0" w:rsidRPr="009A501D" w14:paraId="39F03C71" w14:textId="77777777" w:rsidTr="004A6561">
        <w:trPr>
          <w:trHeight w:val="227"/>
          <w:jc w:val="center"/>
        </w:trPr>
        <w:tc>
          <w:tcPr>
            <w:tcW w:w="1615" w:type="dxa"/>
            <w:shd w:val="clear" w:color="auto" w:fill="auto"/>
            <w:noWrap/>
            <w:vAlign w:val="center"/>
          </w:tcPr>
          <w:p w14:paraId="560ECAFD"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DGIAI</w:t>
            </w:r>
          </w:p>
        </w:tc>
        <w:tc>
          <w:tcPr>
            <w:tcW w:w="8450" w:type="dxa"/>
            <w:shd w:val="clear" w:color="auto" w:fill="auto"/>
            <w:noWrap/>
            <w:vAlign w:val="center"/>
          </w:tcPr>
          <w:p w14:paraId="108E30BB" w14:textId="77777777" w:rsidR="006834B0" w:rsidRPr="009A501D" w:rsidRDefault="006834B0" w:rsidP="007F5B3F">
            <w:pPr>
              <w:spacing w:after="0" w:line="240" w:lineRule="auto"/>
              <w:contextualSpacing/>
              <w:rPr>
                <w:rFonts w:ascii="Century Gothic" w:eastAsia="Times New Roman" w:hAnsi="Century Gothic" w:cs="Calibri"/>
                <w:color w:val="000000"/>
                <w:sz w:val="16"/>
                <w:szCs w:val="16"/>
              </w:rPr>
            </w:pPr>
            <w:r w:rsidRPr="009A501D">
              <w:rPr>
                <w:rFonts w:ascii="Century Gothic" w:hAnsi="Century Gothic" w:cs="Calibri"/>
                <w:color w:val="000000"/>
                <w:sz w:val="16"/>
                <w:szCs w:val="16"/>
              </w:rPr>
              <w:t>Dirección General de Integración, Análisis e Investigación</w:t>
            </w:r>
          </w:p>
        </w:tc>
      </w:tr>
    </w:tbl>
    <w:p w14:paraId="46A3B391" w14:textId="3798E6FA" w:rsidR="006834B0" w:rsidRPr="009A501D" w:rsidRDefault="006834B0" w:rsidP="00C07F02">
      <w:pPr>
        <w:spacing w:after="0"/>
        <w:jc w:val="center"/>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507D6E" w:rsidRPr="009A501D" w14:paraId="57B08CA2" w14:textId="77777777" w:rsidTr="00BC774F">
        <w:trPr>
          <w:trHeight w:val="20"/>
          <w:tblHeader/>
          <w:jc w:val="center"/>
        </w:trPr>
        <w:tc>
          <w:tcPr>
            <w:tcW w:w="1555" w:type="dxa"/>
            <w:shd w:val="clear" w:color="auto" w:fill="1F3864" w:themeFill="accent5" w:themeFillShade="80"/>
            <w:noWrap/>
            <w:vAlign w:val="center"/>
            <w:hideMark/>
          </w:tcPr>
          <w:p w14:paraId="1812BFBE" w14:textId="77777777" w:rsidR="00507D6E" w:rsidRPr="009A501D" w:rsidRDefault="00507D6E" w:rsidP="00664A1D">
            <w:pPr>
              <w:spacing w:after="0"/>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Acrónimo</w:t>
            </w:r>
          </w:p>
        </w:tc>
        <w:tc>
          <w:tcPr>
            <w:tcW w:w="8510" w:type="dxa"/>
            <w:shd w:val="clear" w:color="auto" w:fill="1F3864" w:themeFill="accent5" w:themeFillShade="80"/>
            <w:noWrap/>
            <w:vAlign w:val="center"/>
            <w:hideMark/>
          </w:tcPr>
          <w:p w14:paraId="2252A5D4" w14:textId="28958E1F" w:rsidR="00507D6E" w:rsidRPr="009A501D" w:rsidRDefault="00507D6E" w:rsidP="00664A1D">
            <w:pPr>
              <w:spacing w:after="0"/>
              <w:rPr>
                <w:rFonts w:ascii="Century Gothic" w:hAnsi="Century Gothic" w:cs="Calibri"/>
                <w:b/>
                <w:color w:val="FFFFFF" w:themeColor="background1"/>
                <w:sz w:val="16"/>
                <w:szCs w:val="16"/>
              </w:rPr>
            </w:pPr>
            <w:r w:rsidRPr="009A501D">
              <w:rPr>
                <w:rFonts w:ascii="Century Gothic" w:hAnsi="Century Gothic" w:cs="Calibri"/>
                <w:b/>
                <w:color w:val="FFFFFF" w:themeColor="background1"/>
                <w:sz w:val="16"/>
                <w:szCs w:val="16"/>
              </w:rPr>
              <w:t>Programa</w:t>
            </w:r>
            <w:r w:rsidR="001E18DA" w:rsidRPr="009A501D">
              <w:rPr>
                <w:rFonts w:ascii="Century Gothic" w:hAnsi="Century Gothic" w:cs="Calibri"/>
                <w:b/>
                <w:color w:val="FFFFFF" w:themeColor="background1"/>
                <w:sz w:val="16"/>
                <w:szCs w:val="16"/>
              </w:rPr>
              <w:t xml:space="preserve">, proceso o </w:t>
            </w:r>
            <w:r w:rsidRPr="009A501D">
              <w:rPr>
                <w:rFonts w:ascii="Century Gothic" w:hAnsi="Century Gothic" w:cs="Calibri"/>
                <w:b/>
                <w:color w:val="FFFFFF" w:themeColor="background1"/>
                <w:sz w:val="16"/>
                <w:szCs w:val="16"/>
              </w:rPr>
              <w:t>producto</w:t>
            </w:r>
          </w:p>
        </w:tc>
      </w:tr>
      <w:tr w:rsidR="00507D6E" w:rsidRPr="009A501D" w14:paraId="44B2AA29" w14:textId="77777777" w:rsidTr="00BC774F">
        <w:trPr>
          <w:trHeight w:val="20"/>
          <w:jc w:val="center"/>
        </w:trPr>
        <w:tc>
          <w:tcPr>
            <w:tcW w:w="1555" w:type="dxa"/>
            <w:shd w:val="clear" w:color="auto" w:fill="auto"/>
            <w:noWrap/>
            <w:vAlign w:val="center"/>
          </w:tcPr>
          <w:p w14:paraId="2B0FFBCB"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ATUS</w:t>
            </w:r>
          </w:p>
        </w:tc>
        <w:tc>
          <w:tcPr>
            <w:tcW w:w="8510" w:type="dxa"/>
            <w:shd w:val="clear" w:color="auto" w:fill="auto"/>
            <w:noWrap/>
            <w:vAlign w:val="center"/>
          </w:tcPr>
          <w:p w14:paraId="1F3B658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Accidentes de Tránsito Terrestre</w:t>
            </w:r>
          </w:p>
        </w:tc>
      </w:tr>
      <w:tr w:rsidR="00507D6E" w:rsidRPr="009A501D" w14:paraId="453DBDFE" w14:textId="77777777" w:rsidTr="00BC774F">
        <w:trPr>
          <w:trHeight w:val="20"/>
          <w:jc w:val="center"/>
        </w:trPr>
        <w:tc>
          <w:tcPr>
            <w:tcW w:w="1555" w:type="dxa"/>
            <w:shd w:val="clear" w:color="auto" w:fill="auto"/>
            <w:noWrap/>
            <w:vAlign w:val="center"/>
          </w:tcPr>
          <w:p w14:paraId="1536B0A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BCMM</w:t>
            </w:r>
          </w:p>
        </w:tc>
        <w:tc>
          <w:tcPr>
            <w:tcW w:w="8510" w:type="dxa"/>
            <w:shd w:val="clear" w:color="auto" w:fill="auto"/>
            <w:noWrap/>
            <w:vAlign w:val="center"/>
          </w:tcPr>
          <w:p w14:paraId="6E22B9C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Balanza Comercial de Mercancías de México</w:t>
            </w:r>
          </w:p>
        </w:tc>
      </w:tr>
      <w:tr w:rsidR="00507D6E" w:rsidRPr="009A501D" w14:paraId="0109161A" w14:textId="77777777" w:rsidTr="00BC774F">
        <w:trPr>
          <w:trHeight w:val="20"/>
          <w:jc w:val="center"/>
        </w:trPr>
        <w:tc>
          <w:tcPr>
            <w:tcW w:w="1555" w:type="dxa"/>
            <w:shd w:val="clear" w:color="auto" w:fill="auto"/>
            <w:noWrap/>
            <w:vAlign w:val="center"/>
            <w:hideMark/>
          </w:tcPr>
          <w:p w14:paraId="6CAE83D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BIARE</w:t>
            </w:r>
          </w:p>
        </w:tc>
        <w:tc>
          <w:tcPr>
            <w:tcW w:w="8510" w:type="dxa"/>
            <w:shd w:val="clear" w:color="auto" w:fill="auto"/>
            <w:noWrap/>
            <w:vAlign w:val="center"/>
            <w:hideMark/>
          </w:tcPr>
          <w:p w14:paraId="7E042B9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Bienestar </w:t>
            </w:r>
            <w:proofErr w:type="spellStart"/>
            <w:r w:rsidRPr="009A501D">
              <w:rPr>
                <w:rFonts w:ascii="Century Gothic" w:hAnsi="Century Gothic" w:cs="Calibri"/>
                <w:sz w:val="16"/>
                <w:szCs w:val="16"/>
              </w:rPr>
              <w:t>Autorreportado</w:t>
            </w:r>
            <w:proofErr w:type="spellEnd"/>
          </w:p>
        </w:tc>
      </w:tr>
      <w:tr w:rsidR="00507D6E" w:rsidRPr="009A501D" w14:paraId="4D1B37B3" w14:textId="77777777" w:rsidTr="00BC774F">
        <w:trPr>
          <w:trHeight w:val="20"/>
          <w:jc w:val="center"/>
        </w:trPr>
        <w:tc>
          <w:tcPr>
            <w:tcW w:w="1555" w:type="dxa"/>
            <w:shd w:val="clear" w:color="auto" w:fill="auto"/>
            <w:noWrap/>
            <w:vAlign w:val="center"/>
          </w:tcPr>
          <w:p w14:paraId="54A1999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CBSPR</w:t>
            </w:r>
          </w:p>
        </w:tc>
        <w:tc>
          <w:tcPr>
            <w:tcW w:w="8510" w:type="dxa"/>
            <w:shd w:val="clear" w:color="auto" w:fill="auto"/>
            <w:noWrap/>
            <w:vAlign w:val="center"/>
          </w:tcPr>
          <w:p w14:paraId="568F28C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Cuentas de Bienes y Servicios y Productos Relacionados</w:t>
            </w:r>
          </w:p>
        </w:tc>
      </w:tr>
      <w:tr w:rsidR="00507D6E" w:rsidRPr="009A501D" w14:paraId="092F5526" w14:textId="77777777" w:rsidTr="00BC774F">
        <w:trPr>
          <w:trHeight w:val="20"/>
          <w:jc w:val="center"/>
        </w:trPr>
        <w:tc>
          <w:tcPr>
            <w:tcW w:w="1555" w:type="dxa"/>
            <w:shd w:val="clear" w:color="auto" w:fill="auto"/>
            <w:noWrap/>
            <w:vAlign w:val="center"/>
          </w:tcPr>
          <w:p w14:paraId="2834A1B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CCP</w:t>
            </w:r>
          </w:p>
        </w:tc>
        <w:tc>
          <w:tcPr>
            <w:tcW w:w="8510" w:type="dxa"/>
            <w:shd w:val="clear" w:color="auto" w:fill="auto"/>
            <w:noWrap/>
            <w:vAlign w:val="center"/>
          </w:tcPr>
          <w:p w14:paraId="062D0BE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Cuentas de Corto Plazo</w:t>
            </w:r>
          </w:p>
        </w:tc>
      </w:tr>
      <w:tr w:rsidR="00507D6E" w:rsidRPr="009A501D" w14:paraId="0784F747" w14:textId="77777777" w:rsidTr="00BC774F">
        <w:trPr>
          <w:trHeight w:val="20"/>
          <w:jc w:val="center"/>
        </w:trPr>
        <w:tc>
          <w:tcPr>
            <w:tcW w:w="1555" w:type="dxa"/>
            <w:shd w:val="clear" w:color="auto" w:fill="auto"/>
            <w:noWrap/>
            <w:vAlign w:val="center"/>
          </w:tcPr>
          <w:p w14:paraId="77E2424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CJM</w:t>
            </w:r>
          </w:p>
        </w:tc>
        <w:tc>
          <w:tcPr>
            <w:tcW w:w="8510" w:type="dxa"/>
            <w:shd w:val="clear" w:color="auto" w:fill="auto"/>
            <w:noWrap/>
            <w:vAlign w:val="center"/>
          </w:tcPr>
          <w:p w14:paraId="3E16B0A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Centros de Justicia para las Mujeres</w:t>
            </w:r>
          </w:p>
        </w:tc>
      </w:tr>
      <w:tr w:rsidR="00507D6E" w:rsidRPr="009A501D" w14:paraId="18845BD3" w14:textId="77777777" w:rsidTr="00BC774F">
        <w:trPr>
          <w:trHeight w:val="20"/>
          <w:jc w:val="center"/>
        </w:trPr>
        <w:tc>
          <w:tcPr>
            <w:tcW w:w="1555" w:type="dxa"/>
            <w:shd w:val="clear" w:color="auto" w:fill="auto"/>
            <w:noWrap/>
            <w:vAlign w:val="center"/>
          </w:tcPr>
          <w:p w14:paraId="130F2022" w14:textId="77777777" w:rsidR="00507D6E" w:rsidRPr="009A501D" w:rsidRDefault="00507D6E" w:rsidP="00664A1D">
            <w:pPr>
              <w:spacing w:after="0"/>
              <w:rPr>
                <w:rFonts w:ascii="Century Gothic" w:hAnsi="Century Gothic" w:cstheme="minorHAnsi"/>
                <w:sz w:val="16"/>
                <w:szCs w:val="16"/>
              </w:rPr>
            </w:pPr>
            <w:r w:rsidRPr="009A501D">
              <w:rPr>
                <w:rFonts w:ascii="Century Gothic" w:hAnsi="Century Gothic" w:cstheme="minorHAnsi"/>
                <w:sz w:val="16"/>
                <w:szCs w:val="16"/>
              </w:rPr>
              <w:t>CNDHE</w:t>
            </w:r>
          </w:p>
        </w:tc>
        <w:tc>
          <w:tcPr>
            <w:tcW w:w="8510" w:type="dxa"/>
            <w:shd w:val="clear" w:color="auto" w:fill="auto"/>
            <w:noWrap/>
            <w:vAlign w:val="center"/>
          </w:tcPr>
          <w:p w14:paraId="46507AD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Derechos Humanos Estatal</w:t>
            </w:r>
          </w:p>
        </w:tc>
      </w:tr>
      <w:tr w:rsidR="00507D6E" w:rsidRPr="009A501D" w14:paraId="5586E493" w14:textId="77777777" w:rsidTr="00BC774F">
        <w:trPr>
          <w:trHeight w:val="20"/>
          <w:jc w:val="center"/>
        </w:trPr>
        <w:tc>
          <w:tcPr>
            <w:tcW w:w="1555" w:type="dxa"/>
            <w:shd w:val="clear" w:color="auto" w:fill="auto"/>
            <w:noWrap/>
            <w:vAlign w:val="center"/>
          </w:tcPr>
          <w:p w14:paraId="28C3747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theme="minorHAnsi"/>
                <w:sz w:val="16"/>
                <w:szCs w:val="16"/>
              </w:rPr>
              <w:t>CNDHF</w:t>
            </w:r>
          </w:p>
        </w:tc>
        <w:tc>
          <w:tcPr>
            <w:tcW w:w="8510" w:type="dxa"/>
            <w:shd w:val="clear" w:color="auto" w:fill="auto"/>
            <w:noWrap/>
            <w:vAlign w:val="center"/>
          </w:tcPr>
          <w:p w14:paraId="6D579F4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Derechos Humanos Federal</w:t>
            </w:r>
          </w:p>
        </w:tc>
      </w:tr>
      <w:tr w:rsidR="00507D6E" w:rsidRPr="009A501D" w14:paraId="6054F44E" w14:textId="77777777" w:rsidTr="00BC774F">
        <w:trPr>
          <w:trHeight w:val="20"/>
          <w:jc w:val="center"/>
        </w:trPr>
        <w:tc>
          <w:tcPr>
            <w:tcW w:w="1555" w:type="dxa"/>
            <w:shd w:val="clear" w:color="auto" w:fill="auto"/>
            <w:noWrap/>
            <w:vAlign w:val="center"/>
          </w:tcPr>
          <w:p w14:paraId="32FBBDA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CNGE</w:t>
            </w:r>
          </w:p>
        </w:tc>
        <w:tc>
          <w:tcPr>
            <w:tcW w:w="8510" w:type="dxa"/>
            <w:shd w:val="clear" w:color="auto" w:fill="auto"/>
            <w:noWrap/>
            <w:vAlign w:val="center"/>
          </w:tcPr>
          <w:p w14:paraId="7EA6CEB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Gobiernos Estatales</w:t>
            </w:r>
          </w:p>
        </w:tc>
      </w:tr>
      <w:tr w:rsidR="00507D6E" w:rsidRPr="009A501D" w14:paraId="72A3F6D0" w14:textId="77777777" w:rsidTr="00BC774F">
        <w:trPr>
          <w:trHeight w:val="20"/>
          <w:jc w:val="center"/>
        </w:trPr>
        <w:tc>
          <w:tcPr>
            <w:tcW w:w="1555" w:type="dxa"/>
            <w:shd w:val="clear" w:color="auto" w:fill="auto"/>
            <w:noWrap/>
            <w:vAlign w:val="center"/>
          </w:tcPr>
          <w:p w14:paraId="362D4C9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CNGMD</w:t>
            </w:r>
          </w:p>
        </w:tc>
        <w:tc>
          <w:tcPr>
            <w:tcW w:w="8510" w:type="dxa"/>
            <w:shd w:val="clear" w:color="auto" w:fill="auto"/>
            <w:noWrap/>
            <w:vAlign w:val="center"/>
          </w:tcPr>
          <w:p w14:paraId="02E0518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Gobiernos Municipales y Demarcaciones Territoriales de la Ciudad de México</w:t>
            </w:r>
          </w:p>
        </w:tc>
      </w:tr>
      <w:tr w:rsidR="00507D6E" w:rsidRPr="009A501D" w14:paraId="585234D9" w14:textId="77777777" w:rsidTr="00BC774F">
        <w:trPr>
          <w:trHeight w:val="20"/>
          <w:jc w:val="center"/>
        </w:trPr>
        <w:tc>
          <w:tcPr>
            <w:tcW w:w="1555" w:type="dxa"/>
            <w:shd w:val="clear" w:color="auto" w:fill="auto"/>
            <w:noWrap/>
            <w:vAlign w:val="center"/>
          </w:tcPr>
          <w:p w14:paraId="17407CC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CNGF</w:t>
            </w:r>
          </w:p>
        </w:tc>
        <w:tc>
          <w:tcPr>
            <w:tcW w:w="8510" w:type="dxa"/>
            <w:shd w:val="clear" w:color="auto" w:fill="auto"/>
            <w:noWrap/>
            <w:vAlign w:val="center"/>
          </w:tcPr>
          <w:p w14:paraId="2000C35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Gobierno Federal</w:t>
            </w:r>
          </w:p>
        </w:tc>
      </w:tr>
      <w:tr w:rsidR="00507D6E" w:rsidRPr="009A501D" w14:paraId="3CE7564B" w14:textId="77777777" w:rsidTr="00BC774F">
        <w:trPr>
          <w:trHeight w:val="20"/>
          <w:jc w:val="center"/>
        </w:trPr>
        <w:tc>
          <w:tcPr>
            <w:tcW w:w="1555" w:type="dxa"/>
            <w:shd w:val="clear" w:color="auto" w:fill="auto"/>
            <w:noWrap/>
            <w:vAlign w:val="center"/>
          </w:tcPr>
          <w:p w14:paraId="64C23FAC" w14:textId="77777777" w:rsidR="00507D6E" w:rsidRPr="009A501D" w:rsidRDefault="00507D6E" w:rsidP="00664A1D">
            <w:pPr>
              <w:spacing w:after="0"/>
              <w:rPr>
                <w:rFonts w:ascii="Century Gothic" w:hAnsi="Century Gothic" w:cstheme="minorHAnsi"/>
                <w:sz w:val="16"/>
                <w:szCs w:val="16"/>
              </w:rPr>
            </w:pPr>
            <w:r w:rsidRPr="009A501D">
              <w:rPr>
                <w:rFonts w:ascii="Century Gothic" w:hAnsi="Century Gothic" w:cstheme="minorHAnsi"/>
                <w:sz w:val="16"/>
                <w:szCs w:val="16"/>
              </w:rPr>
              <w:t>CNIJE</w:t>
            </w:r>
          </w:p>
        </w:tc>
        <w:tc>
          <w:tcPr>
            <w:tcW w:w="8510" w:type="dxa"/>
            <w:shd w:val="clear" w:color="auto" w:fill="auto"/>
            <w:noWrap/>
            <w:vAlign w:val="center"/>
          </w:tcPr>
          <w:p w14:paraId="0B11975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Impartición de Justicia Estatal</w:t>
            </w:r>
          </w:p>
        </w:tc>
      </w:tr>
      <w:tr w:rsidR="00507D6E" w:rsidRPr="009A501D" w14:paraId="7B1789FA" w14:textId="77777777" w:rsidTr="00BC774F">
        <w:trPr>
          <w:trHeight w:val="20"/>
          <w:jc w:val="center"/>
        </w:trPr>
        <w:tc>
          <w:tcPr>
            <w:tcW w:w="1555" w:type="dxa"/>
            <w:shd w:val="clear" w:color="auto" w:fill="auto"/>
            <w:noWrap/>
            <w:vAlign w:val="center"/>
          </w:tcPr>
          <w:p w14:paraId="11E660D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theme="minorHAnsi"/>
                <w:sz w:val="16"/>
                <w:szCs w:val="16"/>
              </w:rPr>
              <w:t>CNIJF</w:t>
            </w:r>
          </w:p>
        </w:tc>
        <w:tc>
          <w:tcPr>
            <w:tcW w:w="8510" w:type="dxa"/>
            <w:shd w:val="clear" w:color="auto" w:fill="auto"/>
            <w:noWrap/>
            <w:vAlign w:val="center"/>
          </w:tcPr>
          <w:p w14:paraId="4E1E4A5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Impartición de Justicia Federal</w:t>
            </w:r>
          </w:p>
        </w:tc>
      </w:tr>
      <w:tr w:rsidR="00507D6E" w:rsidRPr="009A501D" w14:paraId="67C2CA8D" w14:textId="77777777" w:rsidTr="00BC774F">
        <w:trPr>
          <w:trHeight w:val="20"/>
          <w:jc w:val="center"/>
        </w:trPr>
        <w:tc>
          <w:tcPr>
            <w:tcW w:w="1555" w:type="dxa"/>
            <w:shd w:val="clear" w:color="auto" w:fill="auto"/>
            <w:noWrap/>
            <w:vAlign w:val="center"/>
          </w:tcPr>
          <w:p w14:paraId="511544D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CNPJE</w:t>
            </w:r>
          </w:p>
        </w:tc>
        <w:tc>
          <w:tcPr>
            <w:tcW w:w="8510" w:type="dxa"/>
            <w:shd w:val="clear" w:color="auto" w:fill="auto"/>
            <w:noWrap/>
            <w:vAlign w:val="center"/>
          </w:tcPr>
          <w:p w14:paraId="37FFB4A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Procuración de Justicia Estatal</w:t>
            </w:r>
          </w:p>
        </w:tc>
      </w:tr>
      <w:tr w:rsidR="00507D6E" w:rsidRPr="009A501D" w14:paraId="3DF09CE4" w14:textId="77777777" w:rsidTr="00BC774F">
        <w:trPr>
          <w:trHeight w:val="20"/>
          <w:jc w:val="center"/>
        </w:trPr>
        <w:tc>
          <w:tcPr>
            <w:tcW w:w="1555" w:type="dxa"/>
            <w:shd w:val="clear" w:color="auto" w:fill="auto"/>
            <w:noWrap/>
            <w:vAlign w:val="center"/>
          </w:tcPr>
          <w:p w14:paraId="36E1798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CNPJF</w:t>
            </w:r>
          </w:p>
        </w:tc>
        <w:tc>
          <w:tcPr>
            <w:tcW w:w="8510" w:type="dxa"/>
            <w:shd w:val="clear" w:color="auto" w:fill="auto"/>
            <w:noWrap/>
            <w:vAlign w:val="center"/>
          </w:tcPr>
          <w:p w14:paraId="03004F5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Procuración de Justicia Federal</w:t>
            </w:r>
          </w:p>
        </w:tc>
      </w:tr>
      <w:tr w:rsidR="00507D6E" w:rsidRPr="009A501D" w14:paraId="7874A58F" w14:textId="77777777" w:rsidTr="00BC774F">
        <w:trPr>
          <w:trHeight w:val="20"/>
          <w:jc w:val="center"/>
        </w:trPr>
        <w:tc>
          <w:tcPr>
            <w:tcW w:w="1555" w:type="dxa"/>
            <w:shd w:val="clear" w:color="auto" w:fill="auto"/>
            <w:noWrap/>
            <w:vAlign w:val="center"/>
          </w:tcPr>
          <w:p w14:paraId="52BF99F7" w14:textId="77777777" w:rsidR="00507D6E" w:rsidRPr="009A501D" w:rsidRDefault="00507D6E" w:rsidP="00664A1D">
            <w:pPr>
              <w:spacing w:after="0"/>
              <w:rPr>
                <w:rFonts w:ascii="Century Gothic" w:hAnsi="Century Gothic" w:cstheme="minorHAnsi"/>
                <w:sz w:val="16"/>
                <w:szCs w:val="16"/>
              </w:rPr>
            </w:pPr>
            <w:r w:rsidRPr="009A501D">
              <w:rPr>
                <w:rFonts w:ascii="Century Gothic" w:hAnsi="Century Gothic" w:cstheme="minorHAnsi"/>
                <w:sz w:val="16"/>
                <w:szCs w:val="16"/>
              </w:rPr>
              <w:t>CNPLE</w:t>
            </w:r>
          </w:p>
        </w:tc>
        <w:tc>
          <w:tcPr>
            <w:tcW w:w="8510" w:type="dxa"/>
            <w:shd w:val="clear" w:color="auto" w:fill="auto"/>
            <w:noWrap/>
            <w:vAlign w:val="center"/>
          </w:tcPr>
          <w:p w14:paraId="1B827FF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Poderes Legislativos Estatales</w:t>
            </w:r>
          </w:p>
        </w:tc>
      </w:tr>
      <w:tr w:rsidR="00507D6E" w:rsidRPr="009A501D" w14:paraId="7FA32CF1" w14:textId="77777777" w:rsidTr="00BC774F">
        <w:trPr>
          <w:trHeight w:val="20"/>
          <w:jc w:val="center"/>
        </w:trPr>
        <w:tc>
          <w:tcPr>
            <w:tcW w:w="1555" w:type="dxa"/>
            <w:shd w:val="clear" w:color="auto" w:fill="auto"/>
            <w:noWrap/>
            <w:vAlign w:val="center"/>
          </w:tcPr>
          <w:p w14:paraId="2E0055F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CNSIPEE</w:t>
            </w:r>
          </w:p>
        </w:tc>
        <w:tc>
          <w:tcPr>
            <w:tcW w:w="8510" w:type="dxa"/>
            <w:shd w:val="clear" w:color="auto" w:fill="auto"/>
            <w:noWrap/>
            <w:vAlign w:val="center"/>
          </w:tcPr>
          <w:p w14:paraId="5DED9CB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Sistemas Penitenciarios Estatales</w:t>
            </w:r>
          </w:p>
        </w:tc>
      </w:tr>
      <w:tr w:rsidR="00507D6E" w:rsidRPr="009A501D" w14:paraId="03F76A7E" w14:textId="77777777" w:rsidTr="00BC774F">
        <w:trPr>
          <w:trHeight w:val="20"/>
          <w:jc w:val="center"/>
        </w:trPr>
        <w:tc>
          <w:tcPr>
            <w:tcW w:w="1555" w:type="dxa"/>
            <w:shd w:val="clear" w:color="auto" w:fill="auto"/>
            <w:noWrap/>
            <w:vAlign w:val="center"/>
          </w:tcPr>
          <w:p w14:paraId="3200066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CNSIPEF</w:t>
            </w:r>
          </w:p>
        </w:tc>
        <w:tc>
          <w:tcPr>
            <w:tcW w:w="8510" w:type="dxa"/>
            <w:shd w:val="clear" w:color="auto" w:fill="auto"/>
            <w:noWrap/>
            <w:vAlign w:val="center"/>
          </w:tcPr>
          <w:p w14:paraId="4603343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Sistema Penitenciario Federal</w:t>
            </w:r>
          </w:p>
        </w:tc>
      </w:tr>
      <w:tr w:rsidR="00507D6E" w:rsidRPr="009A501D" w14:paraId="4C1CF230" w14:textId="77777777" w:rsidTr="00BC774F">
        <w:trPr>
          <w:trHeight w:val="20"/>
          <w:jc w:val="center"/>
        </w:trPr>
        <w:tc>
          <w:tcPr>
            <w:tcW w:w="1555" w:type="dxa"/>
            <w:shd w:val="clear" w:color="auto" w:fill="auto"/>
            <w:noWrap/>
            <w:vAlign w:val="center"/>
          </w:tcPr>
          <w:p w14:paraId="45BD19F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CNSPE</w:t>
            </w:r>
          </w:p>
        </w:tc>
        <w:tc>
          <w:tcPr>
            <w:tcW w:w="8510" w:type="dxa"/>
            <w:shd w:val="clear" w:color="auto" w:fill="auto"/>
            <w:noWrap/>
            <w:vAlign w:val="center"/>
          </w:tcPr>
          <w:p w14:paraId="02993F4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Seguridad Pública Estatal</w:t>
            </w:r>
          </w:p>
        </w:tc>
      </w:tr>
      <w:tr w:rsidR="00507D6E" w:rsidRPr="009A501D" w14:paraId="09D15C30" w14:textId="77777777" w:rsidTr="00BC774F">
        <w:trPr>
          <w:trHeight w:val="20"/>
          <w:jc w:val="center"/>
        </w:trPr>
        <w:tc>
          <w:tcPr>
            <w:tcW w:w="1555" w:type="dxa"/>
            <w:shd w:val="clear" w:color="auto" w:fill="auto"/>
            <w:noWrap/>
            <w:vAlign w:val="center"/>
          </w:tcPr>
          <w:p w14:paraId="0D83F72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theme="minorHAnsi"/>
                <w:sz w:val="16"/>
                <w:szCs w:val="16"/>
              </w:rPr>
              <w:t>CNSPF</w:t>
            </w:r>
          </w:p>
        </w:tc>
        <w:tc>
          <w:tcPr>
            <w:tcW w:w="8510" w:type="dxa"/>
            <w:shd w:val="clear" w:color="auto" w:fill="auto"/>
            <w:noWrap/>
            <w:vAlign w:val="center"/>
          </w:tcPr>
          <w:p w14:paraId="1AAD6A3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Seguridad Pública Federal</w:t>
            </w:r>
          </w:p>
        </w:tc>
      </w:tr>
      <w:tr w:rsidR="00507D6E" w:rsidRPr="009A501D" w14:paraId="0AC6FAAE" w14:textId="77777777" w:rsidTr="00BC774F">
        <w:trPr>
          <w:trHeight w:val="20"/>
          <w:jc w:val="center"/>
        </w:trPr>
        <w:tc>
          <w:tcPr>
            <w:tcW w:w="1555" w:type="dxa"/>
            <w:shd w:val="clear" w:color="auto" w:fill="auto"/>
            <w:noWrap/>
            <w:vAlign w:val="center"/>
          </w:tcPr>
          <w:p w14:paraId="3FCA4F7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CNTAIPPDPE</w:t>
            </w:r>
          </w:p>
        </w:tc>
        <w:tc>
          <w:tcPr>
            <w:tcW w:w="8510" w:type="dxa"/>
            <w:shd w:val="clear" w:color="auto" w:fill="auto"/>
            <w:noWrap/>
            <w:vAlign w:val="center"/>
          </w:tcPr>
          <w:p w14:paraId="4F58552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Nacional de Transparencia, Acceso a la Información Pública y Protección de Datos Personales Estatal</w:t>
            </w:r>
          </w:p>
        </w:tc>
      </w:tr>
      <w:tr w:rsidR="00507D6E" w:rsidRPr="009A501D" w14:paraId="0889BE6B" w14:textId="77777777" w:rsidTr="00BC774F">
        <w:trPr>
          <w:trHeight w:val="20"/>
          <w:jc w:val="center"/>
        </w:trPr>
        <w:tc>
          <w:tcPr>
            <w:tcW w:w="1555" w:type="dxa"/>
            <w:shd w:val="clear" w:color="auto" w:fill="auto"/>
            <w:noWrap/>
            <w:vAlign w:val="center"/>
          </w:tcPr>
          <w:p w14:paraId="0E8BAC5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CPV</w:t>
            </w:r>
          </w:p>
        </w:tc>
        <w:tc>
          <w:tcPr>
            <w:tcW w:w="8510" w:type="dxa"/>
            <w:shd w:val="clear" w:color="auto" w:fill="auto"/>
            <w:noWrap/>
            <w:vAlign w:val="center"/>
          </w:tcPr>
          <w:p w14:paraId="1F5E87B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de Población y Vivienda</w:t>
            </w:r>
          </w:p>
        </w:tc>
      </w:tr>
      <w:tr w:rsidR="00507D6E" w:rsidRPr="009A501D" w14:paraId="6902096D" w14:textId="77777777" w:rsidTr="00BC774F">
        <w:trPr>
          <w:trHeight w:val="20"/>
          <w:jc w:val="center"/>
        </w:trPr>
        <w:tc>
          <w:tcPr>
            <w:tcW w:w="1555" w:type="dxa"/>
            <w:shd w:val="clear" w:color="auto" w:fill="auto"/>
            <w:noWrap/>
            <w:vAlign w:val="center"/>
          </w:tcPr>
          <w:p w14:paraId="275ACC2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CPV_CA</w:t>
            </w:r>
          </w:p>
        </w:tc>
        <w:tc>
          <w:tcPr>
            <w:tcW w:w="8510" w:type="dxa"/>
            <w:shd w:val="clear" w:color="auto" w:fill="auto"/>
            <w:noWrap/>
            <w:vAlign w:val="center"/>
          </w:tcPr>
          <w:p w14:paraId="6157310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Censo de Población y Vivienda (Cuestionario Ampliado)</w:t>
            </w:r>
          </w:p>
        </w:tc>
      </w:tr>
      <w:tr w:rsidR="00507D6E" w:rsidRPr="009A501D" w14:paraId="30ED7A25" w14:textId="77777777" w:rsidTr="00BC774F">
        <w:trPr>
          <w:trHeight w:val="20"/>
          <w:jc w:val="center"/>
        </w:trPr>
        <w:tc>
          <w:tcPr>
            <w:tcW w:w="1555" w:type="dxa"/>
            <w:shd w:val="clear" w:color="auto" w:fill="auto"/>
            <w:noWrap/>
            <w:vAlign w:val="center"/>
          </w:tcPr>
          <w:p w14:paraId="0E3099E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CR</w:t>
            </w:r>
          </w:p>
        </w:tc>
        <w:tc>
          <w:tcPr>
            <w:tcW w:w="8510" w:type="dxa"/>
            <w:shd w:val="clear" w:color="auto" w:fill="auto"/>
            <w:noWrap/>
            <w:vAlign w:val="center"/>
          </w:tcPr>
          <w:p w14:paraId="798CFD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Cuentas Regionales</w:t>
            </w:r>
          </w:p>
        </w:tc>
      </w:tr>
      <w:tr w:rsidR="00507D6E" w:rsidRPr="009A501D" w14:paraId="7FDB17CD" w14:textId="77777777" w:rsidTr="00BC774F">
        <w:trPr>
          <w:trHeight w:val="20"/>
          <w:jc w:val="center"/>
        </w:trPr>
        <w:tc>
          <w:tcPr>
            <w:tcW w:w="1555" w:type="dxa"/>
            <w:shd w:val="clear" w:color="auto" w:fill="auto"/>
            <w:noWrap/>
            <w:vAlign w:val="center"/>
          </w:tcPr>
          <w:p w14:paraId="2173A73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CSI</w:t>
            </w:r>
          </w:p>
        </w:tc>
        <w:tc>
          <w:tcPr>
            <w:tcW w:w="8510" w:type="dxa"/>
            <w:shd w:val="clear" w:color="auto" w:fill="auto"/>
            <w:noWrap/>
            <w:vAlign w:val="center"/>
          </w:tcPr>
          <w:p w14:paraId="6CE3F28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Cuentas por Sectores Institucionales</w:t>
            </w:r>
          </w:p>
        </w:tc>
      </w:tr>
      <w:tr w:rsidR="00507D6E" w:rsidRPr="009A501D" w14:paraId="13D2DE72" w14:textId="77777777" w:rsidTr="00BC774F">
        <w:trPr>
          <w:trHeight w:val="20"/>
          <w:jc w:val="center"/>
        </w:trPr>
        <w:tc>
          <w:tcPr>
            <w:tcW w:w="1555" w:type="dxa"/>
            <w:shd w:val="clear" w:color="auto" w:fill="auto"/>
            <w:noWrap/>
            <w:vAlign w:val="center"/>
          </w:tcPr>
          <w:p w14:paraId="132D04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CUR</w:t>
            </w:r>
          </w:p>
        </w:tc>
        <w:tc>
          <w:tcPr>
            <w:tcW w:w="8510" w:type="dxa"/>
            <w:shd w:val="clear" w:color="auto" w:fill="auto"/>
            <w:noWrap/>
            <w:vAlign w:val="center"/>
          </w:tcPr>
          <w:p w14:paraId="4119BF7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Cartografía Urbana y Rural</w:t>
            </w:r>
          </w:p>
        </w:tc>
      </w:tr>
      <w:tr w:rsidR="00507D6E" w:rsidRPr="009A501D" w14:paraId="7BDCCA3E" w14:textId="77777777" w:rsidTr="00BC774F">
        <w:trPr>
          <w:trHeight w:val="20"/>
          <w:jc w:val="center"/>
        </w:trPr>
        <w:tc>
          <w:tcPr>
            <w:tcW w:w="1555" w:type="dxa"/>
            <w:shd w:val="clear" w:color="auto" w:fill="auto"/>
            <w:noWrap/>
            <w:vAlign w:val="center"/>
            <w:hideMark/>
          </w:tcPr>
          <w:p w14:paraId="1BAC8752"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EAC</w:t>
            </w:r>
          </w:p>
        </w:tc>
        <w:tc>
          <w:tcPr>
            <w:tcW w:w="8510" w:type="dxa"/>
            <w:shd w:val="clear" w:color="auto" w:fill="auto"/>
            <w:noWrap/>
            <w:vAlign w:val="center"/>
            <w:hideMark/>
          </w:tcPr>
          <w:p w14:paraId="44D0085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Anual de Comercio</w:t>
            </w:r>
          </w:p>
        </w:tc>
      </w:tr>
      <w:tr w:rsidR="00507D6E" w:rsidRPr="009A501D" w14:paraId="12A50154" w14:textId="77777777" w:rsidTr="00BC774F">
        <w:trPr>
          <w:trHeight w:val="20"/>
          <w:jc w:val="center"/>
        </w:trPr>
        <w:tc>
          <w:tcPr>
            <w:tcW w:w="1555" w:type="dxa"/>
            <w:shd w:val="clear" w:color="auto" w:fill="auto"/>
            <w:noWrap/>
            <w:vAlign w:val="center"/>
            <w:hideMark/>
          </w:tcPr>
          <w:p w14:paraId="6047A827"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EAEC</w:t>
            </w:r>
          </w:p>
        </w:tc>
        <w:tc>
          <w:tcPr>
            <w:tcW w:w="8510" w:type="dxa"/>
            <w:shd w:val="clear" w:color="auto" w:fill="auto"/>
            <w:noWrap/>
            <w:vAlign w:val="center"/>
            <w:hideMark/>
          </w:tcPr>
          <w:p w14:paraId="380AD54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Anual de Empresas Constructoras</w:t>
            </w:r>
          </w:p>
        </w:tc>
      </w:tr>
      <w:tr w:rsidR="00507D6E" w:rsidRPr="009A501D" w14:paraId="0FDF32A6" w14:textId="77777777" w:rsidTr="00BC774F">
        <w:trPr>
          <w:trHeight w:val="20"/>
          <w:jc w:val="center"/>
        </w:trPr>
        <w:tc>
          <w:tcPr>
            <w:tcW w:w="1555" w:type="dxa"/>
            <w:shd w:val="clear" w:color="auto" w:fill="auto"/>
            <w:noWrap/>
            <w:vAlign w:val="center"/>
            <w:hideMark/>
          </w:tcPr>
          <w:p w14:paraId="5F30A2A5"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EAIM</w:t>
            </w:r>
          </w:p>
        </w:tc>
        <w:tc>
          <w:tcPr>
            <w:tcW w:w="8510" w:type="dxa"/>
            <w:shd w:val="clear" w:color="auto" w:fill="auto"/>
            <w:noWrap/>
            <w:vAlign w:val="center"/>
            <w:hideMark/>
          </w:tcPr>
          <w:p w14:paraId="67DC777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Anual de la Industria Manufacturera</w:t>
            </w:r>
          </w:p>
        </w:tc>
      </w:tr>
      <w:tr w:rsidR="00507D6E" w:rsidRPr="009A501D" w14:paraId="4F81ED94" w14:textId="77777777" w:rsidTr="00BC774F">
        <w:trPr>
          <w:trHeight w:val="20"/>
          <w:jc w:val="center"/>
        </w:trPr>
        <w:tc>
          <w:tcPr>
            <w:tcW w:w="1555" w:type="dxa"/>
            <w:shd w:val="clear" w:color="auto" w:fill="auto"/>
            <w:noWrap/>
            <w:vAlign w:val="center"/>
            <w:hideMark/>
          </w:tcPr>
          <w:p w14:paraId="00A6C2CE"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EASPNF</w:t>
            </w:r>
          </w:p>
        </w:tc>
        <w:tc>
          <w:tcPr>
            <w:tcW w:w="8510" w:type="dxa"/>
            <w:shd w:val="clear" w:color="auto" w:fill="auto"/>
            <w:noWrap/>
            <w:vAlign w:val="center"/>
            <w:hideMark/>
          </w:tcPr>
          <w:p w14:paraId="188C0AA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Anual de Servicios Privados no financieros</w:t>
            </w:r>
          </w:p>
        </w:tc>
      </w:tr>
      <w:tr w:rsidR="00507D6E" w:rsidRPr="009A501D" w14:paraId="4305F80B" w14:textId="77777777" w:rsidTr="00BC774F">
        <w:trPr>
          <w:trHeight w:val="20"/>
          <w:jc w:val="center"/>
        </w:trPr>
        <w:tc>
          <w:tcPr>
            <w:tcW w:w="1555" w:type="dxa"/>
            <w:shd w:val="clear" w:color="auto" w:fill="auto"/>
            <w:noWrap/>
            <w:vAlign w:val="center"/>
            <w:hideMark/>
          </w:tcPr>
          <w:p w14:paraId="46843998"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EAT</w:t>
            </w:r>
          </w:p>
        </w:tc>
        <w:tc>
          <w:tcPr>
            <w:tcW w:w="8510" w:type="dxa"/>
            <w:shd w:val="clear" w:color="auto" w:fill="auto"/>
            <w:noWrap/>
            <w:vAlign w:val="center"/>
            <w:hideMark/>
          </w:tcPr>
          <w:p w14:paraId="59A250E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Anual de Transportes</w:t>
            </w:r>
          </w:p>
        </w:tc>
      </w:tr>
      <w:tr w:rsidR="00507D6E" w:rsidRPr="009A501D" w14:paraId="06828D7D" w14:textId="77777777" w:rsidTr="00BC774F">
        <w:trPr>
          <w:trHeight w:val="20"/>
          <w:jc w:val="center"/>
        </w:trPr>
        <w:tc>
          <w:tcPr>
            <w:tcW w:w="1555" w:type="dxa"/>
            <w:shd w:val="clear" w:color="auto" w:fill="auto"/>
            <w:noWrap/>
            <w:vAlign w:val="center"/>
          </w:tcPr>
          <w:p w14:paraId="5709A732"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ECADEFI-CHIH</w:t>
            </w:r>
          </w:p>
        </w:tc>
        <w:tc>
          <w:tcPr>
            <w:tcW w:w="8510" w:type="dxa"/>
            <w:shd w:val="clear" w:color="auto" w:fill="auto"/>
            <w:noWrap/>
            <w:vAlign w:val="center"/>
          </w:tcPr>
          <w:p w14:paraId="286003E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para Caracterizar a la población en situación de Desplazamiento Forzado Interno en el Estado de Chihuahua</w:t>
            </w:r>
          </w:p>
        </w:tc>
      </w:tr>
      <w:tr w:rsidR="00507D6E" w:rsidRPr="009A501D" w14:paraId="001641F2" w14:textId="77777777" w:rsidTr="00BC774F">
        <w:trPr>
          <w:trHeight w:val="20"/>
          <w:jc w:val="center"/>
        </w:trPr>
        <w:tc>
          <w:tcPr>
            <w:tcW w:w="1555" w:type="dxa"/>
            <w:shd w:val="clear" w:color="auto" w:fill="auto"/>
            <w:noWrap/>
            <w:vAlign w:val="center"/>
          </w:tcPr>
          <w:p w14:paraId="597A9C59"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ECIS</w:t>
            </w:r>
          </w:p>
        </w:tc>
        <w:tc>
          <w:tcPr>
            <w:tcW w:w="8510" w:type="dxa"/>
            <w:shd w:val="clear" w:color="auto" w:fill="auto"/>
            <w:noWrap/>
            <w:vAlign w:val="center"/>
          </w:tcPr>
          <w:p w14:paraId="4FCCD50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de Comercio Internacional de Servicios</w:t>
            </w:r>
          </w:p>
        </w:tc>
      </w:tr>
      <w:tr w:rsidR="00507D6E" w:rsidRPr="009A501D" w14:paraId="78F9E446" w14:textId="77777777" w:rsidTr="00BC774F">
        <w:trPr>
          <w:trHeight w:val="20"/>
          <w:jc w:val="center"/>
        </w:trPr>
        <w:tc>
          <w:tcPr>
            <w:tcW w:w="1555" w:type="dxa"/>
            <w:shd w:val="clear" w:color="auto" w:fill="auto"/>
            <w:noWrap/>
            <w:vAlign w:val="center"/>
          </w:tcPr>
          <w:p w14:paraId="70EC9BCE"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ECOVID-IE</w:t>
            </w:r>
          </w:p>
        </w:tc>
        <w:tc>
          <w:tcPr>
            <w:tcW w:w="8510" w:type="dxa"/>
            <w:shd w:val="clear" w:color="auto" w:fill="auto"/>
            <w:noWrap/>
            <w:vAlign w:val="center"/>
          </w:tcPr>
          <w:p w14:paraId="4022253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sobre el Impacto Económico Generado por COVID-19 en las Empresas</w:t>
            </w:r>
          </w:p>
        </w:tc>
      </w:tr>
      <w:tr w:rsidR="00507D6E" w:rsidRPr="009A501D" w14:paraId="4071BA2B" w14:textId="77777777" w:rsidTr="00BC774F">
        <w:trPr>
          <w:trHeight w:val="20"/>
          <w:jc w:val="center"/>
        </w:trPr>
        <w:tc>
          <w:tcPr>
            <w:tcW w:w="1555" w:type="dxa"/>
            <w:shd w:val="clear" w:color="auto" w:fill="auto"/>
            <w:noWrap/>
            <w:vAlign w:val="center"/>
          </w:tcPr>
          <w:p w14:paraId="25B74DF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ECSAP-IL</w:t>
            </w:r>
          </w:p>
        </w:tc>
        <w:tc>
          <w:tcPr>
            <w:tcW w:w="8510" w:type="dxa"/>
            <w:shd w:val="clear" w:color="auto" w:fill="auto"/>
            <w:noWrap/>
            <w:vAlign w:val="center"/>
          </w:tcPr>
          <w:p w14:paraId="0436AC0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Estimación de Características Sociodemográficas en Áreas Pequeñas</w:t>
            </w:r>
          </w:p>
        </w:tc>
      </w:tr>
      <w:tr w:rsidR="00507D6E" w:rsidRPr="009A501D" w14:paraId="37D0604E" w14:textId="77777777" w:rsidTr="00BC774F">
        <w:trPr>
          <w:trHeight w:val="20"/>
          <w:jc w:val="center"/>
        </w:trPr>
        <w:tc>
          <w:tcPr>
            <w:tcW w:w="1555" w:type="dxa"/>
            <w:shd w:val="clear" w:color="auto" w:fill="auto"/>
            <w:noWrap/>
            <w:vAlign w:val="center"/>
          </w:tcPr>
          <w:p w14:paraId="65FFDD9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ECRIGE-CDMX</w:t>
            </w:r>
          </w:p>
        </w:tc>
        <w:tc>
          <w:tcPr>
            <w:tcW w:w="8510" w:type="dxa"/>
            <w:shd w:val="clear" w:color="auto" w:fill="auto"/>
            <w:noWrap/>
            <w:vAlign w:val="center"/>
          </w:tcPr>
          <w:p w14:paraId="23E5894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de Calidad Regulatoria e Impacto Gubernamental en Empresas de la Ciudad de México</w:t>
            </w:r>
          </w:p>
        </w:tc>
      </w:tr>
      <w:tr w:rsidR="00507D6E" w:rsidRPr="009A501D" w14:paraId="3EDF290F" w14:textId="77777777" w:rsidTr="00BC774F">
        <w:trPr>
          <w:trHeight w:val="20"/>
          <w:jc w:val="center"/>
        </w:trPr>
        <w:tc>
          <w:tcPr>
            <w:tcW w:w="1555" w:type="dxa"/>
            <w:shd w:val="clear" w:color="auto" w:fill="auto"/>
            <w:noWrap/>
            <w:vAlign w:val="center"/>
          </w:tcPr>
          <w:p w14:paraId="500B5F4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ED</w:t>
            </w:r>
          </w:p>
        </w:tc>
        <w:tc>
          <w:tcPr>
            <w:tcW w:w="8510" w:type="dxa"/>
            <w:shd w:val="clear" w:color="auto" w:fill="auto"/>
            <w:noWrap/>
            <w:vAlign w:val="center"/>
          </w:tcPr>
          <w:p w14:paraId="5F5444C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 de Divorcios</w:t>
            </w:r>
          </w:p>
        </w:tc>
      </w:tr>
      <w:tr w:rsidR="00507D6E" w:rsidRPr="009A501D" w14:paraId="6F90673A" w14:textId="77777777" w:rsidTr="00BC774F">
        <w:trPr>
          <w:trHeight w:val="20"/>
          <w:jc w:val="center"/>
        </w:trPr>
        <w:tc>
          <w:tcPr>
            <w:tcW w:w="1555" w:type="dxa"/>
            <w:shd w:val="clear" w:color="auto" w:fill="auto"/>
            <w:noWrap/>
            <w:vAlign w:val="center"/>
            <w:hideMark/>
          </w:tcPr>
          <w:p w14:paraId="12370915"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EDER</w:t>
            </w:r>
          </w:p>
        </w:tc>
        <w:tc>
          <w:tcPr>
            <w:tcW w:w="8510" w:type="dxa"/>
            <w:shd w:val="clear" w:color="auto" w:fill="auto"/>
            <w:noWrap/>
            <w:vAlign w:val="center"/>
            <w:hideMark/>
          </w:tcPr>
          <w:p w14:paraId="64641BE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Demográfica Retrospectiva</w:t>
            </w:r>
          </w:p>
        </w:tc>
      </w:tr>
      <w:tr w:rsidR="00507D6E" w:rsidRPr="009A501D" w14:paraId="76D55A09" w14:textId="77777777" w:rsidTr="00BC774F">
        <w:trPr>
          <w:trHeight w:val="20"/>
          <w:jc w:val="center"/>
        </w:trPr>
        <w:tc>
          <w:tcPr>
            <w:tcW w:w="1555" w:type="dxa"/>
            <w:shd w:val="clear" w:color="auto" w:fill="auto"/>
            <w:noWrap/>
            <w:vAlign w:val="center"/>
          </w:tcPr>
          <w:p w14:paraId="11D5203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EDF</w:t>
            </w:r>
          </w:p>
        </w:tc>
        <w:tc>
          <w:tcPr>
            <w:tcW w:w="8510" w:type="dxa"/>
            <w:shd w:val="clear" w:color="auto" w:fill="auto"/>
            <w:noWrap/>
            <w:vAlign w:val="center"/>
          </w:tcPr>
          <w:p w14:paraId="3842D44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Estadísticas de Defunciones Fetales</w:t>
            </w:r>
          </w:p>
        </w:tc>
      </w:tr>
      <w:tr w:rsidR="00507D6E" w:rsidRPr="009A501D" w14:paraId="5B2D43CC" w14:textId="77777777" w:rsidTr="00BC774F">
        <w:trPr>
          <w:trHeight w:val="20"/>
          <w:jc w:val="center"/>
        </w:trPr>
        <w:tc>
          <w:tcPr>
            <w:tcW w:w="1555" w:type="dxa"/>
            <w:shd w:val="clear" w:color="auto" w:fill="auto"/>
            <w:noWrap/>
            <w:vAlign w:val="center"/>
          </w:tcPr>
          <w:p w14:paraId="71EC13B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EDR</w:t>
            </w:r>
          </w:p>
        </w:tc>
        <w:tc>
          <w:tcPr>
            <w:tcW w:w="8510" w:type="dxa"/>
            <w:shd w:val="clear" w:color="auto" w:fill="auto"/>
            <w:noWrap/>
            <w:vAlign w:val="center"/>
          </w:tcPr>
          <w:p w14:paraId="08BD247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Estadísticas de Defunciones Registradas</w:t>
            </w:r>
          </w:p>
        </w:tc>
      </w:tr>
      <w:tr w:rsidR="00507D6E" w:rsidRPr="009A501D" w14:paraId="586B5761" w14:textId="77777777" w:rsidTr="00BC774F">
        <w:trPr>
          <w:trHeight w:val="20"/>
          <w:jc w:val="center"/>
        </w:trPr>
        <w:tc>
          <w:tcPr>
            <w:tcW w:w="1555" w:type="dxa"/>
            <w:shd w:val="clear" w:color="auto" w:fill="auto"/>
            <w:noWrap/>
            <w:vAlign w:val="center"/>
            <w:hideMark/>
          </w:tcPr>
          <w:p w14:paraId="728EBD07"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EFIPEM</w:t>
            </w:r>
          </w:p>
        </w:tc>
        <w:tc>
          <w:tcPr>
            <w:tcW w:w="8510" w:type="dxa"/>
            <w:shd w:val="clear" w:color="auto" w:fill="auto"/>
            <w:noWrap/>
            <w:vAlign w:val="center"/>
            <w:hideMark/>
          </w:tcPr>
          <w:p w14:paraId="68F6A02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Finanzas Públicas Estatales y Municipales</w:t>
            </w:r>
          </w:p>
        </w:tc>
      </w:tr>
      <w:tr w:rsidR="00507D6E" w:rsidRPr="009A501D" w14:paraId="22988E91" w14:textId="77777777" w:rsidTr="00BC774F">
        <w:trPr>
          <w:trHeight w:val="20"/>
          <w:jc w:val="center"/>
        </w:trPr>
        <w:tc>
          <w:tcPr>
            <w:tcW w:w="1555" w:type="dxa"/>
            <w:shd w:val="clear" w:color="auto" w:fill="auto"/>
            <w:noWrap/>
            <w:vAlign w:val="center"/>
          </w:tcPr>
          <w:p w14:paraId="2904023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lastRenderedPageBreak/>
              <w:t>EIMM</w:t>
            </w:r>
          </w:p>
        </w:tc>
        <w:tc>
          <w:tcPr>
            <w:tcW w:w="8510" w:type="dxa"/>
            <w:shd w:val="clear" w:color="auto" w:fill="auto"/>
            <w:noWrap/>
            <w:vAlign w:val="center"/>
          </w:tcPr>
          <w:p w14:paraId="19D52FD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Industria </w:t>
            </w:r>
            <w:proofErr w:type="spellStart"/>
            <w:r w:rsidRPr="009A501D">
              <w:rPr>
                <w:rFonts w:ascii="Century Gothic" w:hAnsi="Century Gothic" w:cs="Calibri"/>
                <w:sz w:val="16"/>
                <w:szCs w:val="16"/>
              </w:rPr>
              <w:t>Minerometalúrgica</w:t>
            </w:r>
            <w:proofErr w:type="spellEnd"/>
          </w:p>
        </w:tc>
      </w:tr>
      <w:tr w:rsidR="00507D6E" w:rsidRPr="009A501D" w14:paraId="18353D61" w14:textId="77777777" w:rsidTr="00BC774F">
        <w:trPr>
          <w:trHeight w:val="20"/>
          <w:jc w:val="center"/>
        </w:trPr>
        <w:tc>
          <w:tcPr>
            <w:tcW w:w="1555" w:type="dxa"/>
            <w:shd w:val="clear" w:color="auto" w:fill="auto"/>
            <w:noWrap/>
            <w:vAlign w:val="center"/>
          </w:tcPr>
          <w:p w14:paraId="51A20D24"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EM</w:t>
            </w:r>
          </w:p>
        </w:tc>
        <w:tc>
          <w:tcPr>
            <w:tcW w:w="8510" w:type="dxa"/>
            <w:shd w:val="clear" w:color="auto" w:fill="auto"/>
            <w:noWrap/>
            <w:vAlign w:val="center"/>
          </w:tcPr>
          <w:p w14:paraId="50DF0E5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 de Museos</w:t>
            </w:r>
          </w:p>
        </w:tc>
      </w:tr>
      <w:tr w:rsidR="00507D6E" w:rsidRPr="009A501D" w14:paraId="14D7CDE3" w14:textId="77777777" w:rsidTr="00BC774F">
        <w:trPr>
          <w:trHeight w:val="20"/>
          <w:jc w:val="center"/>
        </w:trPr>
        <w:tc>
          <w:tcPr>
            <w:tcW w:w="1555" w:type="dxa"/>
            <w:shd w:val="clear" w:color="auto" w:fill="auto"/>
            <w:noWrap/>
            <w:vAlign w:val="center"/>
          </w:tcPr>
          <w:p w14:paraId="4D8060B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EMAT</w:t>
            </w:r>
          </w:p>
        </w:tc>
        <w:tc>
          <w:tcPr>
            <w:tcW w:w="8510" w:type="dxa"/>
            <w:shd w:val="clear" w:color="auto" w:fill="auto"/>
            <w:noWrap/>
            <w:vAlign w:val="center"/>
          </w:tcPr>
          <w:p w14:paraId="510A57D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 de Matrimonios</w:t>
            </w:r>
          </w:p>
        </w:tc>
      </w:tr>
      <w:tr w:rsidR="00507D6E" w:rsidRPr="009A501D" w14:paraId="0E8B00B2" w14:textId="77777777" w:rsidTr="00BC774F">
        <w:trPr>
          <w:trHeight w:val="20"/>
          <w:jc w:val="center"/>
        </w:trPr>
        <w:tc>
          <w:tcPr>
            <w:tcW w:w="1555" w:type="dxa"/>
            <w:shd w:val="clear" w:color="auto" w:fill="auto"/>
            <w:noWrap/>
            <w:vAlign w:val="center"/>
            <w:hideMark/>
          </w:tcPr>
          <w:p w14:paraId="36023297"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EMEC</w:t>
            </w:r>
          </w:p>
        </w:tc>
        <w:tc>
          <w:tcPr>
            <w:tcW w:w="8510" w:type="dxa"/>
            <w:shd w:val="clear" w:color="auto" w:fill="auto"/>
            <w:noWrap/>
            <w:vAlign w:val="center"/>
            <w:hideMark/>
          </w:tcPr>
          <w:p w14:paraId="0D5B9C6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Sobre Empresas Comerciales</w:t>
            </w:r>
          </w:p>
        </w:tc>
      </w:tr>
      <w:tr w:rsidR="00507D6E" w:rsidRPr="009A501D" w14:paraId="26EC0010" w14:textId="77777777" w:rsidTr="00BC774F">
        <w:trPr>
          <w:trHeight w:val="20"/>
          <w:jc w:val="center"/>
        </w:trPr>
        <w:tc>
          <w:tcPr>
            <w:tcW w:w="1555" w:type="dxa"/>
            <w:shd w:val="clear" w:color="auto" w:fill="auto"/>
            <w:noWrap/>
            <w:vAlign w:val="center"/>
            <w:hideMark/>
          </w:tcPr>
          <w:p w14:paraId="05A65CC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EMIM</w:t>
            </w:r>
          </w:p>
        </w:tc>
        <w:tc>
          <w:tcPr>
            <w:tcW w:w="8510" w:type="dxa"/>
            <w:shd w:val="clear" w:color="auto" w:fill="auto"/>
            <w:noWrap/>
            <w:vAlign w:val="center"/>
            <w:hideMark/>
          </w:tcPr>
          <w:p w14:paraId="5A41BC9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la Industria Manufacturera</w:t>
            </w:r>
          </w:p>
        </w:tc>
      </w:tr>
      <w:tr w:rsidR="00507D6E" w:rsidRPr="009A501D" w14:paraId="097BA38C" w14:textId="77777777" w:rsidTr="00BC774F">
        <w:trPr>
          <w:trHeight w:val="20"/>
          <w:jc w:val="center"/>
        </w:trPr>
        <w:tc>
          <w:tcPr>
            <w:tcW w:w="1555" w:type="dxa"/>
            <w:shd w:val="clear" w:color="auto" w:fill="auto"/>
            <w:noWrap/>
            <w:vAlign w:val="center"/>
            <w:hideMark/>
          </w:tcPr>
          <w:p w14:paraId="46CB232E"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EMOE</w:t>
            </w:r>
          </w:p>
        </w:tc>
        <w:tc>
          <w:tcPr>
            <w:tcW w:w="8510" w:type="dxa"/>
            <w:shd w:val="clear" w:color="auto" w:fill="auto"/>
            <w:noWrap/>
            <w:vAlign w:val="center"/>
            <w:hideMark/>
          </w:tcPr>
          <w:p w14:paraId="7A116C7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Opinión Empresarial</w:t>
            </w:r>
          </w:p>
        </w:tc>
      </w:tr>
      <w:tr w:rsidR="00507D6E" w:rsidRPr="009A501D" w14:paraId="4B41A00E" w14:textId="77777777" w:rsidTr="00BC774F">
        <w:trPr>
          <w:trHeight w:val="20"/>
          <w:jc w:val="center"/>
        </w:trPr>
        <w:tc>
          <w:tcPr>
            <w:tcW w:w="1555" w:type="dxa"/>
            <w:shd w:val="clear" w:color="auto" w:fill="auto"/>
            <w:noWrap/>
            <w:vAlign w:val="center"/>
            <w:hideMark/>
          </w:tcPr>
          <w:p w14:paraId="673DE4E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EMOE COM</w:t>
            </w:r>
          </w:p>
        </w:tc>
        <w:tc>
          <w:tcPr>
            <w:tcW w:w="8510" w:type="dxa"/>
            <w:shd w:val="clear" w:color="auto" w:fill="auto"/>
            <w:noWrap/>
            <w:vAlign w:val="center"/>
            <w:hideMark/>
          </w:tcPr>
          <w:p w14:paraId="4C82A6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Opinión Empresarial [Sector Comercio]</w:t>
            </w:r>
          </w:p>
        </w:tc>
      </w:tr>
      <w:tr w:rsidR="00507D6E" w:rsidRPr="009A501D" w14:paraId="6A22DC2E" w14:textId="77777777" w:rsidTr="00BC774F">
        <w:trPr>
          <w:trHeight w:val="20"/>
          <w:jc w:val="center"/>
        </w:trPr>
        <w:tc>
          <w:tcPr>
            <w:tcW w:w="1555" w:type="dxa"/>
            <w:shd w:val="clear" w:color="auto" w:fill="auto"/>
            <w:noWrap/>
            <w:vAlign w:val="center"/>
            <w:hideMark/>
          </w:tcPr>
          <w:p w14:paraId="2FA6051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EMOE CONS</w:t>
            </w:r>
          </w:p>
        </w:tc>
        <w:tc>
          <w:tcPr>
            <w:tcW w:w="8510" w:type="dxa"/>
            <w:shd w:val="clear" w:color="auto" w:fill="auto"/>
            <w:noWrap/>
            <w:vAlign w:val="center"/>
            <w:hideMark/>
          </w:tcPr>
          <w:p w14:paraId="0F1D17B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Opinión Empresarial [Sector Construcción]</w:t>
            </w:r>
          </w:p>
        </w:tc>
      </w:tr>
      <w:tr w:rsidR="00507D6E" w:rsidRPr="009A501D" w14:paraId="28312CBA" w14:textId="77777777" w:rsidTr="00BC774F">
        <w:trPr>
          <w:trHeight w:val="20"/>
          <w:jc w:val="center"/>
        </w:trPr>
        <w:tc>
          <w:tcPr>
            <w:tcW w:w="1555" w:type="dxa"/>
            <w:shd w:val="clear" w:color="auto" w:fill="auto"/>
            <w:noWrap/>
            <w:vAlign w:val="center"/>
            <w:hideMark/>
          </w:tcPr>
          <w:p w14:paraId="5665CCB7"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EMOE MAN</w:t>
            </w:r>
          </w:p>
        </w:tc>
        <w:tc>
          <w:tcPr>
            <w:tcW w:w="8510" w:type="dxa"/>
            <w:shd w:val="clear" w:color="auto" w:fill="auto"/>
            <w:noWrap/>
            <w:vAlign w:val="center"/>
            <w:hideMark/>
          </w:tcPr>
          <w:p w14:paraId="1A6B79E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Opinión Empresarial [Sector Manufactura]</w:t>
            </w:r>
          </w:p>
        </w:tc>
      </w:tr>
      <w:tr w:rsidR="00507D6E" w:rsidRPr="009A501D" w14:paraId="31B792E1" w14:textId="77777777" w:rsidTr="00BC774F">
        <w:trPr>
          <w:trHeight w:val="20"/>
          <w:jc w:val="center"/>
        </w:trPr>
        <w:tc>
          <w:tcPr>
            <w:tcW w:w="1555" w:type="dxa"/>
            <w:shd w:val="clear" w:color="auto" w:fill="auto"/>
            <w:noWrap/>
            <w:vAlign w:val="center"/>
            <w:hideMark/>
          </w:tcPr>
          <w:p w14:paraId="018D94D2"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EMOE SER</w:t>
            </w:r>
          </w:p>
        </w:tc>
        <w:tc>
          <w:tcPr>
            <w:tcW w:w="8510" w:type="dxa"/>
            <w:shd w:val="clear" w:color="auto" w:fill="auto"/>
            <w:noWrap/>
            <w:vAlign w:val="center"/>
            <w:hideMark/>
          </w:tcPr>
          <w:p w14:paraId="2F92E71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Opinión Empresarial [Sector Servicios]</w:t>
            </w:r>
          </w:p>
        </w:tc>
      </w:tr>
      <w:tr w:rsidR="00507D6E" w:rsidRPr="009A501D" w14:paraId="6E98D116" w14:textId="77777777" w:rsidTr="00BC774F">
        <w:trPr>
          <w:trHeight w:val="20"/>
          <w:jc w:val="center"/>
        </w:trPr>
        <w:tc>
          <w:tcPr>
            <w:tcW w:w="1555" w:type="dxa"/>
            <w:shd w:val="clear" w:color="auto" w:fill="auto"/>
            <w:noWrap/>
            <w:vAlign w:val="center"/>
            <w:hideMark/>
          </w:tcPr>
          <w:p w14:paraId="6A8A91F2"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EMS</w:t>
            </w:r>
          </w:p>
        </w:tc>
        <w:tc>
          <w:tcPr>
            <w:tcW w:w="8510" w:type="dxa"/>
            <w:shd w:val="clear" w:color="auto" w:fill="auto"/>
            <w:noWrap/>
            <w:vAlign w:val="center"/>
            <w:hideMark/>
          </w:tcPr>
          <w:p w14:paraId="610DEF0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Mensual de Servicios</w:t>
            </w:r>
          </w:p>
        </w:tc>
      </w:tr>
      <w:tr w:rsidR="00507D6E" w:rsidRPr="009A501D" w14:paraId="038ECF64" w14:textId="77777777" w:rsidTr="00BC774F">
        <w:trPr>
          <w:trHeight w:val="20"/>
          <w:jc w:val="center"/>
        </w:trPr>
        <w:tc>
          <w:tcPr>
            <w:tcW w:w="1555" w:type="dxa"/>
            <w:shd w:val="clear" w:color="auto" w:fill="auto"/>
            <w:noWrap/>
            <w:vAlign w:val="center"/>
          </w:tcPr>
          <w:p w14:paraId="779A337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ENAF</w:t>
            </w:r>
          </w:p>
        </w:tc>
        <w:tc>
          <w:tcPr>
            <w:tcW w:w="8510" w:type="dxa"/>
            <w:shd w:val="clear" w:color="auto" w:fill="auto"/>
            <w:noWrap/>
            <w:vAlign w:val="center"/>
          </w:tcPr>
          <w:p w14:paraId="71B68EB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Agencias Funerarias ante COVID-19</w:t>
            </w:r>
          </w:p>
        </w:tc>
      </w:tr>
      <w:tr w:rsidR="00507D6E" w:rsidRPr="009A501D" w14:paraId="64F754DD" w14:textId="77777777" w:rsidTr="00BC774F">
        <w:trPr>
          <w:trHeight w:val="20"/>
          <w:jc w:val="center"/>
        </w:trPr>
        <w:tc>
          <w:tcPr>
            <w:tcW w:w="1555" w:type="dxa"/>
            <w:shd w:val="clear" w:color="auto" w:fill="auto"/>
            <w:noWrap/>
            <w:vAlign w:val="center"/>
            <w:hideMark/>
          </w:tcPr>
          <w:p w14:paraId="18B6E40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ENAFIN</w:t>
            </w:r>
          </w:p>
        </w:tc>
        <w:tc>
          <w:tcPr>
            <w:tcW w:w="8510" w:type="dxa"/>
            <w:shd w:val="clear" w:color="auto" w:fill="auto"/>
            <w:noWrap/>
            <w:vAlign w:val="center"/>
            <w:hideMark/>
          </w:tcPr>
          <w:p w14:paraId="3B55C87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Financiamiento de las Empresas</w:t>
            </w:r>
          </w:p>
        </w:tc>
      </w:tr>
      <w:tr w:rsidR="00507D6E" w:rsidRPr="009A501D" w14:paraId="09A3644C" w14:textId="77777777" w:rsidTr="00BC774F">
        <w:trPr>
          <w:trHeight w:val="20"/>
          <w:jc w:val="center"/>
        </w:trPr>
        <w:tc>
          <w:tcPr>
            <w:tcW w:w="1555" w:type="dxa"/>
            <w:shd w:val="clear" w:color="auto" w:fill="auto"/>
            <w:noWrap/>
            <w:vAlign w:val="center"/>
          </w:tcPr>
          <w:p w14:paraId="7F7F9CD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ENADID</w:t>
            </w:r>
          </w:p>
        </w:tc>
        <w:tc>
          <w:tcPr>
            <w:tcW w:w="8510" w:type="dxa"/>
            <w:shd w:val="clear" w:color="auto" w:fill="auto"/>
            <w:noWrap/>
            <w:vAlign w:val="center"/>
          </w:tcPr>
          <w:p w14:paraId="5DB1D0C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la Dinámica Demográfica</w:t>
            </w:r>
          </w:p>
        </w:tc>
      </w:tr>
      <w:tr w:rsidR="00507D6E" w:rsidRPr="009A501D" w14:paraId="1D25E4F3" w14:textId="77777777" w:rsidTr="00BC774F">
        <w:trPr>
          <w:trHeight w:val="20"/>
          <w:jc w:val="center"/>
        </w:trPr>
        <w:tc>
          <w:tcPr>
            <w:tcW w:w="1555" w:type="dxa"/>
            <w:shd w:val="clear" w:color="auto" w:fill="auto"/>
            <w:noWrap/>
            <w:vAlign w:val="center"/>
          </w:tcPr>
          <w:p w14:paraId="5C4B70B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ENAID</w:t>
            </w:r>
          </w:p>
        </w:tc>
        <w:tc>
          <w:tcPr>
            <w:tcW w:w="8510" w:type="dxa"/>
            <w:shd w:val="clear" w:color="auto" w:fill="auto"/>
            <w:noWrap/>
            <w:vAlign w:val="center"/>
          </w:tcPr>
          <w:p w14:paraId="552F92F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Acceso a la Información Pública y Protección de Datos Personales</w:t>
            </w:r>
          </w:p>
        </w:tc>
      </w:tr>
      <w:tr w:rsidR="00507D6E" w:rsidRPr="009A501D" w14:paraId="46BBDA5B" w14:textId="77777777" w:rsidTr="00BC774F">
        <w:trPr>
          <w:trHeight w:val="20"/>
          <w:jc w:val="center"/>
        </w:trPr>
        <w:tc>
          <w:tcPr>
            <w:tcW w:w="1555" w:type="dxa"/>
            <w:shd w:val="clear" w:color="auto" w:fill="auto"/>
            <w:noWrap/>
            <w:vAlign w:val="center"/>
          </w:tcPr>
          <w:p w14:paraId="51CD023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ENAPE</w:t>
            </w:r>
          </w:p>
        </w:tc>
        <w:tc>
          <w:tcPr>
            <w:tcW w:w="8510" w:type="dxa"/>
            <w:shd w:val="clear" w:color="auto" w:fill="auto"/>
            <w:noWrap/>
            <w:vAlign w:val="center"/>
          </w:tcPr>
          <w:p w14:paraId="40DBAE5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Acceso y Permanencia Escolar</w:t>
            </w:r>
          </w:p>
        </w:tc>
      </w:tr>
      <w:tr w:rsidR="00507D6E" w:rsidRPr="009A501D" w14:paraId="23B10019" w14:textId="77777777" w:rsidTr="00BC774F">
        <w:trPr>
          <w:trHeight w:val="20"/>
          <w:jc w:val="center"/>
        </w:trPr>
        <w:tc>
          <w:tcPr>
            <w:tcW w:w="1555" w:type="dxa"/>
            <w:shd w:val="clear" w:color="auto" w:fill="auto"/>
            <w:noWrap/>
            <w:vAlign w:val="center"/>
            <w:hideMark/>
          </w:tcPr>
          <w:p w14:paraId="2FB4A8FB"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ENAPROCE</w:t>
            </w:r>
          </w:p>
        </w:tc>
        <w:tc>
          <w:tcPr>
            <w:tcW w:w="8510" w:type="dxa"/>
            <w:shd w:val="clear" w:color="auto" w:fill="auto"/>
            <w:noWrap/>
            <w:vAlign w:val="center"/>
            <w:hideMark/>
          </w:tcPr>
          <w:p w14:paraId="40C3697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Productividad y Competitividad de las Micro, Pequeñas y Medianas Empresas</w:t>
            </w:r>
          </w:p>
        </w:tc>
      </w:tr>
      <w:tr w:rsidR="00507D6E" w:rsidRPr="009A501D" w14:paraId="26D82254" w14:textId="77777777" w:rsidTr="00BC774F">
        <w:trPr>
          <w:trHeight w:val="20"/>
          <w:jc w:val="center"/>
        </w:trPr>
        <w:tc>
          <w:tcPr>
            <w:tcW w:w="1555" w:type="dxa"/>
            <w:shd w:val="clear" w:color="auto" w:fill="auto"/>
            <w:noWrap/>
            <w:vAlign w:val="center"/>
          </w:tcPr>
          <w:p w14:paraId="585D961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ENASEM</w:t>
            </w:r>
          </w:p>
        </w:tc>
        <w:tc>
          <w:tcPr>
            <w:tcW w:w="8510" w:type="dxa"/>
            <w:shd w:val="clear" w:color="auto" w:fill="auto"/>
            <w:noWrap/>
            <w:vAlign w:val="center"/>
          </w:tcPr>
          <w:p w14:paraId="19532C5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Salud y Envejecimiento en México</w:t>
            </w:r>
          </w:p>
        </w:tc>
      </w:tr>
      <w:tr w:rsidR="00507D6E" w:rsidRPr="009A501D" w14:paraId="0589E90C" w14:textId="77777777" w:rsidTr="00BC774F">
        <w:trPr>
          <w:trHeight w:val="20"/>
          <w:jc w:val="center"/>
        </w:trPr>
        <w:tc>
          <w:tcPr>
            <w:tcW w:w="1555" w:type="dxa"/>
            <w:shd w:val="clear" w:color="auto" w:fill="auto"/>
            <w:noWrap/>
            <w:vAlign w:val="center"/>
            <w:hideMark/>
          </w:tcPr>
          <w:p w14:paraId="4CA9B08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ENASJUP</w:t>
            </w:r>
          </w:p>
        </w:tc>
        <w:tc>
          <w:tcPr>
            <w:tcW w:w="8510" w:type="dxa"/>
            <w:shd w:val="clear" w:color="auto" w:fill="auto"/>
            <w:noWrap/>
            <w:vAlign w:val="center"/>
            <w:hideMark/>
          </w:tcPr>
          <w:p w14:paraId="24E5235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Adolescentes en el Sistema de Justicia Penal</w:t>
            </w:r>
          </w:p>
        </w:tc>
      </w:tr>
      <w:tr w:rsidR="00507D6E" w:rsidRPr="009A501D" w14:paraId="1A30F488" w14:textId="77777777" w:rsidTr="00BC774F">
        <w:trPr>
          <w:trHeight w:val="20"/>
          <w:jc w:val="center"/>
        </w:trPr>
        <w:tc>
          <w:tcPr>
            <w:tcW w:w="1555" w:type="dxa"/>
            <w:shd w:val="clear" w:color="auto" w:fill="auto"/>
            <w:noWrap/>
            <w:vAlign w:val="center"/>
          </w:tcPr>
          <w:p w14:paraId="16BE316D"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ENBIARE</w:t>
            </w:r>
          </w:p>
        </w:tc>
        <w:tc>
          <w:tcPr>
            <w:tcW w:w="8510" w:type="dxa"/>
            <w:shd w:val="clear" w:color="auto" w:fill="auto"/>
            <w:noWrap/>
            <w:vAlign w:val="center"/>
          </w:tcPr>
          <w:p w14:paraId="197AE1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Encuesta Nacional de Bienestar </w:t>
            </w:r>
            <w:proofErr w:type="spellStart"/>
            <w:r w:rsidRPr="009A501D">
              <w:rPr>
                <w:rFonts w:ascii="Century Gothic" w:hAnsi="Century Gothic" w:cs="Calibri"/>
                <w:sz w:val="16"/>
                <w:szCs w:val="16"/>
              </w:rPr>
              <w:t>Autorreportado</w:t>
            </w:r>
            <w:proofErr w:type="spellEnd"/>
          </w:p>
        </w:tc>
      </w:tr>
      <w:tr w:rsidR="00507D6E" w:rsidRPr="009A501D" w14:paraId="71011F67" w14:textId="77777777" w:rsidTr="00BC774F">
        <w:trPr>
          <w:trHeight w:val="20"/>
          <w:jc w:val="center"/>
        </w:trPr>
        <w:tc>
          <w:tcPr>
            <w:tcW w:w="1555" w:type="dxa"/>
            <w:shd w:val="clear" w:color="auto" w:fill="auto"/>
            <w:noWrap/>
            <w:vAlign w:val="center"/>
          </w:tcPr>
          <w:p w14:paraId="6321C5D8"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ENCIG</w:t>
            </w:r>
          </w:p>
        </w:tc>
        <w:tc>
          <w:tcPr>
            <w:tcW w:w="8510" w:type="dxa"/>
            <w:shd w:val="clear" w:color="auto" w:fill="auto"/>
            <w:noWrap/>
            <w:vAlign w:val="center"/>
          </w:tcPr>
          <w:p w14:paraId="21AFD16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Calidad e Impacto Gubernamental</w:t>
            </w:r>
          </w:p>
        </w:tc>
      </w:tr>
      <w:tr w:rsidR="00507D6E" w:rsidRPr="009A501D" w14:paraId="60142CEA" w14:textId="77777777" w:rsidTr="00BC774F">
        <w:trPr>
          <w:trHeight w:val="20"/>
          <w:jc w:val="center"/>
        </w:trPr>
        <w:tc>
          <w:tcPr>
            <w:tcW w:w="1555" w:type="dxa"/>
            <w:shd w:val="clear" w:color="auto" w:fill="auto"/>
            <w:noWrap/>
            <w:vAlign w:val="center"/>
            <w:hideMark/>
          </w:tcPr>
          <w:p w14:paraId="531E9B18"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ENCO</w:t>
            </w:r>
          </w:p>
        </w:tc>
        <w:tc>
          <w:tcPr>
            <w:tcW w:w="8510" w:type="dxa"/>
            <w:shd w:val="clear" w:color="auto" w:fill="auto"/>
            <w:noWrap/>
            <w:vAlign w:val="center"/>
            <w:hideMark/>
          </w:tcPr>
          <w:p w14:paraId="5830B81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Confianza del Consumidor</w:t>
            </w:r>
          </w:p>
        </w:tc>
      </w:tr>
      <w:tr w:rsidR="00507D6E" w:rsidRPr="009A501D" w14:paraId="5C38DCF3" w14:textId="77777777" w:rsidTr="00BC774F">
        <w:trPr>
          <w:trHeight w:val="20"/>
          <w:jc w:val="center"/>
        </w:trPr>
        <w:tc>
          <w:tcPr>
            <w:tcW w:w="1555" w:type="dxa"/>
            <w:shd w:val="clear" w:color="auto" w:fill="auto"/>
            <w:noWrap/>
            <w:vAlign w:val="center"/>
          </w:tcPr>
          <w:p w14:paraId="010BFAE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ENCRIGE</w:t>
            </w:r>
          </w:p>
        </w:tc>
        <w:tc>
          <w:tcPr>
            <w:tcW w:w="8510" w:type="dxa"/>
            <w:shd w:val="clear" w:color="auto" w:fill="auto"/>
            <w:noWrap/>
            <w:vAlign w:val="center"/>
          </w:tcPr>
          <w:p w14:paraId="43A641D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Calidad Regulatoria e Impacto Gubernamental en Empresas</w:t>
            </w:r>
          </w:p>
        </w:tc>
      </w:tr>
      <w:tr w:rsidR="00507D6E" w:rsidRPr="009A501D" w14:paraId="46895C19" w14:textId="77777777" w:rsidTr="00BC774F">
        <w:trPr>
          <w:trHeight w:val="20"/>
          <w:jc w:val="center"/>
        </w:trPr>
        <w:tc>
          <w:tcPr>
            <w:tcW w:w="1555" w:type="dxa"/>
            <w:shd w:val="clear" w:color="auto" w:fill="auto"/>
            <w:noWrap/>
            <w:vAlign w:val="center"/>
          </w:tcPr>
          <w:p w14:paraId="0C8147A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ENCUCI</w:t>
            </w:r>
          </w:p>
        </w:tc>
        <w:tc>
          <w:tcPr>
            <w:tcW w:w="8510" w:type="dxa"/>
            <w:shd w:val="clear" w:color="auto" w:fill="auto"/>
            <w:noWrap/>
            <w:vAlign w:val="center"/>
          </w:tcPr>
          <w:p w14:paraId="56A657F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Cultura Cívica</w:t>
            </w:r>
          </w:p>
        </w:tc>
      </w:tr>
      <w:tr w:rsidR="00507D6E" w:rsidRPr="009A501D" w14:paraId="701D9966" w14:textId="77777777" w:rsidTr="00BC774F">
        <w:trPr>
          <w:trHeight w:val="20"/>
          <w:jc w:val="center"/>
        </w:trPr>
        <w:tc>
          <w:tcPr>
            <w:tcW w:w="1555" w:type="dxa"/>
            <w:shd w:val="clear" w:color="auto" w:fill="auto"/>
            <w:noWrap/>
            <w:vAlign w:val="center"/>
          </w:tcPr>
          <w:p w14:paraId="1E9EFBD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ENDIREH</w:t>
            </w:r>
          </w:p>
        </w:tc>
        <w:tc>
          <w:tcPr>
            <w:tcW w:w="8510" w:type="dxa"/>
            <w:shd w:val="clear" w:color="auto" w:fill="auto"/>
            <w:noWrap/>
            <w:vAlign w:val="center"/>
          </w:tcPr>
          <w:p w14:paraId="5430D30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la Dinámica de las Relaciones en los Hogares</w:t>
            </w:r>
          </w:p>
        </w:tc>
      </w:tr>
      <w:tr w:rsidR="00507D6E" w:rsidRPr="009A501D" w14:paraId="0A4613AF" w14:textId="77777777" w:rsidTr="00BC774F">
        <w:trPr>
          <w:trHeight w:val="20"/>
          <w:jc w:val="center"/>
        </w:trPr>
        <w:tc>
          <w:tcPr>
            <w:tcW w:w="1555" w:type="dxa"/>
            <w:shd w:val="clear" w:color="auto" w:fill="auto"/>
            <w:noWrap/>
            <w:vAlign w:val="center"/>
          </w:tcPr>
          <w:p w14:paraId="3A92CBA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ENDISEG</w:t>
            </w:r>
          </w:p>
        </w:tc>
        <w:tc>
          <w:tcPr>
            <w:tcW w:w="8510" w:type="dxa"/>
            <w:shd w:val="clear" w:color="auto" w:fill="auto"/>
            <w:noWrap/>
            <w:vAlign w:val="center"/>
          </w:tcPr>
          <w:p w14:paraId="2C9C7BC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Diversidad Sexual y de Género</w:t>
            </w:r>
          </w:p>
        </w:tc>
      </w:tr>
      <w:tr w:rsidR="00507D6E" w:rsidRPr="009A501D" w14:paraId="28F836AE" w14:textId="77777777" w:rsidTr="00BC774F">
        <w:trPr>
          <w:trHeight w:val="20"/>
          <w:jc w:val="center"/>
        </w:trPr>
        <w:tc>
          <w:tcPr>
            <w:tcW w:w="1555" w:type="dxa"/>
            <w:shd w:val="clear" w:color="auto" w:fill="auto"/>
            <w:noWrap/>
            <w:vAlign w:val="center"/>
            <w:hideMark/>
          </w:tcPr>
          <w:p w14:paraId="3D6DDA7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ENDUTIH</w:t>
            </w:r>
          </w:p>
        </w:tc>
        <w:tc>
          <w:tcPr>
            <w:tcW w:w="8510" w:type="dxa"/>
            <w:shd w:val="clear" w:color="auto" w:fill="auto"/>
            <w:noWrap/>
            <w:vAlign w:val="center"/>
            <w:hideMark/>
          </w:tcPr>
          <w:p w14:paraId="3A63FD4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Disponibilidad y Uso de Tecnologías de la Información en los Hogares</w:t>
            </w:r>
          </w:p>
        </w:tc>
      </w:tr>
      <w:tr w:rsidR="00507D6E" w:rsidRPr="009A501D" w14:paraId="23F34AFF" w14:textId="77777777" w:rsidTr="00BC774F">
        <w:trPr>
          <w:trHeight w:val="20"/>
          <w:jc w:val="center"/>
        </w:trPr>
        <w:tc>
          <w:tcPr>
            <w:tcW w:w="1555" w:type="dxa"/>
            <w:shd w:val="clear" w:color="auto" w:fill="auto"/>
            <w:noWrap/>
            <w:vAlign w:val="center"/>
            <w:hideMark/>
          </w:tcPr>
          <w:p w14:paraId="5556794A"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ENEC</w:t>
            </w:r>
          </w:p>
        </w:tc>
        <w:tc>
          <w:tcPr>
            <w:tcW w:w="8510" w:type="dxa"/>
            <w:shd w:val="clear" w:color="auto" w:fill="auto"/>
            <w:noWrap/>
            <w:vAlign w:val="center"/>
            <w:hideMark/>
          </w:tcPr>
          <w:p w14:paraId="7178020B"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Empresas Constructoras</w:t>
            </w:r>
          </w:p>
        </w:tc>
      </w:tr>
      <w:tr w:rsidR="00507D6E" w:rsidRPr="009A501D" w14:paraId="35C24B37" w14:textId="77777777" w:rsidTr="00BC774F">
        <w:trPr>
          <w:trHeight w:val="20"/>
          <w:jc w:val="center"/>
        </w:trPr>
        <w:tc>
          <w:tcPr>
            <w:tcW w:w="1555" w:type="dxa"/>
            <w:shd w:val="clear" w:color="auto" w:fill="auto"/>
            <w:noWrap/>
            <w:vAlign w:val="center"/>
          </w:tcPr>
          <w:p w14:paraId="4790DACC"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ENFIH</w:t>
            </w:r>
          </w:p>
        </w:tc>
        <w:tc>
          <w:tcPr>
            <w:tcW w:w="8510" w:type="dxa"/>
            <w:shd w:val="clear" w:color="auto" w:fill="auto"/>
            <w:noWrap/>
            <w:vAlign w:val="center"/>
          </w:tcPr>
          <w:p w14:paraId="1B26ACD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sobre las Finanzas en los Hogares</w:t>
            </w:r>
          </w:p>
        </w:tc>
      </w:tr>
      <w:tr w:rsidR="00507D6E" w:rsidRPr="009A501D" w14:paraId="7B4F7196" w14:textId="77777777" w:rsidTr="00BC774F">
        <w:trPr>
          <w:trHeight w:val="20"/>
          <w:jc w:val="center"/>
        </w:trPr>
        <w:tc>
          <w:tcPr>
            <w:tcW w:w="1555" w:type="dxa"/>
            <w:shd w:val="clear" w:color="auto" w:fill="auto"/>
            <w:noWrap/>
            <w:vAlign w:val="center"/>
            <w:hideMark/>
          </w:tcPr>
          <w:p w14:paraId="79CC47E8"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ENH</w:t>
            </w:r>
          </w:p>
        </w:tc>
        <w:tc>
          <w:tcPr>
            <w:tcW w:w="8510" w:type="dxa"/>
            <w:shd w:val="clear" w:color="auto" w:fill="auto"/>
            <w:noWrap/>
            <w:vAlign w:val="center"/>
            <w:hideMark/>
          </w:tcPr>
          <w:p w14:paraId="2CEF81B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los Hogares</w:t>
            </w:r>
          </w:p>
        </w:tc>
      </w:tr>
      <w:tr w:rsidR="00507D6E" w:rsidRPr="009A501D" w14:paraId="3FDA9AFB" w14:textId="77777777" w:rsidTr="00BC774F">
        <w:trPr>
          <w:trHeight w:val="20"/>
          <w:jc w:val="center"/>
        </w:trPr>
        <w:tc>
          <w:tcPr>
            <w:tcW w:w="1555" w:type="dxa"/>
            <w:shd w:val="clear" w:color="auto" w:fill="auto"/>
            <w:noWrap/>
            <w:vAlign w:val="center"/>
            <w:hideMark/>
          </w:tcPr>
          <w:p w14:paraId="31C58539"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ENIF</w:t>
            </w:r>
          </w:p>
        </w:tc>
        <w:tc>
          <w:tcPr>
            <w:tcW w:w="8510" w:type="dxa"/>
            <w:shd w:val="clear" w:color="auto" w:fill="auto"/>
            <w:noWrap/>
            <w:vAlign w:val="center"/>
            <w:hideMark/>
          </w:tcPr>
          <w:p w14:paraId="0194ADC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Inclusión Financiera</w:t>
            </w:r>
          </w:p>
        </w:tc>
      </w:tr>
      <w:tr w:rsidR="00507D6E" w:rsidRPr="009A501D" w14:paraId="27A827D6" w14:textId="77777777" w:rsidTr="00BC774F">
        <w:trPr>
          <w:trHeight w:val="20"/>
          <w:jc w:val="center"/>
        </w:trPr>
        <w:tc>
          <w:tcPr>
            <w:tcW w:w="1555" w:type="dxa"/>
            <w:shd w:val="clear" w:color="auto" w:fill="auto"/>
            <w:noWrap/>
            <w:vAlign w:val="center"/>
          </w:tcPr>
          <w:p w14:paraId="40786F2B"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ENIGH_E</w:t>
            </w:r>
          </w:p>
        </w:tc>
        <w:tc>
          <w:tcPr>
            <w:tcW w:w="8510" w:type="dxa"/>
            <w:shd w:val="clear" w:color="auto" w:fill="auto"/>
            <w:noWrap/>
            <w:vAlign w:val="center"/>
          </w:tcPr>
          <w:p w14:paraId="674D9DB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Ingresos y Gastos de los Hogares Estacional</w:t>
            </w:r>
          </w:p>
        </w:tc>
      </w:tr>
      <w:tr w:rsidR="00507D6E" w:rsidRPr="009A501D" w14:paraId="08EBBD7F" w14:textId="77777777" w:rsidTr="00BC774F">
        <w:trPr>
          <w:trHeight w:val="20"/>
          <w:jc w:val="center"/>
        </w:trPr>
        <w:tc>
          <w:tcPr>
            <w:tcW w:w="1555" w:type="dxa"/>
            <w:shd w:val="clear" w:color="auto" w:fill="auto"/>
            <w:noWrap/>
            <w:vAlign w:val="center"/>
            <w:hideMark/>
          </w:tcPr>
          <w:p w14:paraId="790CF29D"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ENIGH_T</w:t>
            </w:r>
          </w:p>
        </w:tc>
        <w:tc>
          <w:tcPr>
            <w:tcW w:w="8510" w:type="dxa"/>
            <w:shd w:val="clear" w:color="auto" w:fill="auto"/>
            <w:noWrap/>
            <w:vAlign w:val="center"/>
            <w:hideMark/>
          </w:tcPr>
          <w:p w14:paraId="00C461E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Ingresos y Gastos de los Hogares Tradicional</w:t>
            </w:r>
          </w:p>
        </w:tc>
      </w:tr>
      <w:tr w:rsidR="00507D6E" w:rsidRPr="009A501D" w14:paraId="01E9B273" w14:textId="77777777" w:rsidTr="00BC774F">
        <w:trPr>
          <w:trHeight w:val="20"/>
          <w:jc w:val="center"/>
        </w:trPr>
        <w:tc>
          <w:tcPr>
            <w:tcW w:w="1555" w:type="dxa"/>
            <w:shd w:val="clear" w:color="auto" w:fill="auto"/>
            <w:noWrap/>
            <w:vAlign w:val="center"/>
            <w:hideMark/>
          </w:tcPr>
          <w:p w14:paraId="56D172ED"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ENOE</w:t>
            </w:r>
          </w:p>
        </w:tc>
        <w:tc>
          <w:tcPr>
            <w:tcW w:w="8510" w:type="dxa"/>
            <w:shd w:val="clear" w:color="auto" w:fill="auto"/>
            <w:noWrap/>
            <w:vAlign w:val="center"/>
            <w:hideMark/>
          </w:tcPr>
          <w:p w14:paraId="3C32BF8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Ocupación y Empleo</w:t>
            </w:r>
          </w:p>
        </w:tc>
      </w:tr>
      <w:tr w:rsidR="00507D6E" w:rsidRPr="009A501D" w14:paraId="0232B3CF" w14:textId="77777777" w:rsidTr="00BC774F">
        <w:trPr>
          <w:trHeight w:val="20"/>
          <w:jc w:val="center"/>
        </w:trPr>
        <w:tc>
          <w:tcPr>
            <w:tcW w:w="1555" w:type="dxa"/>
            <w:shd w:val="clear" w:color="auto" w:fill="auto"/>
            <w:noWrap/>
            <w:vAlign w:val="center"/>
          </w:tcPr>
          <w:p w14:paraId="7D6F9F8B"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ENOE_NE</w:t>
            </w:r>
          </w:p>
        </w:tc>
        <w:tc>
          <w:tcPr>
            <w:tcW w:w="8510" w:type="dxa"/>
            <w:shd w:val="clear" w:color="auto" w:fill="auto"/>
            <w:noWrap/>
            <w:vAlign w:val="center"/>
          </w:tcPr>
          <w:p w14:paraId="3E48996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Ocupación y Empleo Nueva Edición</w:t>
            </w:r>
          </w:p>
        </w:tc>
      </w:tr>
      <w:tr w:rsidR="00507D6E" w:rsidRPr="009A501D" w14:paraId="56C51BC7" w14:textId="77777777" w:rsidTr="00BC774F">
        <w:trPr>
          <w:trHeight w:val="20"/>
          <w:jc w:val="center"/>
        </w:trPr>
        <w:tc>
          <w:tcPr>
            <w:tcW w:w="1555" w:type="dxa"/>
            <w:shd w:val="clear" w:color="auto" w:fill="auto"/>
            <w:noWrap/>
            <w:vAlign w:val="center"/>
          </w:tcPr>
          <w:p w14:paraId="6E28AB1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ENPOL</w:t>
            </w:r>
          </w:p>
        </w:tc>
        <w:tc>
          <w:tcPr>
            <w:tcW w:w="8510" w:type="dxa"/>
            <w:shd w:val="clear" w:color="auto" w:fill="auto"/>
            <w:noWrap/>
            <w:vAlign w:val="center"/>
          </w:tcPr>
          <w:p w14:paraId="2937A51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Población Privada de la Libertad</w:t>
            </w:r>
          </w:p>
        </w:tc>
      </w:tr>
      <w:tr w:rsidR="00507D6E" w:rsidRPr="009A501D" w14:paraId="2918C325" w14:textId="77777777" w:rsidTr="00BC774F">
        <w:trPr>
          <w:trHeight w:val="20"/>
          <w:jc w:val="center"/>
        </w:trPr>
        <w:tc>
          <w:tcPr>
            <w:tcW w:w="1555" w:type="dxa"/>
            <w:shd w:val="clear" w:color="auto" w:fill="auto"/>
            <w:noWrap/>
            <w:vAlign w:val="center"/>
          </w:tcPr>
          <w:p w14:paraId="62C77283"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ENR</w:t>
            </w:r>
          </w:p>
        </w:tc>
        <w:tc>
          <w:tcPr>
            <w:tcW w:w="8510" w:type="dxa"/>
            <w:shd w:val="clear" w:color="auto" w:fill="auto"/>
            <w:noWrap/>
            <w:vAlign w:val="center"/>
          </w:tcPr>
          <w:p w14:paraId="188107E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 de Nacimientos Registrados</w:t>
            </w:r>
          </w:p>
        </w:tc>
      </w:tr>
      <w:tr w:rsidR="00507D6E" w:rsidRPr="009A501D" w14:paraId="1BA1DD3E" w14:textId="77777777" w:rsidTr="00BC774F">
        <w:trPr>
          <w:trHeight w:val="20"/>
          <w:jc w:val="center"/>
        </w:trPr>
        <w:tc>
          <w:tcPr>
            <w:tcW w:w="1555" w:type="dxa"/>
            <w:shd w:val="clear" w:color="auto" w:fill="auto"/>
            <w:noWrap/>
            <w:vAlign w:val="center"/>
          </w:tcPr>
          <w:p w14:paraId="36032BF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ENSANUT</w:t>
            </w:r>
          </w:p>
        </w:tc>
        <w:tc>
          <w:tcPr>
            <w:tcW w:w="8510" w:type="dxa"/>
            <w:shd w:val="clear" w:color="auto" w:fill="auto"/>
            <w:noWrap/>
            <w:vAlign w:val="center"/>
          </w:tcPr>
          <w:p w14:paraId="32B9C40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Salud y Nutrición</w:t>
            </w:r>
          </w:p>
        </w:tc>
      </w:tr>
      <w:tr w:rsidR="00507D6E" w:rsidRPr="009A501D" w14:paraId="587AAA0E" w14:textId="77777777" w:rsidTr="00BC774F">
        <w:trPr>
          <w:trHeight w:val="20"/>
          <w:jc w:val="center"/>
        </w:trPr>
        <w:tc>
          <w:tcPr>
            <w:tcW w:w="1555" w:type="dxa"/>
            <w:shd w:val="clear" w:color="auto" w:fill="auto"/>
            <w:noWrap/>
            <w:vAlign w:val="center"/>
            <w:hideMark/>
          </w:tcPr>
          <w:p w14:paraId="2BB15CCE"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ENSU</w:t>
            </w:r>
          </w:p>
        </w:tc>
        <w:tc>
          <w:tcPr>
            <w:tcW w:w="8510" w:type="dxa"/>
            <w:shd w:val="clear" w:color="auto" w:fill="auto"/>
            <w:noWrap/>
            <w:vAlign w:val="center"/>
            <w:hideMark/>
          </w:tcPr>
          <w:p w14:paraId="4E42170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Encuesta Nacional de Seguridad Pública Urbana </w:t>
            </w:r>
          </w:p>
        </w:tc>
      </w:tr>
      <w:tr w:rsidR="00507D6E" w:rsidRPr="009A501D" w14:paraId="0EDCBDEF" w14:textId="77777777" w:rsidTr="00BC774F">
        <w:trPr>
          <w:trHeight w:val="20"/>
          <w:jc w:val="center"/>
        </w:trPr>
        <w:tc>
          <w:tcPr>
            <w:tcW w:w="1555" w:type="dxa"/>
            <w:shd w:val="clear" w:color="auto" w:fill="auto"/>
            <w:noWrap/>
            <w:vAlign w:val="center"/>
          </w:tcPr>
          <w:p w14:paraId="74DAC99A"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ENTI</w:t>
            </w:r>
          </w:p>
        </w:tc>
        <w:tc>
          <w:tcPr>
            <w:tcW w:w="8510" w:type="dxa"/>
            <w:shd w:val="clear" w:color="auto" w:fill="auto"/>
            <w:noWrap/>
            <w:vAlign w:val="center"/>
          </w:tcPr>
          <w:p w14:paraId="0875161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Trabajo Infantil</w:t>
            </w:r>
          </w:p>
        </w:tc>
      </w:tr>
      <w:tr w:rsidR="00507D6E" w:rsidRPr="009A501D" w14:paraId="63A242FF" w14:textId="77777777" w:rsidTr="00BC774F">
        <w:trPr>
          <w:trHeight w:val="20"/>
          <w:jc w:val="center"/>
        </w:trPr>
        <w:tc>
          <w:tcPr>
            <w:tcW w:w="1555" w:type="dxa"/>
            <w:shd w:val="clear" w:color="auto" w:fill="auto"/>
            <w:noWrap/>
            <w:vAlign w:val="center"/>
          </w:tcPr>
          <w:p w14:paraId="456F23EF"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ENUT</w:t>
            </w:r>
          </w:p>
        </w:tc>
        <w:tc>
          <w:tcPr>
            <w:tcW w:w="8510" w:type="dxa"/>
            <w:shd w:val="clear" w:color="auto" w:fill="auto"/>
            <w:noWrap/>
            <w:vAlign w:val="center"/>
          </w:tcPr>
          <w:p w14:paraId="53C264C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sobre Uso del Tiempo</w:t>
            </w:r>
          </w:p>
        </w:tc>
      </w:tr>
      <w:tr w:rsidR="00507D6E" w:rsidRPr="009A501D" w14:paraId="47F4C5FC" w14:textId="77777777" w:rsidTr="00BC774F">
        <w:trPr>
          <w:trHeight w:val="20"/>
          <w:jc w:val="center"/>
        </w:trPr>
        <w:tc>
          <w:tcPr>
            <w:tcW w:w="1555" w:type="dxa"/>
            <w:shd w:val="clear" w:color="auto" w:fill="auto"/>
            <w:noWrap/>
            <w:vAlign w:val="center"/>
            <w:hideMark/>
          </w:tcPr>
          <w:p w14:paraId="62F11CC2"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ENVE</w:t>
            </w:r>
          </w:p>
        </w:tc>
        <w:tc>
          <w:tcPr>
            <w:tcW w:w="8510" w:type="dxa"/>
            <w:shd w:val="clear" w:color="auto" w:fill="auto"/>
            <w:noWrap/>
            <w:vAlign w:val="center"/>
            <w:hideMark/>
          </w:tcPr>
          <w:p w14:paraId="56E91C7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Victimización de Empresas</w:t>
            </w:r>
          </w:p>
        </w:tc>
      </w:tr>
      <w:tr w:rsidR="00507D6E" w:rsidRPr="009A501D" w14:paraId="14980520" w14:textId="77777777" w:rsidTr="00BC774F">
        <w:trPr>
          <w:trHeight w:val="20"/>
          <w:jc w:val="center"/>
        </w:trPr>
        <w:tc>
          <w:tcPr>
            <w:tcW w:w="1555" w:type="dxa"/>
            <w:shd w:val="clear" w:color="auto" w:fill="auto"/>
            <w:noWrap/>
            <w:vAlign w:val="center"/>
          </w:tcPr>
          <w:p w14:paraId="145C317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ENVI</w:t>
            </w:r>
          </w:p>
        </w:tc>
        <w:tc>
          <w:tcPr>
            <w:tcW w:w="8510" w:type="dxa"/>
            <w:shd w:val="clear" w:color="auto" w:fill="auto"/>
            <w:noWrap/>
            <w:vAlign w:val="center"/>
          </w:tcPr>
          <w:p w14:paraId="2FE2385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Vivienda</w:t>
            </w:r>
          </w:p>
        </w:tc>
      </w:tr>
      <w:tr w:rsidR="00507D6E" w:rsidRPr="009A501D" w14:paraId="2B6E51D3" w14:textId="77777777" w:rsidTr="00BC774F">
        <w:trPr>
          <w:trHeight w:val="20"/>
          <w:jc w:val="center"/>
        </w:trPr>
        <w:tc>
          <w:tcPr>
            <w:tcW w:w="1555" w:type="dxa"/>
            <w:shd w:val="clear" w:color="auto" w:fill="auto"/>
            <w:noWrap/>
            <w:vAlign w:val="center"/>
            <w:hideMark/>
          </w:tcPr>
          <w:p w14:paraId="270953D9"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ENVIPE</w:t>
            </w:r>
          </w:p>
        </w:tc>
        <w:tc>
          <w:tcPr>
            <w:tcW w:w="8510" w:type="dxa"/>
            <w:shd w:val="clear" w:color="auto" w:fill="auto"/>
            <w:noWrap/>
            <w:vAlign w:val="center"/>
            <w:hideMark/>
          </w:tcPr>
          <w:p w14:paraId="2BE280A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Nacional de Victimización y Percepción sobre Seguridad Pública</w:t>
            </w:r>
          </w:p>
        </w:tc>
      </w:tr>
      <w:tr w:rsidR="00507D6E" w:rsidRPr="009A501D" w14:paraId="07734667" w14:textId="77777777" w:rsidTr="00BC774F">
        <w:trPr>
          <w:trHeight w:val="20"/>
          <w:jc w:val="center"/>
        </w:trPr>
        <w:tc>
          <w:tcPr>
            <w:tcW w:w="1555" w:type="dxa"/>
            <w:shd w:val="clear" w:color="auto" w:fill="auto"/>
            <w:noWrap/>
            <w:vAlign w:val="center"/>
          </w:tcPr>
          <w:p w14:paraId="4245C63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ERLAJUL</w:t>
            </w:r>
          </w:p>
        </w:tc>
        <w:tc>
          <w:tcPr>
            <w:tcW w:w="8510" w:type="dxa"/>
            <w:shd w:val="clear" w:color="auto" w:fill="auto"/>
            <w:noWrap/>
            <w:vAlign w:val="center"/>
          </w:tcPr>
          <w:p w14:paraId="09D33A6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Estadísticas sobre Relaciones Laborales de Jurisdicción Local</w:t>
            </w:r>
          </w:p>
        </w:tc>
      </w:tr>
      <w:tr w:rsidR="00507D6E" w:rsidRPr="009A501D" w14:paraId="17AAF6D2" w14:textId="77777777" w:rsidTr="00BC774F">
        <w:trPr>
          <w:trHeight w:val="20"/>
          <w:jc w:val="center"/>
        </w:trPr>
        <w:tc>
          <w:tcPr>
            <w:tcW w:w="1555" w:type="dxa"/>
            <w:shd w:val="clear" w:color="auto" w:fill="auto"/>
            <w:noWrap/>
            <w:vAlign w:val="center"/>
          </w:tcPr>
          <w:p w14:paraId="6C608281"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EMESEP</w:t>
            </w:r>
          </w:p>
        </w:tc>
        <w:tc>
          <w:tcPr>
            <w:tcW w:w="8510" w:type="dxa"/>
            <w:shd w:val="clear" w:color="auto" w:fill="auto"/>
            <w:noWrap/>
            <w:vAlign w:val="center"/>
          </w:tcPr>
          <w:p w14:paraId="4D7B8B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Estadísticas de Salud en Establecimientos Particulares</w:t>
            </w:r>
          </w:p>
        </w:tc>
      </w:tr>
      <w:tr w:rsidR="00507D6E" w:rsidRPr="009A501D" w14:paraId="77B6B760" w14:textId="77777777" w:rsidTr="00BC774F">
        <w:trPr>
          <w:trHeight w:val="20"/>
          <w:jc w:val="center"/>
        </w:trPr>
        <w:tc>
          <w:tcPr>
            <w:tcW w:w="1555" w:type="dxa"/>
            <w:shd w:val="clear" w:color="auto" w:fill="auto"/>
            <w:noWrap/>
            <w:vAlign w:val="center"/>
            <w:hideMark/>
          </w:tcPr>
          <w:p w14:paraId="14CB90E3"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ESGRM</w:t>
            </w:r>
          </w:p>
        </w:tc>
        <w:tc>
          <w:tcPr>
            <w:tcW w:w="8510" w:type="dxa"/>
            <w:shd w:val="clear" w:color="auto" w:fill="auto"/>
            <w:noWrap/>
            <w:vAlign w:val="center"/>
            <w:hideMark/>
          </w:tcPr>
          <w:p w14:paraId="6082099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Sacrificio de Ganado en Rastros Municipales</w:t>
            </w:r>
          </w:p>
        </w:tc>
      </w:tr>
      <w:tr w:rsidR="00507D6E" w:rsidRPr="009A501D" w14:paraId="5C242370" w14:textId="77777777" w:rsidTr="00BC774F">
        <w:trPr>
          <w:trHeight w:val="20"/>
          <w:jc w:val="center"/>
        </w:trPr>
        <w:tc>
          <w:tcPr>
            <w:tcW w:w="1555" w:type="dxa"/>
            <w:shd w:val="clear" w:color="auto" w:fill="auto"/>
            <w:noWrap/>
            <w:vAlign w:val="center"/>
          </w:tcPr>
          <w:p w14:paraId="37A5CFB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ESEP</w:t>
            </w:r>
          </w:p>
        </w:tc>
        <w:tc>
          <w:tcPr>
            <w:tcW w:w="8510" w:type="dxa"/>
            <w:shd w:val="clear" w:color="auto" w:fill="auto"/>
            <w:noWrap/>
            <w:vAlign w:val="center"/>
          </w:tcPr>
          <w:p w14:paraId="6F1D8FD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Estadísticas de Salud en Establecimiento Particulares</w:t>
            </w:r>
          </w:p>
        </w:tc>
      </w:tr>
      <w:tr w:rsidR="00507D6E" w:rsidRPr="009A501D" w14:paraId="4D14BAC9" w14:textId="77777777" w:rsidTr="00BC774F">
        <w:trPr>
          <w:trHeight w:val="20"/>
          <w:jc w:val="center"/>
        </w:trPr>
        <w:tc>
          <w:tcPr>
            <w:tcW w:w="1555" w:type="dxa"/>
            <w:shd w:val="clear" w:color="auto" w:fill="auto"/>
            <w:noWrap/>
            <w:vAlign w:val="center"/>
            <w:hideMark/>
          </w:tcPr>
          <w:p w14:paraId="71707519"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ESIDET</w:t>
            </w:r>
          </w:p>
        </w:tc>
        <w:tc>
          <w:tcPr>
            <w:tcW w:w="8510" w:type="dxa"/>
            <w:shd w:val="clear" w:color="auto" w:fill="auto"/>
            <w:noWrap/>
            <w:vAlign w:val="center"/>
            <w:hideMark/>
          </w:tcPr>
          <w:p w14:paraId="0249322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Encuesta Sobre Investigación y Desarrollo Tecnológico</w:t>
            </w:r>
          </w:p>
        </w:tc>
      </w:tr>
      <w:tr w:rsidR="00507D6E" w:rsidRPr="009A501D" w14:paraId="21EB4143" w14:textId="77777777" w:rsidTr="00BC774F">
        <w:trPr>
          <w:trHeight w:val="20"/>
          <w:jc w:val="center"/>
        </w:trPr>
        <w:tc>
          <w:tcPr>
            <w:tcW w:w="1555" w:type="dxa"/>
            <w:shd w:val="clear" w:color="auto" w:fill="auto"/>
            <w:noWrap/>
            <w:vAlign w:val="center"/>
          </w:tcPr>
          <w:p w14:paraId="2F4E7D9A"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ETUP</w:t>
            </w:r>
          </w:p>
        </w:tc>
        <w:tc>
          <w:tcPr>
            <w:tcW w:w="8510" w:type="dxa"/>
            <w:shd w:val="clear" w:color="auto" w:fill="auto"/>
            <w:noWrap/>
            <w:vAlign w:val="center"/>
          </w:tcPr>
          <w:p w14:paraId="7135397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Transporte Urbano de Pasajeros</w:t>
            </w:r>
          </w:p>
        </w:tc>
      </w:tr>
      <w:tr w:rsidR="00507D6E" w:rsidRPr="009A501D" w14:paraId="67088068" w14:textId="77777777" w:rsidTr="00BC774F">
        <w:trPr>
          <w:trHeight w:val="20"/>
          <w:jc w:val="center"/>
        </w:trPr>
        <w:tc>
          <w:tcPr>
            <w:tcW w:w="1555" w:type="dxa"/>
            <w:shd w:val="clear" w:color="auto" w:fill="auto"/>
            <w:noWrap/>
            <w:vAlign w:val="center"/>
          </w:tcPr>
          <w:p w14:paraId="59335A8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HIDRO</w:t>
            </w:r>
          </w:p>
        </w:tc>
        <w:tc>
          <w:tcPr>
            <w:tcW w:w="8510" w:type="dxa"/>
            <w:shd w:val="clear" w:color="auto" w:fill="auto"/>
            <w:noWrap/>
            <w:vAlign w:val="center"/>
          </w:tcPr>
          <w:p w14:paraId="2224561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Hidrología</w:t>
            </w:r>
          </w:p>
        </w:tc>
      </w:tr>
      <w:tr w:rsidR="00507D6E" w:rsidRPr="009A501D" w14:paraId="520D78DE" w14:textId="77777777" w:rsidTr="00BC774F">
        <w:trPr>
          <w:trHeight w:val="20"/>
          <w:jc w:val="center"/>
        </w:trPr>
        <w:tc>
          <w:tcPr>
            <w:tcW w:w="1555" w:type="dxa"/>
            <w:shd w:val="clear" w:color="auto" w:fill="auto"/>
            <w:noWrap/>
            <w:vAlign w:val="center"/>
          </w:tcPr>
          <w:p w14:paraId="4C3308DF"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INPC</w:t>
            </w:r>
          </w:p>
        </w:tc>
        <w:tc>
          <w:tcPr>
            <w:tcW w:w="8510" w:type="dxa"/>
            <w:shd w:val="clear" w:color="auto" w:fill="auto"/>
            <w:noWrap/>
            <w:vAlign w:val="center"/>
          </w:tcPr>
          <w:p w14:paraId="5CE82CD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Índice Nacional de Precios Consumidor </w:t>
            </w:r>
          </w:p>
        </w:tc>
      </w:tr>
      <w:tr w:rsidR="00507D6E" w:rsidRPr="009A501D" w14:paraId="5C2CA2AC" w14:textId="77777777" w:rsidTr="00BC774F">
        <w:trPr>
          <w:trHeight w:val="20"/>
          <w:jc w:val="center"/>
        </w:trPr>
        <w:tc>
          <w:tcPr>
            <w:tcW w:w="1555" w:type="dxa"/>
            <w:shd w:val="clear" w:color="auto" w:fill="auto"/>
            <w:noWrap/>
            <w:vAlign w:val="center"/>
          </w:tcPr>
          <w:p w14:paraId="69E2B60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INPP</w:t>
            </w:r>
          </w:p>
        </w:tc>
        <w:tc>
          <w:tcPr>
            <w:tcW w:w="8510" w:type="dxa"/>
            <w:shd w:val="clear" w:color="auto" w:fill="auto"/>
            <w:noWrap/>
            <w:vAlign w:val="center"/>
          </w:tcPr>
          <w:p w14:paraId="396E6BD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Índice Nacional de Precios Productor</w:t>
            </w:r>
          </w:p>
        </w:tc>
      </w:tr>
      <w:tr w:rsidR="00507D6E" w:rsidRPr="009A501D" w14:paraId="75D32149" w14:textId="77777777" w:rsidTr="00BC774F">
        <w:trPr>
          <w:trHeight w:val="20"/>
          <w:jc w:val="center"/>
        </w:trPr>
        <w:tc>
          <w:tcPr>
            <w:tcW w:w="1555" w:type="dxa"/>
            <w:shd w:val="clear" w:color="auto" w:fill="auto"/>
            <w:noWrap/>
            <w:vAlign w:val="center"/>
          </w:tcPr>
          <w:p w14:paraId="376992D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IMMEX</w:t>
            </w:r>
          </w:p>
        </w:tc>
        <w:tc>
          <w:tcPr>
            <w:tcW w:w="8510" w:type="dxa"/>
            <w:shd w:val="clear" w:color="auto" w:fill="auto"/>
            <w:noWrap/>
            <w:vAlign w:val="center"/>
          </w:tcPr>
          <w:p w14:paraId="68328988"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 xml:space="preserve">Programa de la Industria Manufacturera, Maquiladora y de Servicios de Exportación </w:t>
            </w:r>
          </w:p>
        </w:tc>
      </w:tr>
      <w:tr w:rsidR="00507D6E" w:rsidRPr="009A501D" w14:paraId="51E37E1F" w14:textId="77777777" w:rsidTr="00BC774F">
        <w:trPr>
          <w:trHeight w:val="20"/>
          <w:jc w:val="center"/>
        </w:trPr>
        <w:tc>
          <w:tcPr>
            <w:tcW w:w="1555" w:type="dxa"/>
            <w:shd w:val="clear" w:color="auto" w:fill="auto"/>
            <w:noWrap/>
            <w:vAlign w:val="center"/>
          </w:tcPr>
          <w:p w14:paraId="3FB0E98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MG</w:t>
            </w:r>
          </w:p>
        </w:tc>
        <w:tc>
          <w:tcPr>
            <w:tcW w:w="8510" w:type="dxa"/>
            <w:shd w:val="clear" w:color="auto" w:fill="auto"/>
            <w:noWrap/>
            <w:vAlign w:val="center"/>
          </w:tcPr>
          <w:p w14:paraId="00FBAB33"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Marco Geoestadístico</w:t>
            </w:r>
          </w:p>
        </w:tc>
      </w:tr>
      <w:tr w:rsidR="00507D6E" w:rsidRPr="009A501D" w14:paraId="0173E61A" w14:textId="77777777" w:rsidTr="00BC774F">
        <w:trPr>
          <w:trHeight w:val="20"/>
          <w:jc w:val="center"/>
        </w:trPr>
        <w:tc>
          <w:tcPr>
            <w:tcW w:w="1555" w:type="dxa"/>
            <w:shd w:val="clear" w:color="auto" w:fill="auto"/>
            <w:noWrap/>
            <w:vAlign w:val="center"/>
          </w:tcPr>
          <w:p w14:paraId="1F6A46C1"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MOCIBA</w:t>
            </w:r>
          </w:p>
        </w:tc>
        <w:tc>
          <w:tcPr>
            <w:tcW w:w="8510" w:type="dxa"/>
            <w:shd w:val="clear" w:color="auto" w:fill="auto"/>
            <w:noWrap/>
            <w:vAlign w:val="center"/>
          </w:tcPr>
          <w:p w14:paraId="4B2910B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Módulo sobre Ciberacoso</w:t>
            </w:r>
          </w:p>
        </w:tc>
      </w:tr>
      <w:tr w:rsidR="00507D6E" w:rsidRPr="009A501D" w14:paraId="3E1388F0" w14:textId="77777777" w:rsidTr="00BC774F">
        <w:trPr>
          <w:trHeight w:val="20"/>
          <w:jc w:val="center"/>
        </w:trPr>
        <w:tc>
          <w:tcPr>
            <w:tcW w:w="1555" w:type="dxa"/>
            <w:shd w:val="clear" w:color="auto" w:fill="auto"/>
            <w:noWrap/>
            <w:vAlign w:val="center"/>
            <w:hideMark/>
          </w:tcPr>
          <w:p w14:paraId="564F12D7"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MODECULT</w:t>
            </w:r>
          </w:p>
        </w:tc>
        <w:tc>
          <w:tcPr>
            <w:tcW w:w="8510" w:type="dxa"/>
            <w:shd w:val="clear" w:color="auto" w:fill="auto"/>
            <w:noWrap/>
            <w:vAlign w:val="center"/>
            <w:hideMark/>
          </w:tcPr>
          <w:p w14:paraId="3292A011" w14:textId="77777777" w:rsidR="00507D6E" w:rsidRPr="009A501D" w:rsidRDefault="00507D6E" w:rsidP="00664A1D">
            <w:pPr>
              <w:spacing w:after="0"/>
              <w:ind w:left="720" w:hanging="720"/>
              <w:rPr>
                <w:rFonts w:ascii="Century Gothic" w:hAnsi="Century Gothic" w:cs="Calibri"/>
                <w:sz w:val="16"/>
                <w:szCs w:val="16"/>
              </w:rPr>
            </w:pPr>
            <w:r w:rsidRPr="009A501D">
              <w:rPr>
                <w:rFonts w:ascii="Century Gothic" w:hAnsi="Century Gothic" w:cs="Calibri"/>
                <w:sz w:val="16"/>
                <w:szCs w:val="16"/>
              </w:rPr>
              <w:t>Módulo de Eventos Culturales Seleccionados</w:t>
            </w:r>
          </w:p>
        </w:tc>
      </w:tr>
      <w:tr w:rsidR="00507D6E" w:rsidRPr="009A501D" w14:paraId="732E3195" w14:textId="77777777" w:rsidTr="00BC774F">
        <w:trPr>
          <w:trHeight w:val="20"/>
          <w:jc w:val="center"/>
        </w:trPr>
        <w:tc>
          <w:tcPr>
            <w:tcW w:w="1555" w:type="dxa"/>
            <w:shd w:val="clear" w:color="auto" w:fill="auto"/>
            <w:noWrap/>
            <w:vAlign w:val="center"/>
            <w:hideMark/>
          </w:tcPr>
          <w:p w14:paraId="0E793416"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lastRenderedPageBreak/>
              <w:t>MOLEC</w:t>
            </w:r>
          </w:p>
        </w:tc>
        <w:tc>
          <w:tcPr>
            <w:tcW w:w="8510" w:type="dxa"/>
            <w:shd w:val="clear" w:color="auto" w:fill="auto"/>
            <w:noWrap/>
            <w:vAlign w:val="center"/>
            <w:hideMark/>
          </w:tcPr>
          <w:p w14:paraId="5ACFDBC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Módulo de Lectura</w:t>
            </w:r>
          </w:p>
        </w:tc>
      </w:tr>
      <w:tr w:rsidR="00507D6E" w:rsidRPr="009A501D" w14:paraId="28E16467" w14:textId="77777777" w:rsidTr="00BC774F">
        <w:trPr>
          <w:trHeight w:val="20"/>
          <w:jc w:val="center"/>
        </w:trPr>
        <w:tc>
          <w:tcPr>
            <w:tcW w:w="1555" w:type="dxa"/>
            <w:shd w:val="clear" w:color="auto" w:fill="auto"/>
            <w:noWrap/>
            <w:vAlign w:val="center"/>
            <w:hideMark/>
          </w:tcPr>
          <w:p w14:paraId="4E31235B"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lang w:val="en-US"/>
              </w:rPr>
              <w:t>MOPRADEF</w:t>
            </w:r>
          </w:p>
        </w:tc>
        <w:tc>
          <w:tcPr>
            <w:tcW w:w="8510" w:type="dxa"/>
            <w:shd w:val="clear" w:color="auto" w:fill="auto"/>
            <w:noWrap/>
            <w:vAlign w:val="center"/>
            <w:hideMark/>
          </w:tcPr>
          <w:p w14:paraId="4E26283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Módulo de Práctica Deportiva y Ejercicio Físico</w:t>
            </w:r>
          </w:p>
        </w:tc>
      </w:tr>
      <w:tr w:rsidR="006020C6" w:rsidRPr="009A501D" w14:paraId="4D50695F" w14:textId="77777777" w:rsidTr="00BC774F">
        <w:trPr>
          <w:trHeight w:val="20"/>
          <w:jc w:val="center"/>
        </w:trPr>
        <w:tc>
          <w:tcPr>
            <w:tcW w:w="1555" w:type="dxa"/>
            <w:shd w:val="clear" w:color="auto" w:fill="auto"/>
            <w:noWrap/>
            <w:vAlign w:val="center"/>
          </w:tcPr>
          <w:p w14:paraId="68D1618E" w14:textId="24A8A7A8" w:rsidR="006020C6" w:rsidRPr="009A501D" w:rsidRDefault="006020C6" w:rsidP="006020C6">
            <w:pPr>
              <w:spacing w:after="0"/>
              <w:rPr>
                <w:rFonts w:ascii="Century Gothic" w:hAnsi="Century Gothic" w:cs="Calibri"/>
                <w:sz w:val="16"/>
                <w:szCs w:val="16"/>
                <w:lang w:val="en-US"/>
              </w:rPr>
            </w:pPr>
            <w:r w:rsidRPr="009A501D">
              <w:rPr>
                <w:rFonts w:ascii="Century Gothic" w:hAnsi="Century Gothic" w:cs="Calibri"/>
                <w:sz w:val="16"/>
                <w:szCs w:val="16"/>
              </w:rPr>
              <w:t>MRG</w:t>
            </w:r>
          </w:p>
        </w:tc>
        <w:tc>
          <w:tcPr>
            <w:tcW w:w="8510" w:type="dxa"/>
            <w:shd w:val="clear" w:color="auto" w:fill="auto"/>
            <w:noWrap/>
            <w:vAlign w:val="center"/>
          </w:tcPr>
          <w:p w14:paraId="439885C3" w14:textId="7534A5CE" w:rsidR="006020C6" w:rsidRPr="009A501D" w:rsidRDefault="006020C6" w:rsidP="006020C6">
            <w:pPr>
              <w:spacing w:after="0"/>
              <w:rPr>
                <w:rFonts w:ascii="Century Gothic" w:hAnsi="Century Gothic" w:cs="Calibri"/>
                <w:sz w:val="16"/>
                <w:szCs w:val="16"/>
              </w:rPr>
            </w:pPr>
            <w:r w:rsidRPr="009A501D">
              <w:rPr>
                <w:rFonts w:ascii="Century Gothic" w:hAnsi="Century Gothic" w:cs="Calibri"/>
                <w:sz w:val="16"/>
                <w:szCs w:val="16"/>
              </w:rPr>
              <w:t>Marco de Referencia Geodésico</w:t>
            </w:r>
          </w:p>
        </w:tc>
      </w:tr>
      <w:tr w:rsidR="00507D6E" w:rsidRPr="009A501D" w14:paraId="4222F9E8" w14:textId="77777777" w:rsidTr="00BC774F">
        <w:trPr>
          <w:trHeight w:val="20"/>
          <w:jc w:val="center"/>
        </w:trPr>
        <w:tc>
          <w:tcPr>
            <w:tcW w:w="1555" w:type="dxa"/>
            <w:shd w:val="clear" w:color="auto" w:fill="auto"/>
            <w:noWrap/>
            <w:vAlign w:val="center"/>
          </w:tcPr>
          <w:p w14:paraId="69D5938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MT</w:t>
            </w:r>
          </w:p>
        </w:tc>
        <w:tc>
          <w:tcPr>
            <w:tcW w:w="8510" w:type="dxa"/>
            <w:shd w:val="clear" w:color="auto" w:fill="auto"/>
            <w:noWrap/>
            <w:vAlign w:val="center"/>
          </w:tcPr>
          <w:p w14:paraId="41890F7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Mapa Topográfico</w:t>
            </w:r>
          </w:p>
        </w:tc>
      </w:tr>
      <w:tr w:rsidR="00507D6E" w:rsidRPr="009A501D" w14:paraId="18890946" w14:textId="77777777" w:rsidTr="00BC774F">
        <w:trPr>
          <w:trHeight w:val="20"/>
          <w:jc w:val="center"/>
        </w:trPr>
        <w:tc>
          <w:tcPr>
            <w:tcW w:w="1555" w:type="dxa"/>
            <w:shd w:val="clear" w:color="auto" w:fill="auto"/>
            <w:noWrap/>
            <w:vAlign w:val="center"/>
          </w:tcPr>
          <w:p w14:paraId="52DA2387"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RENEM</w:t>
            </w:r>
          </w:p>
        </w:tc>
        <w:tc>
          <w:tcPr>
            <w:tcW w:w="8510" w:type="dxa"/>
            <w:shd w:val="clear" w:color="auto" w:fill="auto"/>
            <w:noWrap/>
            <w:vAlign w:val="center"/>
          </w:tcPr>
          <w:p w14:paraId="1591E19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Registro Estadístico de Negocios de México</w:t>
            </w:r>
          </w:p>
        </w:tc>
      </w:tr>
      <w:tr w:rsidR="00507D6E" w:rsidRPr="009A501D" w14:paraId="04D7A938" w14:textId="77777777" w:rsidTr="00BC774F">
        <w:trPr>
          <w:trHeight w:val="20"/>
          <w:jc w:val="center"/>
        </w:trPr>
        <w:tc>
          <w:tcPr>
            <w:tcW w:w="1555" w:type="dxa"/>
            <w:shd w:val="clear" w:color="auto" w:fill="auto"/>
            <w:noWrap/>
            <w:vAlign w:val="center"/>
          </w:tcPr>
          <w:p w14:paraId="5C356F9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RNC</w:t>
            </w:r>
          </w:p>
        </w:tc>
        <w:tc>
          <w:tcPr>
            <w:tcW w:w="8510" w:type="dxa"/>
            <w:shd w:val="clear" w:color="auto" w:fill="auto"/>
            <w:noWrap/>
            <w:vAlign w:val="center"/>
          </w:tcPr>
          <w:p w14:paraId="0907A1D2"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Red Nacional de Caminos</w:t>
            </w:r>
          </w:p>
        </w:tc>
      </w:tr>
      <w:tr w:rsidR="00507D6E" w:rsidRPr="009A501D" w14:paraId="479288A5" w14:textId="77777777" w:rsidTr="00BC774F">
        <w:trPr>
          <w:trHeight w:val="20"/>
          <w:jc w:val="center"/>
        </w:trPr>
        <w:tc>
          <w:tcPr>
            <w:tcW w:w="1555" w:type="dxa"/>
            <w:shd w:val="clear" w:color="auto" w:fill="auto"/>
            <w:noWrap/>
            <w:vAlign w:val="center"/>
          </w:tcPr>
          <w:p w14:paraId="60837819"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SCNM_CT</w:t>
            </w:r>
          </w:p>
        </w:tc>
        <w:tc>
          <w:tcPr>
            <w:tcW w:w="8510" w:type="dxa"/>
            <w:shd w:val="clear" w:color="auto" w:fill="auto"/>
            <w:noWrap/>
            <w:vAlign w:val="center"/>
          </w:tcPr>
          <w:p w14:paraId="2EA33E1C"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Cuentas Satélite y sus Indicadores</w:t>
            </w:r>
          </w:p>
        </w:tc>
      </w:tr>
      <w:tr w:rsidR="00507D6E" w:rsidRPr="009A501D" w14:paraId="1E524451" w14:textId="77777777" w:rsidTr="00BC774F">
        <w:trPr>
          <w:trHeight w:val="20"/>
          <w:jc w:val="center"/>
        </w:trPr>
        <w:tc>
          <w:tcPr>
            <w:tcW w:w="1555" w:type="dxa"/>
            <w:shd w:val="clear" w:color="auto" w:fill="auto"/>
            <w:noWrap/>
            <w:vAlign w:val="center"/>
          </w:tcPr>
          <w:p w14:paraId="5B90FEED"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SIC</w:t>
            </w:r>
          </w:p>
        </w:tc>
        <w:tc>
          <w:tcPr>
            <w:tcW w:w="8510" w:type="dxa"/>
            <w:shd w:val="clear" w:color="auto" w:fill="auto"/>
            <w:noWrap/>
            <w:vAlign w:val="center"/>
          </w:tcPr>
          <w:p w14:paraId="6490B3E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Sistema de Indicadores Cíclicos</w:t>
            </w:r>
          </w:p>
        </w:tc>
      </w:tr>
      <w:tr w:rsidR="00507D6E" w:rsidRPr="009A501D" w14:paraId="6632E73B" w14:textId="77777777" w:rsidTr="00BC774F">
        <w:trPr>
          <w:trHeight w:val="20"/>
          <w:jc w:val="center"/>
        </w:trPr>
        <w:tc>
          <w:tcPr>
            <w:tcW w:w="1555" w:type="dxa"/>
            <w:shd w:val="clear" w:color="auto" w:fill="auto"/>
            <w:noWrap/>
            <w:vAlign w:val="center"/>
          </w:tcPr>
          <w:p w14:paraId="55138F06"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TOPO</w:t>
            </w:r>
          </w:p>
        </w:tc>
        <w:tc>
          <w:tcPr>
            <w:tcW w:w="8510" w:type="dxa"/>
            <w:shd w:val="clear" w:color="auto" w:fill="auto"/>
            <w:noWrap/>
            <w:vAlign w:val="center"/>
          </w:tcPr>
          <w:p w14:paraId="6A62AA7A"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Topografía</w:t>
            </w:r>
          </w:p>
        </w:tc>
      </w:tr>
      <w:tr w:rsidR="00507D6E" w:rsidRPr="009A501D" w14:paraId="186F90B8" w14:textId="77777777" w:rsidTr="00BC774F">
        <w:trPr>
          <w:trHeight w:val="20"/>
          <w:jc w:val="center"/>
        </w:trPr>
        <w:tc>
          <w:tcPr>
            <w:tcW w:w="1555" w:type="dxa"/>
            <w:shd w:val="clear" w:color="auto" w:fill="auto"/>
            <w:noWrap/>
            <w:vAlign w:val="center"/>
          </w:tcPr>
          <w:p w14:paraId="49DDA544"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USYV</w:t>
            </w:r>
          </w:p>
        </w:tc>
        <w:tc>
          <w:tcPr>
            <w:tcW w:w="8510" w:type="dxa"/>
            <w:shd w:val="clear" w:color="auto" w:fill="auto"/>
            <w:noWrap/>
            <w:vAlign w:val="center"/>
          </w:tcPr>
          <w:p w14:paraId="5719EB95"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Uso de suelo y vegetación</w:t>
            </w:r>
          </w:p>
        </w:tc>
      </w:tr>
      <w:tr w:rsidR="00507D6E" w:rsidRPr="009A501D" w14:paraId="6BCC6694" w14:textId="77777777" w:rsidTr="00BC774F">
        <w:trPr>
          <w:trHeight w:val="20"/>
          <w:jc w:val="center"/>
        </w:trPr>
        <w:tc>
          <w:tcPr>
            <w:tcW w:w="1555" w:type="dxa"/>
            <w:shd w:val="clear" w:color="auto" w:fill="auto"/>
            <w:noWrap/>
            <w:vAlign w:val="center"/>
          </w:tcPr>
          <w:p w14:paraId="0B0F914E"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VRA</w:t>
            </w:r>
          </w:p>
        </w:tc>
        <w:tc>
          <w:tcPr>
            <w:tcW w:w="8510" w:type="dxa"/>
            <w:shd w:val="clear" w:color="auto" w:fill="auto"/>
            <w:noWrap/>
            <w:vAlign w:val="center"/>
          </w:tcPr>
          <w:p w14:paraId="6F460220" w14:textId="77777777" w:rsidR="00507D6E" w:rsidRPr="009A501D" w:rsidRDefault="00507D6E" w:rsidP="00664A1D">
            <w:pPr>
              <w:spacing w:after="0"/>
              <w:rPr>
                <w:rFonts w:ascii="Century Gothic" w:hAnsi="Century Gothic" w:cs="Calibri"/>
                <w:sz w:val="16"/>
                <w:szCs w:val="16"/>
              </w:rPr>
            </w:pPr>
            <w:r w:rsidRPr="009A501D">
              <w:rPr>
                <w:rFonts w:ascii="Century Gothic" w:hAnsi="Century Gothic" w:cs="Calibri"/>
                <w:sz w:val="16"/>
                <w:szCs w:val="16"/>
              </w:rPr>
              <w:t>Vinculación de Registros Administrativos</w:t>
            </w:r>
          </w:p>
        </w:tc>
      </w:tr>
      <w:tr w:rsidR="00507D6E" w:rsidRPr="00296E53" w14:paraId="74B687D6" w14:textId="77777777" w:rsidTr="00BC774F">
        <w:trPr>
          <w:trHeight w:val="20"/>
          <w:jc w:val="center"/>
        </w:trPr>
        <w:tc>
          <w:tcPr>
            <w:tcW w:w="1555" w:type="dxa"/>
            <w:shd w:val="clear" w:color="auto" w:fill="auto"/>
            <w:noWrap/>
            <w:vAlign w:val="center"/>
            <w:hideMark/>
          </w:tcPr>
          <w:p w14:paraId="1B883DC5" w14:textId="77777777" w:rsidR="00507D6E" w:rsidRPr="009A501D" w:rsidRDefault="00507D6E" w:rsidP="00664A1D">
            <w:pPr>
              <w:spacing w:after="0"/>
              <w:rPr>
                <w:rFonts w:ascii="Century Gothic" w:hAnsi="Century Gothic" w:cs="Calibri"/>
                <w:sz w:val="16"/>
                <w:szCs w:val="16"/>
                <w:lang w:val="en-US"/>
              </w:rPr>
            </w:pPr>
            <w:r w:rsidRPr="009A501D">
              <w:rPr>
                <w:rFonts w:ascii="Century Gothic" w:hAnsi="Century Gothic" w:cs="Calibri"/>
                <w:sz w:val="16"/>
                <w:szCs w:val="16"/>
              </w:rPr>
              <w:t>VMRC</w:t>
            </w:r>
          </w:p>
        </w:tc>
        <w:tc>
          <w:tcPr>
            <w:tcW w:w="8510" w:type="dxa"/>
            <w:shd w:val="clear" w:color="auto" w:fill="auto"/>
            <w:noWrap/>
            <w:vAlign w:val="center"/>
            <w:hideMark/>
          </w:tcPr>
          <w:p w14:paraId="54B667BC" w14:textId="77777777" w:rsidR="00507D6E" w:rsidRPr="00C07F02" w:rsidRDefault="00507D6E" w:rsidP="00664A1D">
            <w:pPr>
              <w:spacing w:after="0"/>
              <w:rPr>
                <w:rFonts w:ascii="Century Gothic" w:hAnsi="Century Gothic" w:cs="Calibri"/>
                <w:sz w:val="16"/>
                <w:szCs w:val="16"/>
              </w:rPr>
            </w:pPr>
            <w:r w:rsidRPr="009A501D">
              <w:rPr>
                <w:rFonts w:ascii="Century Gothic" w:hAnsi="Century Gothic" w:cs="Calibri"/>
                <w:sz w:val="16"/>
                <w:szCs w:val="16"/>
              </w:rPr>
              <w:t>Vehículos de Motor Registrados en Circulación</w:t>
            </w:r>
          </w:p>
        </w:tc>
      </w:tr>
    </w:tbl>
    <w:p w14:paraId="166C8EC7" w14:textId="39E555CA" w:rsidR="00657B06" w:rsidRDefault="00657B06" w:rsidP="00664A1D">
      <w:pPr>
        <w:spacing w:before="240"/>
        <w:rPr>
          <w:rFonts w:ascii="Century Gothic" w:hAnsi="Century Gothic"/>
          <w:sz w:val="19"/>
          <w:szCs w:val="19"/>
        </w:rPr>
      </w:pPr>
    </w:p>
    <w:p w14:paraId="3E870BF7" w14:textId="660D9B34" w:rsidR="00585446" w:rsidRPr="009A501D" w:rsidRDefault="00585446" w:rsidP="00585446">
      <w:pPr>
        <w:pStyle w:val="Default"/>
        <w:spacing w:before="240" w:after="160"/>
        <w:outlineLvl w:val="0"/>
        <w:rPr>
          <w:rFonts w:ascii="Century Gothic" w:hAnsi="Century Gothic"/>
          <w:smallCaps/>
          <w:color w:val="2E74B5" w:themeColor="accent1" w:themeShade="BF"/>
          <w:sz w:val="32"/>
          <w:szCs w:val="32"/>
          <w:lang w:val="es-MX"/>
        </w:rPr>
      </w:pPr>
      <w:bookmarkStart w:id="43" w:name="_Toc131161821"/>
      <w:r w:rsidRPr="009A501D">
        <w:rPr>
          <w:rFonts w:ascii="Century Gothic" w:hAnsi="Century Gothic"/>
          <w:smallCaps/>
          <w:color w:val="2E74B5" w:themeColor="accent1" w:themeShade="BF"/>
          <w:sz w:val="32"/>
          <w:szCs w:val="32"/>
          <w:lang w:val="es-MX"/>
        </w:rPr>
        <w:t xml:space="preserve">GLOSARIO </w:t>
      </w:r>
      <w:proofErr w:type="gramStart"/>
      <w:r w:rsidRPr="009A501D">
        <w:rPr>
          <w:rFonts w:ascii="Century Gothic" w:hAnsi="Century Gothic"/>
          <w:smallCaps/>
          <w:color w:val="2E74B5" w:themeColor="accent1" w:themeShade="BF"/>
          <w:sz w:val="32"/>
          <w:szCs w:val="32"/>
          <w:lang w:val="es-MX"/>
        </w:rPr>
        <w:t xml:space="preserve">DE </w:t>
      </w:r>
      <w:r>
        <w:rPr>
          <w:rFonts w:ascii="Century Gothic" w:hAnsi="Century Gothic"/>
          <w:smallCaps/>
          <w:color w:val="2E74B5" w:themeColor="accent1" w:themeShade="BF"/>
          <w:sz w:val="32"/>
          <w:szCs w:val="32"/>
          <w:lang w:val="es-MX"/>
        </w:rPr>
        <w:t xml:space="preserve"> TÉRMINOS</w:t>
      </w:r>
      <w:bookmarkEnd w:id="43"/>
      <w:proofErr w:type="gramEnd"/>
    </w:p>
    <w:p w14:paraId="2E18E94C" w14:textId="03F76AF5" w:rsidR="00585446" w:rsidRDefault="00585446" w:rsidP="00664A1D">
      <w:pPr>
        <w:spacing w:before="240"/>
        <w:rPr>
          <w:rFonts w:ascii="Century Gothic" w:hAnsi="Century Gothic"/>
          <w:sz w:val="19"/>
          <w:szCs w:val="19"/>
        </w:rPr>
      </w:pPr>
    </w:p>
    <w:p w14:paraId="63641D4C" w14:textId="0843063D"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Dato:</w:t>
      </w:r>
      <w:r w:rsidRPr="000257B9">
        <w:rPr>
          <w:rFonts w:ascii="Century Gothic" w:hAnsi="Century Gothic"/>
          <w:sz w:val="19"/>
          <w:szCs w:val="19"/>
        </w:rPr>
        <w:t xml:space="preserve"> Un valor que representa una ocurrencia de los hechos u objetos que se recopilaron o derivaron</w:t>
      </w:r>
      <w:r>
        <w:rPr>
          <w:rFonts w:ascii="Century Gothic" w:hAnsi="Century Gothic"/>
          <w:sz w:val="19"/>
          <w:szCs w:val="19"/>
        </w:rPr>
        <w:t xml:space="preserve"> durante el proceso de producción;</w:t>
      </w:r>
    </w:p>
    <w:p w14:paraId="12C4E206" w14:textId="290D8F66" w:rsidR="00267921" w:rsidRPr="004D054A" w:rsidRDefault="00267921" w:rsidP="000257B9">
      <w:pPr>
        <w:spacing w:before="240"/>
        <w:rPr>
          <w:rFonts w:ascii="Century Gothic" w:hAnsi="Century Gothic"/>
          <w:sz w:val="19"/>
          <w:szCs w:val="19"/>
        </w:rPr>
      </w:pPr>
      <w:r w:rsidRPr="00267921">
        <w:rPr>
          <w:rFonts w:ascii="Century Gothic" w:hAnsi="Century Gothic"/>
          <w:b/>
          <w:bCs/>
          <w:sz w:val="19"/>
          <w:szCs w:val="19"/>
        </w:rPr>
        <w:t>Dominio de Estudio:</w:t>
      </w:r>
      <w:r w:rsidRPr="000257B9">
        <w:rPr>
          <w:rFonts w:ascii="Century Gothic" w:hAnsi="Century Gothic"/>
          <w:sz w:val="19"/>
          <w:szCs w:val="19"/>
        </w:rPr>
        <w:t xml:space="preserve"> Subconjunto de la población para el cual se requiere realizar mediciones o representaciones de los conceptos de forma separada</w:t>
      </w:r>
      <w:r>
        <w:rPr>
          <w:rFonts w:ascii="Century Gothic" w:hAnsi="Century Gothic"/>
          <w:sz w:val="19"/>
          <w:szCs w:val="19"/>
        </w:rPr>
        <w:t>;</w:t>
      </w:r>
    </w:p>
    <w:p w14:paraId="261FCBDC" w14:textId="36B71781"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 xml:space="preserve">Indicador: </w:t>
      </w:r>
      <w:r w:rsidRPr="000257B9">
        <w:rPr>
          <w:rFonts w:ascii="Century Gothic" w:hAnsi="Century Gothic"/>
          <w:sz w:val="19"/>
          <w:szCs w:val="19"/>
        </w:rPr>
        <w:t>Medición que relaciona uno o más conceptos mediante la aplicación de una metodología sobre fenómenos o asuntos de interés</w:t>
      </w:r>
      <w:r>
        <w:rPr>
          <w:rFonts w:ascii="Century Gothic" w:hAnsi="Century Gothic"/>
          <w:sz w:val="19"/>
          <w:szCs w:val="19"/>
        </w:rPr>
        <w:t>;</w:t>
      </w:r>
    </w:p>
    <w:p w14:paraId="2CDC7BEF" w14:textId="2AE1E265"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Indicador-Objetivo:</w:t>
      </w:r>
      <w:r w:rsidRPr="000257B9">
        <w:rPr>
          <w:rFonts w:ascii="Century Gothic" w:hAnsi="Century Gothic"/>
          <w:sz w:val="19"/>
          <w:szCs w:val="19"/>
        </w:rPr>
        <w:t xml:space="preserve"> Indicador asociado a un dominio de estudio y fenómeno de interés que permite hacer mediciones directamente relacionadas con los objetivos del programa de información. El indicador deberá cumplir al menos uno de los siguientes criterios: que derive del cumplimiento de una Ley o Reglamento; que atienda un compromiso o recomendación internacional; que sea de utilidad para las políticas públicas; que forme parte de un conjunto de indicadores clave; o que contribuya a que la información sea comparable y coherente a través del tiempo y con los componentes que lo conforman</w:t>
      </w:r>
      <w:r>
        <w:rPr>
          <w:rFonts w:ascii="Century Gothic" w:hAnsi="Century Gothic"/>
          <w:sz w:val="19"/>
          <w:szCs w:val="19"/>
        </w:rPr>
        <w:t>;</w:t>
      </w:r>
    </w:p>
    <w:p w14:paraId="218B3E77"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Información de Interés Nacional:</w:t>
      </w:r>
      <w:r w:rsidRPr="000257B9">
        <w:rPr>
          <w:rFonts w:ascii="Century Gothic" w:hAnsi="Century Gothic"/>
          <w:sz w:val="19"/>
          <w:szCs w:val="19"/>
        </w:rPr>
        <w:t xml:space="preserve"> Información que se determine como tal por la Junta de Gobierno, en términos de lo dispuesto por los artículos 77, fracción II y 78 de la Ley del Sistema Nacional de Información Estadística y Geográfica;</w:t>
      </w:r>
    </w:p>
    <w:p w14:paraId="75E82F5F"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Información Estadística:</w:t>
      </w:r>
      <w:r w:rsidRPr="000257B9">
        <w:rPr>
          <w:rFonts w:ascii="Century Gothic" w:hAnsi="Century Gothic"/>
          <w:sz w:val="19"/>
          <w:szCs w:val="19"/>
        </w:rPr>
        <w:t xml:space="preserve"> Al conjunto de resultados cuantitativos o datos que se obtienen de las Actividades Estadísticas y Geográficas en materia estadística, tomando como base los datos primarios obtenidos de los Informantes del Sistema sobre hechos que son relevantes para el conocimiento de los fenómenos económicos, gobierno, seguridad pública e impartición de justicia; demográficos y sociales, así como sus relaciones con el medio ambiente y el espacio territorial;</w:t>
      </w:r>
    </w:p>
    <w:p w14:paraId="676E4F0A" w14:textId="77777777"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Información Geográfica:</w:t>
      </w:r>
      <w:r w:rsidRPr="000257B9">
        <w:rPr>
          <w:rFonts w:ascii="Century Gothic" w:hAnsi="Century Gothic"/>
          <w:sz w:val="19"/>
          <w:szCs w:val="19"/>
        </w:rPr>
        <w:t xml:space="preserve"> Al conjunto organizado de datos espaciales georreferenciados, que mediante símbolos y códigos genera el conocimiento acerca de las condiciones </w:t>
      </w:r>
      <w:proofErr w:type="spellStart"/>
      <w:r w:rsidRPr="000257B9">
        <w:rPr>
          <w:rFonts w:ascii="Century Gothic" w:hAnsi="Century Gothic"/>
          <w:sz w:val="19"/>
          <w:szCs w:val="19"/>
        </w:rPr>
        <w:t>físicoambientales</w:t>
      </w:r>
      <w:proofErr w:type="spellEnd"/>
      <w:r w:rsidRPr="000257B9">
        <w:rPr>
          <w:rFonts w:ascii="Century Gothic" w:hAnsi="Century Gothic"/>
          <w:sz w:val="19"/>
          <w:szCs w:val="19"/>
        </w:rPr>
        <w:t>, de los recursos naturales y de las obras de naturaleza antrópica del territorio nacional;</w:t>
      </w:r>
    </w:p>
    <w:p w14:paraId="0DDB1278"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Información:</w:t>
      </w:r>
      <w:r w:rsidRPr="000257B9">
        <w:rPr>
          <w:rFonts w:ascii="Century Gothic" w:hAnsi="Century Gothic"/>
          <w:sz w:val="19"/>
          <w:szCs w:val="19"/>
        </w:rPr>
        <w:t xml:space="preserve"> Datos útiles en un contexto particular. El contexto permite que los datos adquieran significado y puedan representar un mensaje determinado, hecho o fenómeno. Incluye información estadística y geográfica;</w:t>
      </w:r>
    </w:p>
    <w:p w14:paraId="28604549" w14:textId="600E97C9" w:rsidR="00267921" w:rsidRPr="004D054A" w:rsidRDefault="00267921" w:rsidP="004D054A">
      <w:pPr>
        <w:spacing w:before="240"/>
        <w:rPr>
          <w:rFonts w:ascii="Century Gothic" w:hAnsi="Century Gothic"/>
          <w:sz w:val="19"/>
          <w:szCs w:val="19"/>
        </w:rPr>
      </w:pPr>
      <w:r w:rsidRPr="004D054A">
        <w:rPr>
          <w:rFonts w:ascii="Century Gothic" w:hAnsi="Century Gothic"/>
          <w:b/>
          <w:bCs/>
          <w:sz w:val="19"/>
          <w:szCs w:val="19"/>
        </w:rPr>
        <w:lastRenderedPageBreak/>
        <w:t xml:space="preserve">Machine </w:t>
      </w:r>
      <w:proofErr w:type="spellStart"/>
      <w:r w:rsidRPr="004D054A">
        <w:rPr>
          <w:rFonts w:ascii="Century Gothic" w:hAnsi="Century Gothic"/>
          <w:b/>
          <w:bCs/>
          <w:sz w:val="19"/>
          <w:szCs w:val="19"/>
        </w:rPr>
        <w:t>learning</w:t>
      </w:r>
      <w:proofErr w:type="spellEnd"/>
      <w:r w:rsidRPr="004D054A">
        <w:rPr>
          <w:rFonts w:ascii="Century Gothic" w:hAnsi="Century Gothic"/>
          <w:b/>
          <w:bCs/>
          <w:sz w:val="19"/>
          <w:szCs w:val="19"/>
        </w:rPr>
        <w:t>:</w:t>
      </w:r>
      <w:r w:rsidRPr="004D054A">
        <w:rPr>
          <w:rFonts w:ascii="Century Gothic" w:hAnsi="Century Gothic"/>
          <w:sz w:val="19"/>
          <w:szCs w:val="19"/>
        </w:rPr>
        <w:t xml:space="preserve"> es un subconjunto de la inteligencia artificial donde las computadoras aprenden a partir de los datos y mejoran con la experiencia sin ser programadas explícitamente. Técnica necesaria para mejorar la precisión de los modelos predictivos y automatizar procesos</w:t>
      </w:r>
      <w:r>
        <w:rPr>
          <w:rFonts w:ascii="Century Gothic" w:hAnsi="Century Gothic"/>
          <w:sz w:val="19"/>
          <w:szCs w:val="19"/>
        </w:rPr>
        <w:t>;</w:t>
      </w:r>
    </w:p>
    <w:p w14:paraId="104EC422"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Metadatos Estructurales:</w:t>
      </w:r>
      <w:r w:rsidRPr="000257B9">
        <w:rPr>
          <w:rFonts w:ascii="Century Gothic" w:hAnsi="Century Gothic"/>
          <w:sz w:val="19"/>
          <w:szCs w:val="19"/>
        </w:rPr>
        <w:t xml:space="preserve"> Datos que reconocen y especifican los atributos, dimensiones y medidas de los conjuntos de datos, actuando como identificadores y descriptores de </w:t>
      </w:r>
      <w:proofErr w:type="gramStart"/>
      <w:r w:rsidRPr="000257B9">
        <w:rPr>
          <w:rFonts w:ascii="Century Gothic" w:hAnsi="Century Gothic"/>
          <w:sz w:val="19"/>
          <w:szCs w:val="19"/>
        </w:rPr>
        <w:t>los mismos</w:t>
      </w:r>
      <w:proofErr w:type="gramEnd"/>
      <w:r w:rsidRPr="000257B9">
        <w:rPr>
          <w:rFonts w:ascii="Century Gothic" w:hAnsi="Century Gothic"/>
          <w:sz w:val="19"/>
          <w:szCs w:val="19"/>
        </w:rPr>
        <w:t>;</w:t>
      </w:r>
    </w:p>
    <w:p w14:paraId="38C7122F" w14:textId="77777777"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Metadatos Referenciales:</w:t>
      </w:r>
      <w:r w:rsidRPr="000257B9">
        <w:rPr>
          <w:rFonts w:ascii="Century Gothic" w:hAnsi="Century Gothic"/>
          <w:sz w:val="19"/>
          <w:szCs w:val="19"/>
        </w:rPr>
        <w:t xml:space="preserve"> Datos sobre la descripción de los conceptos, metodologías aplicadas, métodos utilizados y dimensiones de calidad asociadas a la producción y/o actualización de la información;</w:t>
      </w:r>
    </w:p>
    <w:p w14:paraId="48117A01" w14:textId="397C40DB" w:rsidR="00267921" w:rsidRDefault="00267921" w:rsidP="004D054A">
      <w:pPr>
        <w:spacing w:before="240"/>
        <w:rPr>
          <w:rFonts w:ascii="Century Gothic" w:hAnsi="Century Gothic"/>
          <w:sz w:val="19"/>
          <w:szCs w:val="19"/>
        </w:rPr>
      </w:pPr>
      <w:r w:rsidRPr="004D054A">
        <w:rPr>
          <w:rFonts w:ascii="Century Gothic" w:hAnsi="Century Gothic"/>
          <w:b/>
          <w:bCs/>
          <w:sz w:val="19"/>
          <w:szCs w:val="19"/>
        </w:rPr>
        <w:t>Modelo de factores dinámicos</w:t>
      </w:r>
      <w:r>
        <w:rPr>
          <w:rFonts w:ascii="Century Gothic" w:hAnsi="Century Gothic"/>
          <w:b/>
          <w:bCs/>
          <w:sz w:val="19"/>
          <w:szCs w:val="19"/>
        </w:rPr>
        <w:t>:</w:t>
      </w:r>
      <w:r w:rsidRPr="004D054A">
        <w:rPr>
          <w:rFonts w:ascii="Century Gothic" w:hAnsi="Century Gothic"/>
          <w:sz w:val="19"/>
          <w:szCs w:val="19"/>
        </w:rPr>
        <w:t xml:space="preserve"> modelo de regresión que relaciona variables observadas con variables latentes (inobservables) y un componente idiosincrático de media cero, en donde tanto los factores latentes y el término idiosincrático están generalmente correlacionados </w:t>
      </w:r>
      <w:proofErr w:type="spellStart"/>
      <w:r w:rsidRPr="004D054A">
        <w:rPr>
          <w:rFonts w:ascii="Century Gothic" w:hAnsi="Century Gothic"/>
          <w:sz w:val="19"/>
          <w:szCs w:val="19"/>
        </w:rPr>
        <w:t>serialmente</w:t>
      </w:r>
      <w:proofErr w:type="spellEnd"/>
      <w:r w:rsidRPr="004D054A">
        <w:rPr>
          <w:rFonts w:ascii="Century Gothic" w:hAnsi="Century Gothic"/>
          <w:sz w:val="19"/>
          <w:szCs w:val="19"/>
        </w:rPr>
        <w:t xml:space="preserve"> (Stock y Watson, 2016)</w:t>
      </w:r>
      <w:r>
        <w:rPr>
          <w:rFonts w:ascii="Century Gothic" w:hAnsi="Century Gothic"/>
          <w:sz w:val="19"/>
          <w:szCs w:val="19"/>
        </w:rPr>
        <w:t>;</w:t>
      </w:r>
    </w:p>
    <w:p w14:paraId="6182458A" w14:textId="4AC96627" w:rsidR="00267921" w:rsidRPr="004D054A" w:rsidRDefault="00267921" w:rsidP="004D054A">
      <w:pPr>
        <w:spacing w:before="240"/>
        <w:rPr>
          <w:rFonts w:ascii="Century Gothic" w:hAnsi="Century Gothic"/>
          <w:sz w:val="19"/>
          <w:szCs w:val="19"/>
        </w:rPr>
      </w:pPr>
      <w:proofErr w:type="spellStart"/>
      <w:r w:rsidRPr="004D054A">
        <w:rPr>
          <w:rFonts w:ascii="Century Gothic" w:hAnsi="Century Gothic"/>
          <w:b/>
          <w:bCs/>
          <w:sz w:val="19"/>
          <w:szCs w:val="19"/>
        </w:rPr>
        <w:t>Nowcasting</w:t>
      </w:r>
      <w:proofErr w:type="spellEnd"/>
      <w:r>
        <w:rPr>
          <w:rFonts w:ascii="Century Gothic" w:hAnsi="Century Gothic"/>
          <w:b/>
          <w:bCs/>
          <w:sz w:val="19"/>
          <w:szCs w:val="19"/>
        </w:rPr>
        <w:t>:</w:t>
      </w:r>
      <w:r w:rsidRPr="004D054A">
        <w:rPr>
          <w:rFonts w:ascii="Century Gothic" w:hAnsi="Century Gothic"/>
          <w:b/>
          <w:bCs/>
          <w:sz w:val="19"/>
          <w:szCs w:val="19"/>
        </w:rPr>
        <w:t xml:space="preserve"> </w:t>
      </w:r>
      <w:r w:rsidRPr="004D054A">
        <w:rPr>
          <w:rFonts w:ascii="Century Gothic" w:hAnsi="Century Gothic"/>
          <w:sz w:val="19"/>
          <w:szCs w:val="19"/>
        </w:rPr>
        <w:t>modelo econométrico que parte de los logros previos y realiza estimaciones al momento actual, con lo que se explota la relación estadística entre covariables más oportunas y la variable dependiente</w:t>
      </w:r>
      <w:r>
        <w:rPr>
          <w:rFonts w:ascii="Century Gothic" w:hAnsi="Century Gothic"/>
          <w:sz w:val="19"/>
          <w:szCs w:val="19"/>
        </w:rPr>
        <w:t>;</w:t>
      </w:r>
    </w:p>
    <w:p w14:paraId="5DB29C6B" w14:textId="37214D5F"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Población objeto de estudio o población objetivo:</w:t>
      </w:r>
      <w:r w:rsidRPr="000257B9">
        <w:rPr>
          <w:rFonts w:ascii="Century Gothic" w:hAnsi="Century Gothic"/>
          <w:sz w:val="19"/>
          <w:szCs w:val="19"/>
        </w:rPr>
        <w:t xml:space="preserve"> Población para la cual se requiere realizar mediciones o representaciones de los conceptos; este conjunto contiene a todos los dominios de estudio</w:t>
      </w:r>
      <w:r>
        <w:rPr>
          <w:rFonts w:ascii="Century Gothic" w:hAnsi="Century Gothic"/>
          <w:sz w:val="19"/>
          <w:szCs w:val="19"/>
        </w:rPr>
        <w:t>;</w:t>
      </w:r>
    </w:p>
    <w:p w14:paraId="2827942F"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Población:</w:t>
      </w:r>
      <w:r w:rsidRPr="000257B9">
        <w:rPr>
          <w:rFonts w:ascii="Century Gothic" w:hAnsi="Century Gothic"/>
          <w:sz w:val="19"/>
          <w:szCs w:val="19"/>
        </w:rPr>
        <w:t xml:space="preserve"> El conjunto de unidades pertenecientes a un grupo de personas, empresas, establecimientos, viviendas, o cualquier otro tipo de objetos, acciones o eventos, con base en ciertas características bien definidas, incluyendo representaciones territoriales;</w:t>
      </w:r>
    </w:p>
    <w:p w14:paraId="116C845A"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Presentación:</w:t>
      </w:r>
      <w:r w:rsidRPr="000257B9">
        <w:rPr>
          <w:rFonts w:ascii="Century Gothic" w:hAnsi="Century Gothic"/>
          <w:sz w:val="19"/>
          <w:szCs w:val="19"/>
        </w:rPr>
        <w:t xml:space="preserve"> La forma en la que datos y metadatos obtenidos de un Conjunto de Información se incorporan para formar un elemento de un Producto;</w:t>
      </w:r>
    </w:p>
    <w:p w14:paraId="0B1E29CB" w14:textId="77777777" w:rsidR="00267921" w:rsidRPr="000257B9" w:rsidRDefault="00267921" w:rsidP="000257B9">
      <w:pPr>
        <w:spacing w:before="240"/>
        <w:rPr>
          <w:rFonts w:ascii="Century Gothic" w:hAnsi="Century Gothic"/>
          <w:sz w:val="19"/>
          <w:szCs w:val="19"/>
        </w:rPr>
      </w:pPr>
      <w:r w:rsidRPr="00267921">
        <w:rPr>
          <w:rFonts w:ascii="Century Gothic" w:hAnsi="Century Gothic"/>
          <w:b/>
          <w:bCs/>
          <w:sz w:val="19"/>
          <w:szCs w:val="19"/>
        </w:rPr>
        <w:t>Proceso de Producción o Proceso:</w:t>
      </w:r>
      <w:r w:rsidRPr="000257B9">
        <w:rPr>
          <w:rFonts w:ascii="Century Gothic" w:hAnsi="Century Gothic"/>
          <w:sz w:val="19"/>
          <w:szCs w:val="19"/>
        </w:rPr>
        <w:t xml:space="preserve"> Conjunto de actividades, recursos, datos e infraestructura de información y fases que se relacionan lógicamente y se ejecutan para producir información que permita alcanzar los objetivos y metas definidos por el Programa de Información que le da origen;</w:t>
      </w:r>
    </w:p>
    <w:p w14:paraId="1F3613F6" w14:textId="77777777"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Producto:</w:t>
      </w:r>
      <w:r w:rsidRPr="000257B9">
        <w:rPr>
          <w:rFonts w:ascii="Century Gothic" w:hAnsi="Century Gothic"/>
          <w:sz w:val="19"/>
          <w:szCs w:val="19"/>
        </w:rPr>
        <w:t xml:space="preserve"> Información que resulta de la ejecución de los Procesos de producción que atienden Necesidades Estructuradas de Información. Un Producto está asociado a uno o más dominios de estudio y conceptos de interés, organizados en un conjunto de Presentaciones</w:t>
      </w:r>
      <w:r>
        <w:rPr>
          <w:rFonts w:ascii="Century Gothic" w:hAnsi="Century Gothic"/>
          <w:sz w:val="19"/>
          <w:szCs w:val="19"/>
        </w:rPr>
        <w:t xml:space="preserve"> </w:t>
      </w:r>
      <w:r w:rsidRPr="000257B9">
        <w:rPr>
          <w:rFonts w:ascii="Century Gothic" w:hAnsi="Century Gothic"/>
          <w:sz w:val="19"/>
          <w:szCs w:val="19"/>
        </w:rPr>
        <w:t>y Servicios para los usuarios;</w:t>
      </w:r>
    </w:p>
    <w:p w14:paraId="78A87538" w14:textId="77777777"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Programa de Información o Programa:</w:t>
      </w:r>
      <w:r w:rsidRPr="000257B9">
        <w:rPr>
          <w:rFonts w:ascii="Century Gothic" w:hAnsi="Century Gothic"/>
          <w:sz w:val="19"/>
          <w:szCs w:val="19"/>
        </w:rPr>
        <w:t xml:space="preserve"> Conjunto de actividades mediante el cual se establecen los objetivos, metas y estrategias para la ejecución de uno o más Procesos de producción para atender Necesidades Estructuradas de Información, de las cuales podrán resultar uno o más productos estadísticos y geográficos;</w:t>
      </w:r>
    </w:p>
    <w:p w14:paraId="71A5CFAA" w14:textId="0DA2BC5F" w:rsidR="00267921" w:rsidRDefault="00267921" w:rsidP="00664A1D">
      <w:pPr>
        <w:spacing w:before="240"/>
        <w:rPr>
          <w:rFonts w:ascii="Century Gothic" w:hAnsi="Century Gothic"/>
          <w:sz w:val="19"/>
          <w:szCs w:val="19"/>
        </w:rPr>
      </w:pPr>
      <w:r w:rsidRPr="00267921">
        <w:rPr>
          <w:rFonts w:ascii="Century Gothic" w:hAnsi="Century Gothic"/>
          <w:b/>
          <w:bCs/>
          <w:sz w:val="19"/>
          <w:szCs w:val="19"/>
        </w:rPr>
        <w:t>Publicación:</w:t>
      </w:r>
      <w:r>
        <w:rPr>
          <w:rFonts w:ascii="Century Gothic" w:hAnsi="Century Gothic"/>
          <w:sz w:val="19"/>
          <w:szCs w:val="19"/>
        </w:rPr>
        <w:t xml:space="preserve"> Información publicada en el sitio web del INEGI, a través de una o varias presentaciones;</w:t>
      </w:r>
    </w:p>
    <w:p w14:paraId="011CA360" w14:textId="66C0595E" w:rsidR="00267921" w:rsidRDefault="00267921" w:rsidP="004D054A">
      <w:pPr>
        <w:spacing w:before="240"/>
        <w:rPr>
          <w:rFonts w:ascii="Century Gothic" w:hAnsi="Century Gothic"/>
          <w:sz w:val="19"/>
          <w:szCs w:val="19"/>
        </w:rPr>
      </w:pPr>
      <w:r w:rsidRPr="004D054A">
        <w:rPr>
          <w:rFonts w:ascii="Century Gothic" w:hAnsi="Century Gothic"/>
          <w:b/>
          <w:bCs/>
          <w:sz w:val="19"/>
          <w:szCs w:val="19"/>
        </w:rPr>
        <w:t>Regresión Lasso</w:t>
      </w:r>
      <w:r>
        <w:rPr>
          <w:rFonts w:ascii="Century Gothic" w:hAnsi="Century Gothic"/>
          <w:b/>
          <w:bCs/>
          <w:sz w:val="19"/>
          <w:szCs w:val="19"/>
        </w:rPr>
        <w:t>:</w:t>
      </w:r>
      <w:r w:rsidRPr="004D054A">
        <w:rPr>
          <w:rFonts w:ascii="Century Gothic" w:hAnsi="Century Gothic"/>
          <w:sz w:val="19"/>
          <w:szCs w:val="19"/>
        </w:rPr>
        <w:t xml:space="preserve"> técnica utilizada como método de selección de variables, determinando aquellas que resultan frecuentemente significativas en un periodo de datos de prueba. Esta técnica es útil cuando se tiene una gran cantidad de variables</w:t>
      </w:r>
      <w:r>
        <w:rPr>
          <w:rFonts w:ascii="Century Gothic" w:hAnsi="Century Gothic"/>
          <w:sz w:val="19"/>
          <w:szCs w:val="19"/>
        </w:rPr>
        <w:t>;</w:t>
      </w:r>
      <w:r w:rsidRPr="004D054A">
        <w:rPr>
          <w:rFonts w:ascii="Century Gothic" w:hAnsi="Century Gothic"/>
          <w:sz w:val="19"/>
          <w:szCs w:val="19"/>
        </w:rPr>
        <w:t xml:space="preserve"> </w:t>
      </w:r>
    </w:p>
    <w:p w14:paraId="42B43BAB" w14:textId="1509490B" w:rsidR="00267921" w:rsidRDefault="00267921" w:rsidP="000257B9">
      <w:pPr>
        <w:spacing w:before="240"/>
        <w:rPr>
          <w:rFonts w:ascii="Century Gothic" w:hAnsi="Century Gothic"/>
          <w:sz w:val="19"/>
          <w:szCs w:val="19"/>
        </w:rPr>
      </w:pPr>
      <w:r w:rsidRPr="00267921">
        <w:rPr>
          <w:rFonts w:ascii="Century Gothic" w:hAnsi="Century Gothic"/>
          <w:b/>
          <w:bCs/>
          <w:sz w:val="19"/>
          <w:szCs w:val="19"/>
        </w:rPr>
        <w:t>Unidad de observación:</w:t>
      </w:r>
      <w:r w:rsidRPr="000257B9">
        <w:rPr>
          <w:rFonts w:ascii="Century Gothic" w:hAnsi="Century Gothic"/>
          <w:sz w:val="19"/>
          <w:szCs w:val="19"/>
        </w:rPr>
        <w:t xml:space="preserve"> Es un elemento o grupo de elementos respecto del cual se obtienen los datos para generar la información</w:t>
      </w:r>
      <w:r>
        <w:rPr>
          <w:rFonts w:ascii="Century Gothic" w:hAnsi="Century Gothic"/>
          <w:sz w:val="19"/>
          <w:szCs w:val="19"/>
        </w:rPr>
        <w:t>;</w:t>
      </w:r>
    </w:p>
    <w:p w14:paraId="12288007" w14:textId="21F2100D" w:rsidR="000257B9" w:rsidRPr="00AC3CF7" w:rsidRDefault="00267921" w:rsidP="00664A1D">
      <w:pPr>
        <w:spacing w:before="240"/>
        <w:rPr>
          <w:rFonts w:ascii="Century Gothic" w:hAnsi="Century Gothic"/>
          <w:sz w:val="19"/>
          <w:szCs w:val="19"/>
        </w:rPr>
      </w:pPr>
      <w:r w:rsidRPr="00267921">
        <w:rPr>
          <w:rFonts w:ascii="Century Gothic" w:hAnsi="Century Gothic"/>
          <w:b/>
          <w:bCs/>
          <w:sz w:val="19"/>
          <w:szCs w:val="19"/>
        </w:rPr>
        <w:t>Unidades Administrativas:</w:t>
      </w:r>
      <w:r w:rsidRPr="000257B9">
        <w:rPr>
          <w:rFonts w:ascii="Century Gothic" w:hAnsi="Century Gothic"/>
          <w:sz w:val="19"/>
          <w:szCs w:val="19"/>
        </w:rPr>
        <w:t xml:space="preserve"> Aquellas enlistadas en el artículo 3 del Reglamento Interior del Instituto Nacional de Estadística y Geografía que desarrollen actividades para producir información estadística y geográfica, sea o no de Interés Nacional</w:t>
      </w:r>
      <w:r w:rsidR="009D203B">
        <w:rPr>
          <w:rFonts w:ascii="Century Gothic" w:hAnsi="Century Gothic"/>
          <w:sz w:val="19"/>
          <w:szCs w:val="19"/>
        </w:rPr>
        <w:t>.</w:t>
      </w:r>
    </w:p>
    <w:sectPr w:rsidR="000257B9" w:rsidRPr="00AC3CF7" w:rsidSect="00481C7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12F73" w14:textId="77777777" w:rsidR="00152DDB" w:rsidRDefault="00152DDB" w:rsidP="000331FF">
      <w:pPr>
        <w:spacing w:after="0" w:line="240" w:lineRule="auto"/>
      </w:pPr>
      <w:r>
        <w:separator/>
      </w:r>
    </w:p>
  </w:endnote>
  <w:endnote w:type="continuationSeparator" w:id="0">
    <w:p w14:paraId="3D17C9F9" w14:textId="77777777" w:rsidR="00152DDB" w:rsidRDefault="00152DDB" w:rsidP="000331FF">
      <w:pPr>
        <w:spacing w:after="0" w:line="240" w:lineRule="auto"/>
      </w:pPr>
      <w:r>
        <w:continuationSeparator/>
      </w:r>
    </w:p>
  </w:endnote>
  <w:endnote w:type="continuationNotice" w:id="1">
    <w:p w14:paraId="6B93F44E" w14:textId="77777777" w:rsidR="00152DDB" w:rsidRDefault="00152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03617"/>
      <w:docPartObj>
        <w:docPartGallery w:val="Page Numbers (Bottom of Page)"/>
        <w:docPartUnique/>
      </w:docPartObj>
    </w:sdtPr>
    <w:sdtContent>
      <w:p w14:paraId="1B516E36" w14:textId="56BBEE6B" w:rsidR="00431D67" w:rsidRDefault="00431D67">
        <w:pPr>
          <w:pStyle w:val="Piedepgina"/>
          <w:jc w:val="right"/>
        </w:pPr>
        <w:r>
          <w:fldChar w:fldCharType="begin"/>
        </w:r>
        <w:r>
          <w:instrText>PAGE   \* MERGEFORMAT</w:instrText>
        </w:r>
        <w:r>
          <w:fldChar w:fldCharType="separate"/>
        </w:r>
        <w:r>
          <w:rPr>
            <w:lang w:val="es-ES"/>
          </w:rPr>
          <w:t>2</w:t>
        </w:r>
        <w:r>
          <w:fldChar w:fldCharType="end"/>
        </w:r>
      </w:p>
    </w:sdtContent>
  </w:sdt>
  <w:p w14:paraId="0BE9A2FA" w14:textId="77777777" w:rsidR="00431D67" w:rsidRDefault="00431D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69945"/>
      <w:docPartObj>
        <w:docPartGallery w:val="Page Numbers (Bottom of Page)"/>
        <w:docPartUnique/>
      </w:docPartObj>
    </w:sdtPr>
    <w:sdtContent>
      <w:p w14:paraId="23385DCC" w14:textId="76AD1000" w:rsidR="00431D67" w:rsidRDefault="00431D67">
        <w:pPr>
          <w:pStyle w:val="Piedepgina"/>
          <w:jc w:val="right"/>
        </w:pPr>
        <w:r>
          <w:fldChar w:fldCharType="begin"/>
        </w:r>
        <w:r>
          <w:instrText>PAGE   \* MERGEFORMAT</w:instrText>
        </w:r>
        <w:r>
          <w:fldChar w:fldCharType="separate"/>
        </w:r>
        <w:r w:rsidRPr="0023198E">
          <w:rPr>
            <w:noProof/>
            <w:lang w:val="es-ES"/>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0ADDB" w14:textId="77777777" w:rsidR="00152DDB" w:rsidRDefault="00152DDB" w:rsidP="000331FF">
      <w:pPr>
        <w:spacing w:after="0" w:line="240" w:lineRule="auto"/>
      </w:pPr>
      <w:r>
        <w:separator/>
      </w:r>
    </w:p>
  </w:footnote>
  <w:footnote w:type="continuationSeparator" w:id="0">
    <w:p w14:paraId="08154BE3" w14:textId="77777777" w:rsidR="00152DDB" w:rsidRDefault="00152DDB" w:rsidP="000331FF">
      <w:pPr>
        <w:spacing w:after="0" w:line="240" w:lineRule="auto"/>
      </w:pPr>
      <w:r>
        <w:continuationSeparator/>
      </w:r>
    </w:p>
  </w:footnote>
  <w:footnote w:type="continuationNotice" w:id="1">
    <w:p w14:paraId="6E42660D" w14:textId="77777777" w:rsidR="00152DDB" w:rsidRDefault="00152DDB">
      <w:pPr>
        <w:spacing w:after="0" w:line="240" w:lineRule="auto"/>
      </w:pPr>
    </w:p>
  </w:footnote>
  <w:footnote w:id="2">
    <w:p w14:paraId="1EA0B846" w14:textId="03BE91CC" w:rsidR="00431D67" w:rsidRPr="00ED6084" w:rsidRDefault="00431D67" w:rsidP="007614CA">
      <w:pPr>
        <w:pStyle w:val="Textonotapie"/>
        <w:jc w:val="both"/>
        <w:rPr>
          <w:rFonts w:ascii="Century Gothic" w:hAnsi="Century Gothic"/>
          <w:sz w:val="16"/>
          <w:szCs w:val="16"/>
          <w:lang w:val="es-ES"/>
        </w:rPr>
      </w:pPr>
      <w:r w:rsidRPr="00ED6084">
        <w:rPr>
          <w:rStyle w:val="Refdenotaalpie"/>
          <w:rFonts w:ascii="Century Gothic" w:hAnsi="Century Gothic"/>
          <w:sz w:val="16"/>
          <w:szCs w:val="16"/>
        </w:rPr>
        <w:footnoteRef/>
      </w:r>
      <w:r w:rsidRPr="00ED6084">
        <w:rPr>
          <w:rFonts w:ascii="Century Gothic" w:hAnsi="Century Gothic"/>
          <w:sz w:val="16"/>
          <w:szCs w:val="16"/>
        </w:rPr>
        <w:t xml:space="preserve"> Cabe señalar que esta política retoma los elementos básicos del aseguramiento de la calidad que propone el Manual para el Marco Nacional de Aseguramiento de la Calidad (NQAF) desarrollado por las Naciones Unidas.</w:t>
      </w:r>
    </w:p>
  </w:footnote>
  <w:footnote w:id="3">
    <w:p w14:paraId="623697E4" w14:textId="6214D53A" w:rsidR="007A4A8F" w:rsidRPr="007A4A8F" w:rsidRDefault="007A4A8F">
      <w:pPr>
        <w:pStyle w:val="Textonotapie"/>
      </w:pPr>
      <w:r>
        <w:rPr>
          <w:rStyle w:val="Refdenotaalpie"/>
        </w:rPr>
        <w:footnoteRef/>
      </w:r>
      <w:r>
        <w:t xml:space="preserve"> </w:t>
      </w:r>
      <w:r w:rsidRPr="00911182">
        <w:rPr>
          <w:rFonts w:ascii="Century Gothic" w:hAnsi="Century Gothic"/>
          <w:sz w:val="16"/>
          <w:szCs w:val="16"/>
        </w:rPr>
        <w:t>Aprobados mediante los acuerdos CAC-007/05/2019</w:t>
      </w:r>
      <w:r w:rsidR="00715249">
        <w:rPr>
          <w:rFonts w:ascii="Century Gothic" w:hAnsi="Century Gothic"/>
          <w:sz w:val="16"/>
          <w:szCs w:val="16"/>
        </w:rPr>
        <w:t xml:space="preserve">, </w:t>
      </w:r>
      <w:r w:rsidRPr="00911182">
        <w:rPr>
          <w:rFonts w:ascii="Century Gothic" w:hAnsi="Century Gothic"/>
          <w:sz w:val="16"/>
          <w:szCs w:val="16"/>
        </w:rPr>
        <w:t>CAC-007/02/2021</w:t>
      </w:r>
      <w:r w:rsidR="00715249">
        <w:rPr>
          <w:rFonts w:ascii="Century Gothic" w:hAnsi="Century Gothic"/>
          <w:sz w:val="16"/>
          <w:szCs w:val="16"/>
        </w:rPr>
        <w:t xml:space="preserve"> y </w:t>
      </w:r>
      <w:r w:rsidR="00715249" w:rsidRPr="00715249">
        <w:rPr>
          <w:rFonts w:ascii="Century Gothic" w:hAnsi="Century Gothic"/>
          <w:sz w:val="16"/>
          <w:szCs w:val="16"/>
        </w:rPr>
        <w:t>CAC-008/02/2021</w:t>
      </w:r>
    </w:p>
  </w:footnote>
  <w:footnote w:id="4">
    <w:p w14:paraId="39E08FEE" w14:textId="0BD88843" w:rsidR="00431D67" w:rsidRPr="00664A1D" w:rsidRDefault="00431D67">
      <w:pPr>
        <w:pStyle w:val="Textonotapie"/>
        <w:rPr>
          <w:rFonts w:ascii="Century Gothic" w:hAnsi="Century Gothic"/>
        </w:rPr>
      </w:pPr>
      <w:r w:rsidRPr="00664A1D">
        <w:rPr>
          <w:rStyle w:val="Refdenotaalpie"/>
          <w:rFonts w:ascii="Century Gothic" w:hAnsi="Century Gothic"/>
          <w:sz w:val="16"/>
          <w:szCs w:val="16"/>
        </w:rPr>
        <w:footnoteRef/>
      </w:r>
      <w:r w:rsidRPr="00664A1D">
        <w:rPr>
          <w:rFonts w:ascii="Century Gothic" w:hAnsi="Century Gothic"/>
          <w:sz w:val="16"/>
          <w:szCs w:val="16"/>
        </w:rPr>
        <w:t xml:space="preserve"> Para mayor detalle conceptual, véase Anexo 1.</w:t>
      </w:r>
    </w:p>
  </w:footnote>
  <w:footnote w:id="5">
    <w:p w14:paraId="05C2E811" w14:textId="01939D10" w:rsidR="007A4A8F" w:rsidRPr="007A4A8F" w:rsidRDefault="007A4A8F">
      <w:pPr>
        <w:pStyle w:val="Textonotapie"/>
      </w:pPr>
      <w:r>
        <w:rPr>
          <w:rStyle w:val="Refdenotaalpie"/>
        </w:rPr>
        <w:footnoteRef/>
      </w:r>
      <w:r>
        <w:t xml:space="preserve"> </w:t>
      </w:r>
      <w:r w:rsidRPr="00911182">
        <w:rPr>
          <w:rFonts w:ascii="Century Gothic" w:hAnsi="Century Gothic"/>
          <w:sz w:val="16"/>
          <w:szCs w:val="16"/>
        </w:rPr>
        <w:t>CAC-003/02/2018, CAC-006/03/2018, CAC-007/03/2018</w:t>
      </w:r>
    </w:p>
  </w:footnote>
  <w:footnote w:id="6">
    <w:p w14:paraId="44325AF8" w14:textId="2ABD9E9A" w:rsidR="00431D67" w:rsidRPr="0039763F" w:rsidRDefault="00431D67" w:rsidP="0039763F">
      <w:pPr>
        <w:spacing w:after="0"/>
        <w:jc w:val="both"/>
        <w:rPr>
          <w:rFonts w:ascii="Century Gothic" w:hAnsi="Century Gothic"/>
          <w:sz w:val="16"/>
          <w:szCs w:val="16"/>
        </w:rPr>
      </w:pPr>
      <w:r w:rsidRPr="0039763F">
        <w:rPr>
          <w:rStyle w:val="Refdenotaalpie"/>
          <w:rFonts w:ascii="Century Gothic" w:hAnsi="Century Gothic"/>
          <w:sz w:val="16"/>
          <w:szCs w:val="16"/>
        </w:rPr>
        <w:footnoteRef/>
      </w:r>
      <w:r w:rsidR="00F141AF">
        <w:rPr>
          <w:rFonts w:ascii="Century Gothic" w:hAnsi="Century Gothic"/>
          <w:sz w:val="16"/>
          <w:szCs w:val="16"/>
        </w:rPr>
        <w:t xml:space="preserve"> E</w:t>
      </w:r>
      <w:r w:rsidRPr="0039763F">
        <w:rPr>
          <w:rFonts w:ascii="Century Gothic" w:hAnsi="Century Gothic"/>
          <w:sz w:val="16"/>
          <w:szCs w:val="16"/>
        </w:rPr>
        <w:t>l Anexo 2 presenta los parámetros de referencia y la oportunidad observada para cada publicación realizado en 2022, conforme al calendario de publicación.</w:t>
      </w:r>
    </w:p>
  </w:footnote>
  <w:footnote w:id="7">
    <w:p w14:paraId="7394628C" w14:textId="6742E97F" w:rsidR="007A4A8F" w:rsidRPr="007A4A8F" w:rsidRDefault="007A4A8F">
      <w:pPr>
        <w:pStyle w:val="Textonotapie"/>
        <w:rPr>
          <w:lang w:val="es-ES"/>
        </w:rPr>
      </w:pPr>
      <w:r>
        <w:rPr>
          <w:rStyle w:val="Refdenotaalpie"/>
        </w:rPr>
        <w:footnoteRef/>
      </w:r>
      <w:r>
        <w:t xml:space="preserve"> </w:t>
      </w:r>
    </w:p>
  </w:footnote>
  <w:footnote w:id="8">
    <w:p w14:paraId="39C813EA" w14:textId="401DB350" w:rsidR="00DC2952" w:rsidRPr="00DC2952" w:rsidRDefault="00DC2952">
      <w:pPr>
        <w:pStyle w:val="Textonotapie"/>
      </w:pPr>
      <w:r>
        <w:rPr>
          <w:rStyle w:val="Refdenotaalpie"/>
        </w:rPr>
        <w:footnoteRef/>
      </w:r>
      <w:r>
        <w:t xml:space="preserve"> </w:t>
      </w:r>
      <w:r w:rsidRPr="007A4A8F">
        <w:rPr>
          <w:sz w:val="16"/>
          <w:szCs w:val="16"/>
        </w:rPr>
        <w:t>CAC-004/02/2019</w:t>
      </w:r>
      <w:r w:rsidR="007A4A8F" w:rsidRPr="007A4A8F">
        <w:rPr>
          <w:sz w:val="16"/>
          <w:szCs w:val="16"/>
        </w:rPr>
        <w:t xml:space="preserve"> </w:t>
      </w:r>
      <w:r w:rsidR="007A4A8F">
        <w:rPr>
          <w:sz w:val="18"/>
          <w:szCs w:val="18"/>
        </w:rPr>
        <w:t xml:space="preserve">y </w:t>
      </w:r>
      <w:r w:rsidR="007A4A8F" w:rsidRPr="007A4A8F">
        <w:rPr>
          <w:sz w:val="16"/>
          <w:szCs w:val="16"/>
        </w:rPr>
        <w:t>CAC-007/02/2022</w:t>
      </w:r>
    </w:p>
  </w:footnote>
  <w:footnote w:id="9">
    <w:p w14:paraId="6225E0CF" w14:textId="6B1E38DB" w:rsidR="00431D67" w:rsidRPr="00ED6084" w:rsidRDefault="00431D67">
      <w:pPr>
        <w:pStyle w:val="Textonotapie"/>
        <w:rPr>
          <w:rFonts w:ascii="Century Gothic" w:hAnsi="Century Gothic"/>
          <w:sz w:val="16"/>
          <w:szCs w:val="16"/>
        </w:rPr>
      </w:pPr>
      <w:r w:rsidRPr="00ED6084">
        <w:rPr>
          <w:rStyle w:val="Refdenotaalpie"/>
          <w:rFonts w:ascii="Century Gothic" w:hAnsi="Century Gothic"/>
          <w:sz w:val="16"/>
          <w:szCs w:val="16"/>
        </w:rPr>
        <w:footnoteRef/>
      </w:r>
      <w:r w:rsidRPr="00ED6084">
        <w:rPr>
          <w:rFonts w:ascii="Century Gothic" w:hAnsi="Century Gothic"/>
          <w:sz w:val="16"/>
          <w:szCs w:val="16"/>
        </w:rPr>
        <w:t xml:space="preserve"> Para una presentación más detallada de estos indicadores y sus resultados, véase el Anexo 3.</w:t>
      </w:r>
    </w:p>
  </w:footnote>
  <w:footnote w:id="10">
    <w:p w14:paraId="09396D0B" w14:textId="665A5E2B" w:rsidR="00DC2952" w:rsidRPr="00DC2952" w:rsidRDefault="00DC2952">
      <w:pPr>
        <w:pStyle w:val="Textonotapie"/>
      </w:pPr>
      <w:r>
        <w:rPr>
          <w:rStyle w:val="Refdenotaalpie"/>
        </w:rPr>
        <w:footnoteRef/>
      </w:r>
      <w:r>
        <w:t xml:space="preserve"> </w:t>
      </w:r>
      <w:r w:rsidRPr="00DC2952">
        <w:rPr>
          <w:sz w:val="16"/>
          <w:szCs w:val="16"/>
        </w:rPr>
        <w:t>CAC-004/05/2021</w:t>
      </w:r>
    </w:p>
  </w:footnote>
  <w:footnote w:id="11">
    <w:p w14:paraId="1441ED5A" w14:textId="4B41BD42" w:rsidR="00431D67" w:rsidRPr="00ED6084" w:rsidRDefault="00431D67">
      <w:pPr>
        <w:pStyle w:val="Textonotapie"/>
        <w:rPr>
          <w:rFonts w:ascii="Century Gothic" w:hAnsi="Century Gothic"/>
          <w:sz w:val="16"/>
          <w:szCs w:val="16"/>
        </w:rPr>
      </w:pPr>
      <w:r w:rsidRPr="00ED6084">
        <w:rPr>
          <w:rStyle w:val="Refdenotaalpie"/>
          <w:rFonts w:ascii="Century Gothic" w:hAnsi="Century Gothic"/>
          <w:sz w:val="16"/>
          <w:szCs w:val="16"/>
        </w:rPr>
        <w:footnoteRef/>
      </w:r>
      <w:r w:rsidRPr="00ED6084">
        <w:rPr>
          <w:rFonts w:ascii="Century Gothic" w:hAnsi="Century Gothic"/>
          <w:sz w:val="16"/>
          <w:szCs w:val="16"/>
        </w:rPr>
        <w:t>Para una mejor comprensión de estos indicadores, véase el Anexo 4.</w:t>
      </w:r>
    </w:p>
  </w:footnote>
  <w:footnote w:id="12">
    <w:p w14:paraId="0856E29B" w14:textId="57C67A1D" w:rsidR="00DC2952" w:rsidRPr="00DC2952" w:rsidRDefault="00DC2952">
      <w:pPr>
        <w:pStyle w:val="Textonotapie"/>
      </w:pPr>
      <w:r>
        <w:rPr>
          <w:rStyle w:val="Refdenotaalpie"/>
        </w:rPr>
        <w:footnoteRef/>
      </w:r>
      <w:r>
        <w:t xml:space="preserve"> </w:t>
      </w:r>
      <w:r w:rsidRPr="00DC2952">
        <w:rPr>
          <w:sz w:val="16"/>
          <w:szCs w:val="16"/>
        </w:rPr>
        <w:t>CAC-004/03/2017, CAC-008/04/2017, CAC-006/01/2018, CAC-007/01/2018, CAC-005/02/2018</w:t>
      </w:r>
    </w:p>
  </w:footnote>
  <w:footnote w:id="13">
    <w:p w14:paraId="35CB8F58" w14:textId="130C55C9" w:rsidR="00460EC4" w:rsidRPr="00460EC4" w:rsidRDefault="00460EC4">
      <w:pPr>
        <w:pStyle w:val="Textonotapie"/>
        <w:rPr>
          <w:rFonts w:ascii="Century Gothic" w:hAnsi="Century Gothic"/>
          <w:sz w:val="16"/>
          <w:szCs w:val="16"/>
          <w:lang w:val="es-ES"/>
        </w:rPr>
      </w:pPr>
      <w:r w:rsidRPr="00460EC4">
        <w:rPr>
          <w:rStyle w:val="Refdenotaalpie"/>
          <w:rFonts w:ascii="Century Gothic" w:hAnsi="Century Gothic"/>
          <w:sz w:val="16"/>
          <w:szCs w:val="16"/>
        </w:rPr>
        <w:footnoteRef/>
      </w:r>
      <w:r w:rsidRPr="00460EC4">
        <w:rPr>
          <w:rFonts w:ascii="Century Gothic" w:hAnsi="Century Gothic"/>
          <w:sz w:val="16"/>
          <w:szCs w:val="16"/>
        </w:rPr>
        <w:t xml:space="preserve"> </w:t>
      </w:r>
      <w:r w:rsidRPr="00460EC4">
        <w:rPr>
          <w:rFonts w:ascii="Century Gothic" w:hAnsi="Century Gothic"/>
          <w:sz w:val="16"/>
          <w:szCs w:val="16"/>
          <w:lang w:val="es-ES"/>
        </w:rPr>
        <w:t xml:space="preserve">La Encuesta de Comercio Internacional de Servicios (ECIS) </w:t>
      </w:r>
      <w:r>
        <w:rPr>
          <w:rFonts w:ascii="Century Gothic" w:hAnsi="Century Gothic"/>
          <w:sz w:val="16"/>
          <w:szCs w:val="16"/>
          <w:lang w:val="es-ES"/>
        </w:rPr>
        <w:t>es</w:t>
      </w:r>
      <w:r w:rsidRPr="00460EC4">
        <w:rPr>
          <w:rFonts w:ascii="Century Gothic" w:hAnsi="Century Gothic"/>
          <w:sz w:val="16"/>
          <w:szCs w:val="16"/>
          <w:lang w:val="es-ES"/>
        </w:rPr>
        <w:t xml:space="preserve"> </w:t>
      </w:r>
      <w:r>
        <w:rPr>
          <w:rFonts w:ascii="Century Gothic" w:hAnsi="Century Gothic"/>
          <w:sz w:val="16"/>
          <w:szCs w:val="16"/>
          <w:lang w:val="es-ES"/>
        </w:rPr>
        <w:t>un proceso de producción</w:t>
      </w:r>
      <w:r w:rsidRPr="00460EC4">
        <w:rPr>
          <w:rFonts w:ascii="Century Gothic" w:hAnsi="Century Gothic"/>
          <w:sz w:val="16"/>
          <w:szCs w:val="16"/>
          <w:lang w:val="es-ES"/>
        </w:rPr>
        <w:t xml:space="preserve"> experimental</w:t>
      </w:r>
      <w:r>
        <w:rPr>
          <w:rFonts w:ascii="Century Gothic" w:hAnsi="Century Gothic"/>
          <w:sz w:val="16"/>
          <w:szCs w:val="16"/>
          <w:lang w:val="es-ES"/>
        </w:rPr>
        <w:t>.</w:t>
      </w:r>
    </w:p>
  </w:footnote>
  <w:footnote w:id="14">
    <w:p w14:paraId="7B365BCD" w14:textId="5CA32706" w:rsidR="00460EC4" w:rsidRPr="00460EC4" w:rsidRDefault="00460EC4">
      <w:pPr>
        <w:pStyle w:val="Textonotapie"/>
        <w:rPr>
          <w:sz w:val="16"/>
          <w:szCs w:val="16"/>
          <w:lang w:val="es-ES"/>
        </w:rPr>
      </w:pPr>
      <w:r>
        <w:rPr>
          <w:rStyle w:val="Refdenotaalpie"/>
        </w:rPr>
        <w:footnoteRef/>
      </w:r>
      <w:r>
        <w:t xml:space="preserve"> </w:t>
      </w:r>
      <w:r w:rsidRPr="00460EC4">
        <w:rPr>
          <w:rFonts w:ascii="Century Gothic" w:hAnsi="Century Gothic"/>
          <w:sz w:val="16"/>
          <w:szCs w:val="16"/>
        </w:rPr>
        <w:t>La Encuesta de Comercio Internacional de Servicios (ECIS) es un proceso de producción experimental.</w:t>
      </w:r>
    </w:p>
  </w:footnote>
  <w:footnote w:id="15">
    <w:p w14:paraId="024C8A60" w14:textId="2EE189BF" w:rsidR="00911182" w:rsidRPr="00911182" w:rsidRDefault="00911182">
      <w:pPr>
        <w:pStyle w:val="Textonotapie"/>
      </w:pPr>
      <w:r>
        <w:rPr>
          <w:rStyle w:val="Refdenotaalpie"/>
        </w:rPr>
        <w:footnoteRef/>
      </w:r>
      <w:r>
        <w:t xml:space="preserve"> </w:t>
      </w:r>
      <w:r w:rsidRPr="00715249">
        <w:rPr>
          <w:rFonts w:ascii="Century Gothic" w:hAnsi="Century Gothic"/>
          <w:sz w:val="16"/>
          <w:szCs w:val="16"/>
        </w:rPr>
        <w:t>CAC-004/03/2017</w:t>
      </w:r>
      <w:r w:rsidR="00715249" w:rsidRPr="00715249">
        <w:rPr>
          <w:rFonts w:ascii="Century Gothic" w:hAnsi="Century Gothic"/>
          <w:sz w:val="16"/>
          <w:szCs w:val="16"/>
        </w:rPr>
        <w:t xml:space="preserve"> y CAC-005/03/2021</w:t>
      </w:r>
    </w:p>
  </w:footnote>
  <w:footnote w:id="16">
    <w:p w14:paraId="5560386B" w14:textId="7177ABBB" w:rsidR="00431D67" w:rsidRPr="00ED6084" w:rsidRDefault="00431D67">
      <w:pPr>
        <w:pStyle w:val="Textonotapie"/>
        <w:rPr>
          <w:rFonts w:ascii="Century Gothic" w:hAnsi="Century Gothic"/>
          <w:sz w:val="16"/>
          <w:szCs w:val="16"/>
        </w:rPr>
      </w:pPr>
      <w:r w:rsidRPr="00ED6084">
        <w:rPr>
          <w:rStyle w:val="Refdenotaalpie"/>
          <w:rFonts w:ascii="Century Gothic" w:hAnsi="Century Gothic"/>
          <w:sz w:val="16"/>
          <w:szCs w:val="16"/>
        </w:rPr>
        <w:footnoteRef/>
      </w:r>
      <w:r w:rsidRPr="00ED6084">
        <w:rPr>
          <w:rFonts w:ascii="Century Gothic" w:hAnsi="Century Gothic"/>
          <w:sz w:val="16"/>
          <w:szCs w:val="16"/>
        </w:rPr>
        <w:t xml:space="preserve"> </w:t>
      </w:r>
      <w:r w:rsidRPr="00C5144D">
        <w:rPr>
          <w:rFonts w:ascii="Century Gothic" w:hAnsi="Century Gothic"/>
          <w:sz w:val="16"/>
          <w:szCs w:val="16"/>
        </w:rPr>
        <w:t>En el Anexo 6 se presentan los indicadores-objetivo de las encuestas.</w:t>
      </w:r>
    </w:p>
  </w:footnote>
  <w:footnote w:id="17">
    <w:p w14:paraId="4DF97D5B" w14:textId="23F62977" w:rsidR="00A3097F" w:rsidRPr="00C5144D" w:rsidRDefault="00A3097F" w:rsidP="00132E51">
      <w:pPr>
        <w:pStyle w:val="Textonotapie"/>
        <w:jc w:val="both"/>
        <w:rPr>
          <w:rFonts w:ascii="Century Gothic" w:hAnsi="Century Gothic"/>
          <w:sz w:val="16"/>
          <w:szCs w:val="16"/>
        </w:rPr>
      </w:pPr>
      <w:r w:rsidRPr="00C5144D">
        <w:rPr>
          <w:rStyle w:val="Refdenotaalpie"/>
          <w:rFonts w:ascii="Century Gothic" w:hAnsi="Century Gothic"/>
          <w:sz w:val="16"/>
          <w:szCs w:val="16"/>
        </w:rPr>
        <w:footnoteRef/>
      </w:r>
      <w:r w:rsidRPr="00C5144D">
        <w:rPr>
          <w:rFonts w:ascii="Century Gothic" w:hAnsi="Century Gothic"/>
          <w:sz w:val="16"/>
          <w:szCs w:val="16"/>
        </w:rPr>
        <w:t xml:space="preserve"> </w:t>
      </w:r>
      <w:r w:rsidRPr="00C5144D">
        <w:rPr>
          <w:rFonts w:ascii="Century Gothic" w:hAnsi="Century Gothic" w:cstheme="minorHAnsi"/>
          <w:sz w:val="16"/>
          <w:szCs w:val="16"/>
        </w:rPr>
        <w:t xml:space="preserve">Los cambios registrados en 2021 pueden consultarse en el informe de resultados del Comité de Aseguramiento de la Calidad 2021 (https://extranet.inegi.org.mx/calidad/indicadores-de-calidad-y-evaluaciones/) o directamente en el </w:t>
      </w:r>
      <w:r w:rsidR="00C5144D" w:rsidRPr="00C5144D">
        <w:rPr>
          <w:rFonts w:ascii="Century Gothic" w:hAnsi="Century Gothic" w:cstheme="minorHAnsi"/>
          <w:sz w:val="16"/>
          <w:szCs w:val="16"/>
        </w:rPr>
        <w:t xml:space="preserve">Sistema </w:t>
      </w:r>
      <w:r w:rsidRPr="00C5144D">
        <w:rPr>
          <w:rFonts w:ascii="Century Gothic" w:hAnsi="Century Gothic" w:cstheme="minorHAnsi"/>
          <w:sz w:val="16"/>
          <w:szCs w:val="16"/>
        </w:rPr>
        <w:t xml:space="preserve">de </w:t>
      </w:r>
      <w:r w:rsidR="00C5144D" w:rsidRPr="00C5144D">
        <w:rPr>
          <w:rFonts w:ascii="Century Gothic" w:hAnsi="Century Gothic" w:cstheme="minorHAnsi"/>
          <w:sz w:val="16"/>
          <w:szCs w:val="16"/>
        </w:rPr>
        <w:t xml:space="preserve">Seguimiento </w:t>
      </w:r>
      <w:r w:rsidRPr="00C5144D">
        <w:rPr>
          <w:rFonts w:ascii="Century Gothic" w:hAnsi="Century Gothic" w:cstheme="minorHAnsi"/>
          <w:sz w:val="16"/>
          <w:szCs w:val="16"/>
        </w:rPr>
        <w:t xml:space="preserve">de </w:t>
      </w:r>
      <w:r w:rsidR="00C5144D" w:rsidRPr="00C5144D">
        <w:rPr>
          <w:rFonts w:ascii="Century Gothic" w:hAnsi="Century Gothic" w:cstheme="minorHAnsi"/>
          <w:sz w:val="16"/>
          <w:szCs w:val="16"/>
        </w:rPr>
        <w:t xml:space="preserve">Cambios </w:t>
      </w:r>
      <w:r w:rsidRPr="00C5144D">
        <w:rPr>
          <w:rFonts w:ascii="Century Gothic" w:hAnsi="Century Gothic" w:cstheme="minorHAnsi"/>
          <w:sz w:val="16"/>
          <w:szCs w:val="16"/>
        </w:rPr>
        <w:t>(http://ptracking.snieg.mx/ssc/#!/app/signin)</w:t>
      </w:r>
      <w:r w:rsidR="00056E74">
        <w:rPr>
          <w:rFonts w:ascii="Century Gothic" w:hAnsi="Century Gothic" w:cstheme="minorHAnsi"/>
          <w:sz w:val="16"/>
          <w:szCs w:val="16"/>
        </w:rPr>
        <w:t>.</w:t>
      </w:r>
    </w:p>
  </w:footnote>
  <w:footnote w:id="18">
    <w:p w14:paraId="04D895BD" w14:textId="06E39B46" w:rsidR="003A322D" w:rsidRPr="003A322D" w:rsidRDefault="003A322D" w:rsidP="00132E51">
      <w:pPr>
        <w:pStyle w:val="Textonotapie"/>
        <w:jc w:val="both"/>
      </w:pPr>
      <w:r w:rsidRPr="00C5144D">
        <w:rPr>
          <w:rStyle w:val="Refdenotaalpie"/>
          <w:rFonts w:ascii="Century Gothic" w:hAnsi="Century Gothic"/>
          <w:sz w:val="16"/>
          <w:szCs w:val="16"/>
        </w:rPr>
        <w:footnoteRef/>
      </w:r>
      <w:r w:rsidRPr="00C5144D">
        <w:rPr>
          <w:rFonts w:ascii="Century Gothic" w:hAnsi="Century Gothic"/>
          <w:sz w:val="16"/>
          <w:szCs w:val="16"/>
        </w:rPr>
        <w:t xml:space="preserve"> En el caso del CNGMD uno de los cambios más importantes tiene que ver con ajustes que se realizaron a la sección de control interno debido a que el diseño original no se adecuaba de forma óptima a la forma en que operan los OIC en el ámbito municipal. Esto salió a la luz a partir de los resultados de la edición 2021, de ahí que se hicieran cambios importantes, pero necesarios para reflejar con mayor precisión la heterogeneidad que hay en su funcionamiento.</w:t>
      </w:r>
    </w:p>
  </w:footnote>
  <w:footnote w:id="19">
    <w:p w14:paraId="7C5B704A" w14:textId="0FC0057E" w:rsidR="00431D67" w:rsidRPr="00603234" w:rsidRDefault="00431D67" w:rsidP="00C63C38">
      <w:pPr>
        <w:pStyle w:val="Textonotapie"/>
        <w:jc w:val="both"/>
        <w:rPr>
          <w:rFonts w:ascii="Century Gothic" w:hAnsi="Century Gothic"/>
          <w:sz w:val="16"/>
          <w:szCs w:val="16"/>
        </w:rPr>
      </w:pPr>
      <w:r w:rsidRPr="00603234">
        <w:rPr>
          <w:rStyle w:val="Refdenotaalpie"/>
          <w:rFonts w:ascii="Century Gothic" w:hAnsi="Century Gothic"/>
          <w:sz w:val="16"/>
          <w:szCs w:val="16"/>
        </w:rPr>
        <w:footnoteRef/>
      </w:r>
      <w:r w:rsidRPr="00603234">
        <w:rPr>
          <w:rFonts w:ascii="Century Gothic" w:hAnsi="Century Gothic"/>
          <w:sz w:val="16"/>
          <w:szCs w:val="16"/>
        </w:rPr>
        <w:t xml:space="preserve"> </w:t>
      </w:r>
      <w:r>
        <w:rPr>
          <w:rFonts w:ascii="Century Gothic" w:hAnsi="Century Gothic" w:cstheme="minorHAnsi"/>
          <w:sz w:val="16"/>
          <w:szCs w:val="16"/>
        </w:rPr>
        <w:t>Se</w:t>
      </w:r>
      <w:r w:rsidRPr="00603234">
        <w:rPr>
          <w:rFonts w:ascii="Century Gothic" w:hAnsi="Century Gothic" w:cstheme="minorHAnsi"/>
          <w:sz w:val="16"/>
          <w:szCs w:val="16"/>
        </w:rPr>
        <w:t xml:space="preserve"> considera que un indicador fue reportado “En Tiempo” cuando se entregó en la fecha de publicación del proceso o dentro del plazo de 30 días naturales posteriores a la publicación aprobado por el Comité como periodo de gracia; por otro lado, se considera que un indicador fue reportado con “Retraso” cuando se entregó posterior a los 30 días del periodo de gracia</w:t>
      </w:r>
      <w:r>
        <w:rPr>
          <w:rFonts w:ascii="Century Gothic" w:hAnsi="Century Gothic" w:cstheme="minorHAnsi"/>
          <w:sz w:val="16"/>
          <w:szCs w:val="16"/>
        </w:rPr>
        <w:t>.</w:t>
      </w:r>
    </w:p>
  </w:footnote>
  <w:footnote w:id="20">
    <w:p w14:paraId="36A452A1" w14:textId="24037215" w:rsidR="00460EC4" w:rsidRPr="00460EC4" w:rsidRDefault="00460EC4">
      <w:pPr>
        <w:pStyle w:val="Textonotapie"/>
        <w:rPr>
          <w:sz w:val="16"/>
          <w:szCs w:val="16"/>
          <w:lang w:val="es-ES"/>
        </w:rPr>
      </w:pPr>
      <w:r>
        <w:rPr>
          <w:rStyle w:val="Refdenotaalpie"/>
        </w:rPr>
        <w:footnoteRef/>
      </w:r>
      <w:r>
        <w:t xml:space="preserve"> </w:t>
      </w:r>
      <w:r w:rsidRPr="00460EC4">
        <w:rPr>
          <w:rFonts w:ascii="Century Gothic" w:hAnsi="Century Gothic"/>
          <w:sz w:val="16"/>
          <w:szCs w:val="16"/>
        </w:rPr>
        <w:t>La Encuesta de Comercio Internacional de Servicios (ECIS) es un proceso de producción experimental.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99B4" w14:textId="7FCC4F05" w:rsidR="00431D67" w:rsidRDefault="00431D67">
    <w:pPr>
      <w:pStyle w:val="Encabezado"/>
    </w:pPr>
    <w:r w:rsidRPr="00AC3CF7">
      <w:rPr>
        <w:rFonts w:ascii="Century Gothic" w:hAnsi="Century Gothic"/>
        <w:noProof/>
        <w:lang w:eastAsia="es-MX"/>
      </w:rPr>
      <w:drawing>
        <wp:inline distT="0" distB="0" distL="0" distR="0" wp14:anchorId="5C007497" wp14:editId="11D6CD71">
          <wp:extent cx="1108659" cy="374650"/>
          <wp:effectExtent l="0" t="0" r="0" b="6350"/>
          <wp:docPr id="17" name="Imagen 1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7540" cy="384410"/>
                  </a:xfrm>
                  <a:prstGeom prst="rect">
                    <a:avLst/>
                  </a:prstGeom>
                </pic:spPr>
              </pic:pic>
            </a:graphicData>
          </a:graphic>
        </wp:inline>
      </w:drawing>
    </w:r>
  </w:p>
  <w:p w14:paraId="075A377E" w14:textId="77777777" w:rsidR="00431D67" w:rsidRDefault="00431D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282F" w14:textId="6FBA2BBA" w:rsidR="00431D67" w:rsidRDefault="00431D67" w:rsidP="00555CB3">
    <w:pPr>
      <w:pStyle w:val="Encabezado"/>
      <w:rPr>
        <w:rFonts w:ascii="Century Gothic" w:hAnsi="Century Gothic"/>
        <w:b/>
        <w:bCs/>
        <w:color w:val="002060"/>
      </w:rPr>
    </w:pPr>
    <w:r>
      <w:rPr>
        <w:rFonts w:ascii="Century Gothic" w:hAnsi="Century Gothic"/>
        <w:b/>
        <w:bCs/>
        <w:color w:val="002060"/>
      </w:rPr>
      <w:t xml:space="preserve">Informe de resultados, 2022 </w:t>
    </w:r>
    <w:r>
      <w:rPr>
        <w:rFonts w:ascii="Century Gothic" w:hAnsi="Century Gothic"/>
        <w:noProof/>
        <w:lang w:eastAsia="es-MX"/>
      </w:rPr>
      <w:t xml:space="preserve">                                                                                              </w:t>
    </w:r>
  </w:p>
  <w:p w14:paraId="2355CA42" w14:textId="77777777" w:rsidR="00431D67" w:rsidRPr="0041737A" w:rsidRDefault="00431D67">
    <w:pPr>
      <w:pStyle w:val="Encabezado"/>
      <w:rPr>
        <w:rFonts w:ascii="Century Gothic" w:hAnsi="Century Gothic"/>
        <w:b/>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42759"/>
    <w:multiLevelType w:val="hybridMultilevel"/>
    <w:tmpl w:val="99D61C0A"/>
    <w:lvl w:ilvl="0" w:tplc="3B9A0D9C">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F231E"/>
    <w:multiLevelType w:val="hybridMultilevel"/>
    <w:tmpl w:val="CB38DE6A"/>
    <w:lvl w:ilvl="0" w:tplc="66343AFA">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5371B"/>
    <w:multiLevelType w:val="hybridMultilevel"/>
    <w:tmpl w:val="2E248F14"/>
    <w:lvl w:ilvl="0" w:tplc="2FF2E75A">
      <w:numFmt w:val="bullet"/>
      <w:lvlText w:val="•"/>
      <w:lvlJc w:val="left"/>
      <w:pPr>
        <w:ind w:left="1130" w:hanging="77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A3634"/>
    <w:multiLevelType w:val="hybridMultilevel"/>
    <w:tmpl w:val="2CEA7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B966A3"/>
    <w:multiLevelType w:val="hybridMultilevel"/>
    <w:tmpl w:val="9DC6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97290"/>
    <w:multiLevelType w:val="hybridMultilevel"/>
    <w:tmpl w:val="A6DE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E60C0"/>
    <w:multiLevelType w:val="hybridMultilevel"/>
    <w:tmpl w:val="DF207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F81812"/>
    <w:multiLevelType w:val="hybridMultilevel"/>
    <w:tmpl w:val="B01A7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2C742C"/>
    <w:multiLevelType w:val="hybridMultilevel"/>
    <w:tmpl w:val="3E76920A"/>
    <w:lvl w:ilvl="0" w:tplc="BE1A71E6">
      <w:start w:val="2"/>
      <w:numFmt w:val="upp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82D54"/>
    <w:multiLevelType w:val="hybridMultilevel"/>
    <w:tmpl w:val="8062A1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F0199"/>
    <w:multiLevelType w:val="hybridMultilevel"/>
    <w:tmpl w:val="F2983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3E1E74"/>
    <w:multiLevelType w:val="hybridMultilevel"/>
    <w:tmpl w:val="DD361076"/>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6197B7B"/>
    <w:multiLevelType w:val="hybridMultilevel"/>
    <w:tmpl w:val="94A86038"/>
    <w:lvl w:ilvl="0" w:tplc="080A0015">
      <w:start w:val="1"/>
      <w:numFmt w:val="upperLetter"/>
      <w:lvlText w:val="%1."/>
      <w:lvlJc w:val="left"/>
      <w:pPr>
        <w:ind w:left="360" w:hanging="360"/>
      </w:pPr>
    </w:lvl>
    <w:lvl w:ilvl="1" w:tplc="522E3CC2">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CB450DF"/>
    <w:multiLevelType w:val="hybridMultilevel"/>
    <w:tmpl w:val="59966140"/>
    <w:lvl w:ilvl="0" w:tplc="F1586644">
      <w:start w:val="1"/>
      <w:numFmt w:val="upperLetter"/>
      <w:lvlText w:val="%1."/>
      <w:lvlJc w:val="left"/>
      <w:pPr>
        <w:ind w:left="360" w:hanging="360"/>
      </w:pPr>
      <w:rPr>
        <w:rFonts w:hint="default"/>
      </w:rPr>
    </w:lvl>
    <w:lvl w:ilvl="1" w:tplc="080A0001">
      <w:start w:val="1"/>
      <w:numFmt w:val="bullet"/>
      <w:lvlText w:val=""/>
      <w:lvlJc w:val="left"/>
      <w:pPr>
        <w:ind w:left="72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43EEE"/>
    <w:multiLevelType w:val="hybridMultilevel"/>
    <w:tmpl w:val="15ACC9EA"/>
    <w:lvl w:ilvl="0" w:tplc="FFFFFFFF">
      <w:start w:val="1"/>
      <w:numFmt w:val="upperLetter"/>
      <w:lvlText w:val="%1."/>
      <w:lvlJc w:val="left"/>
      <w:pPr>
        <w:ind w:left="360" w:hanging="360"/>
      </w:pPr>
    </w:lvl>
    <w:lvl w:ilvl="1" w:tplc="080A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51B2524"/>
    <w:multiLevelType w:val="hybridMultilevel"/>
    <w:tmpl w:val="92E62B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4A2145"/>
    <w:multiLevelType w:val="hybridMultilevel"/>
    <w:tmpl w:val="2D100988"/>
    <w:lvl w:ilvl="0" w:tplc="7804C5A8">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761ED7"/>
    <w:multiLevelType w:val="hybridMultilevel"/>
    <w:tmpl w:val="3E8878B6"/>
    <w:lvl w:ilvl="0" w:tplc="3D86A26A">
      <w:start w:val="1"/>
      <w:numFmt w:val="decimal"/>
      <w:lvlText w:val="%1."/>
      <w:lvlJc w:val="left"/>
      <w:pPr>
        <w:ind w:left="1648" w:hanging="720"/>
      </w:pPr>
      <w:rPr>
        <w:rFonts w:hint="default"/>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24" w15:restartNumberingAfterBreak="0">
    <w:nsid w:val="5F574F83"/>
    <w:multiLevelType w:val="hybridMultilevel"/>
    <w:tmpl w:val="3F588D3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2D55AA9"/>
    <w:multiLevelType w:val="hybridMultilevel"/>
    <w:tmpl w:val="84B0D108"/>
    <w:lvl w:ilvl="0" w:tplc="D51E6DCE">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9702977"/>
    <w:multiLevelType w:val="hybridMultilevel"/>
    <w:tmpl w:val="130034B8"/>
    <w:lvl w:ilvl="0" w:tplc="FFFFFFFF">
      <w:start w:val="1"/>
      <w:numFmt w:val="upperLetter"/>
      <w:lvlText w:val="%1."/>
      <w:lvlJc w:val="left"/>
      <w:pPr>
        <w:ind w:left="360" w:hanging="360"/>
      </w:pPr>
    </w:lvl>
    <w:lvl w:ilvl="1" w:tplc="FFFFFFFF">
      <w:start w:val="1"/>
      <w:numFmt w:val="bullet"/>
      <w:lvlText w:val=""/>
      <w:lvlJc w:val="left"/>
      <w:pPr>
        <w:ind w:left="720" w:hanging="360"/>
      </w:pPr>
      <w:rPr>
        <w:rFonts w:ascii="Symbol" w:hAnsi="Symbol" w:hint="default"/>
      </w:rPr>
    </w:lvl>
    <w:lvl w:ilvl="2" w:tplc="08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ABF7CF0"/>
    <w:multiLevelType w:val="hybridMultilevel"/>
    <w:tmpl w:val="CE46E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8015"/>
        </w:tabs>
        <w:ind w:left="8015"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16cid:durableId="1356808304">
    <w:abstractNumId w:val="31"/>
  </w:num>
  <w:num w:numId="2" w16cid:durableId="638993932">
    <w:abstractNumId w:val="15"/>
  </w:num>
  <w:num w:numId="3" w16cid:durableId="1783570082">
    <w:abstractNumId w:val="27"/>
  </w:num>
  <w:num w:numId="4" w16cid:durableId="559486014">
    <w:abstractNumId w:val="11"/>
  </w:num>
  <w:num w:numId="5" w16cid:durableId="1270509268">
    <w:abstractNumId w:val="0"/>
  </w:num>
  <w:num w:numId="6" w16cid:durableId="1799031283">
    <w:abstractNumId w:val="5"/>
  </w:num>
  <w:num w:numId="7" w16cid:durableId="853956186">
    <w:abstractNumId w:val="20"/>
  </w:num>
  <w:num w:numId="8" w16cid:durableId="756177490">
    <w:abstractNumId w:val="17"/>
  </w:num>
  <w:num w:numId="9" w16cid:durableId="1276445498">
    <w:abstractNumId w:val="25"/>
  </w:num>
  <w:num w:numId="10" w16cid:durableId="6667888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1570845">
    <w:abstractNumId w:val="6"/>
  </w:num>
  <w:num w:numId="12" w16cid:durableId="697202819">
    <w:abstractNumId w:val="24"/>
  </w:num>
  <w:num w:numId="13" w16cid:durableId="1664354952">
    <w:abstractNumId w:val="4"/>
  </w:num>
  <w:num w:numId="14" w16cid:durableId="981040949">
    <w:abstractNumId w:val="8"/>
  </w:num>
  <w:num w:numId="15" w16cid:durableId="2059275734">
    <w:abstractNumId w:val="9"/>
  </w:num>
  <w:num w:numId="16" w16cid:durableId="2039428699">
    <w:abstractNumId w:val="7"/>
  </w:num>
  <w:num w:numId="17" w16cid:durableId="1898782098">
    <w:abstractNumId w:val="13"/>
  </w:num>
  <w:num w:numId="18" w16cid:durableId="539363210">
    <w:abstractNumId w:val="23"/>
  </w:num>
  <w:num w:numId="19" w16cid:durableId="1788357235">
    <w:abstractNumId w:val="12"/>
  </w:num>
  <w:num w:numId="20" w16cid:durableId="1484348250">
    <w:abstractNumId w:val="21"/>
  </w:num>
  <w:num w:numId="21" w16cid:durableId="1857965662">
    <w:abstractNumId w:val="16"/>
  </w:num>
  <w:num w:numId="22" w16cid:durableId="1057364542">
    <w:abstractNumId w:val="19"/>
  </w:num>
  <w:num w:numId="23" w16cid:durableId="854462470">
    <w:abstractNumId w:val="28"/>
  </w:num>
  <w:num w:numId="24" w16cid:durableId="235819157">
    <w:abstractNumId w:val="18"/>
  </w:num>
  <w:num w:numId="25" w16cid:durableId="1433742569">
    <w:abstractNumId w:val="22"/>
  </w:num>
  <w:num w:numId="26" w16cid:durableId="685445788">
    <w:abstractNumId w:val="2"/>
  </w:num>
  <w:num w:numId="27" w16cid:durableId="945505291">
    <w:abstractNumId w:val="14"/>
  </w:num>
  <w:num w:numId="28" w16cid:durableId="393889681">
    <w:abstractNumId w:val="1"/>
  </w:num>
  <w:num w:numId="29" w16cid:durableId="1089932149">
    <w:abstractNumId w:val="10"/>
  </w:num>
  <w:num w:numId="30" w16cid:durableId="1273170006">
    <w:abstractNumId w:val="26"/>
  </w:num>
  <w:num w:numId="31" w16cid:durableId="1547133514">
    <w:abstractNumId w:val="29"/>
  </w:num>
  <w:num w:numId="32" w16cid:durableId="151908009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897"/>
    <w:rsid w:val="00000B6F"/>
    <w:rsid w:val="00000EB5"/>
    <w:rsid w:val="0000111B"/>
    <w:rsid w:val="000017BE"/>
    <w:rsid w:val="00001F55"/>
    <w:rsid w:val="000024AF"/>
    <w:rsid w:val="0000255C"/>
    <w:rsid w:val="000034BB"/>
    <w:rsid w:val="00003D18"/>
    <w:rsid w:val="0000497F"/>
    <w:rsid w:val="00004A1F"/>
    <w:rsid w:val="00005687"/>
    <w:rsid w:val="00005717"/>
    <w:rsid w:val="000057FA"/>
    <w:rsid w:val="00005E74"/>
    <w:rsid w:val="00006C61"/>
    <w:rsid w:val="000070EC"/>
    <w:rsid w:val="00007243"/>
    <w:rsid w:val="000077C0"/>
    <w:rsid w:val="000104EB"/>
    <w:rsid w:val="00010D7F"/>
    <w:rsid w:val="00010FD0"/>
    <w:rsid w:val="00011807"/>
    <w:rsid w:val="00011E7F"/>
    <w:rsid w:val="00012320"/>
    <w:rsid w:val="0001337F"/>
    <w:rsid w:val="00014869"/>
    <w:rsid w:val="00014A00"/>
    <w:rsid w:val="00015158"/>
    <w:rsid w:val="00015160"/>
    <w:rsid w:val="000158DC"/>
    <w:rsid w:val="00015C47"/>
    <w:rsid w:val="00016698"/>
    <w:rsid w:val="00016BBE"/>
    <w:rsid w:val="00016EB4"/>
    <w:rsid w:val="00017207"/>
    <w:rsid w:val="00017748"/>
    <w:rsid w:val="00017B4D"/>
    <w:rsid w:val="00020B0E"/>
    <w:rsid w:val="000219DC"/>
    <w:rsid w:val="00021DF2"/>
    <w:rsid w:val="00021ED7"/>
    <w:rsid w:val="00022134"/>
    <w:rsid w:val="00022555"/>
    <w:rsid w:val="00023B0E"/>
    <w:rsid w:val="00023D16"/>
    <w:rsid w:val="000243E7"/>
    <w:rsid w:val="000248EF"/>
    <w:rsid w:val="000249A7"/>
    <w:rsid w:val="00025561"/>
    <w:rsid w:val="000257B9"/>
    <w:rsid w:val="000257C5"/>
    <w:rsid w:val="0002668B"/>
    <w:rsid w:val="0002668D"/>
    <w:rsid w:val="0002683F"/>
    <w:rsid w:val="00026918"/>
    <w:rsid w:val="00026CAB"/>
    <w:rsid w:val="00026E99"/>
    <w:rsid w:val="00026F07"/>
    <w:rsid w:val="0002767F"/>
    <w:rsid w:val="000276B7"/>
    <w:rsid w:val="00027859"/>
    <w:rsid w:val="00027F1D"/>
    <w:rsid w:val="0003150D"/>
    <w:rsid w:val="00031897"/>
    <w:rsid w:val="000331C1"/>
    <w:rsid w:val="000331FF"/>
    <w:rsid w:val="00033302"/>
    <w:rsid w:val="00033375"/>
    <w:rsid w:val="00033398"/>
    <w:rsid w:val="0003352B"/>
    <w:rsid w:val="00033654"/>
    <w:rsid w:val="00033A97"/>
    <w:rsid w:val="00033F8D"/>
    <w:rsid w:val="00033FD4"/>
    <w:rsid w:val="0003413E"/>
    <w:rsid w:val="00034617"/>
    <w:rsid w:val="0003498B"/>
    <w:rsid w:val="00035BE4"/>
    <w:rsid w:val="00036059"/>
    <w:rsid w:val="00036138"/>
    <w:rsid w:val="00036FD3"/>
    <w:rsid w:val="00036FE5"/>
    <w:rsid w:val="00037252"/>
    <w:rsid w:val="00037355"/>
    <w:rsid w:val="0003747C"/>
    <w:rsid w:val="00037855"/>
    <w:rsid w:val="00037DA5"/>
    <w:rsid w:val="000402A8"/>
    <w:rsid w:val="000412B6"/>
    <w:rsid w:val="00041544"/>
    <w:rsid w:val="0004156C"/>
    <w:rsid w:val="00041616"/>
    <w:rsid w:val="000416D7"/>
    <w:rsid w:val="000417E4"/>
    <w:rsid w:val="00042159"/>
    <w:rsid w:val="0004252C"/>
    <w:rsid w:val="000430D6"/>
    <w:rsid w:val="00043202"/>
    <w:rsid w:val="00043B91"/>
    <w:rsid w:val="00043B97"/>
    <w:rsid w:val="000440A5"/>
    <w:rsid w:val="00044C0C"/>
    <w:rsid w:val="00044F5A"/>
    <w:rsid w:val="00044F82"/>
    <w:rsid w:val="0004512F"/>
    <w:rsid w:val="00045D14"/>
    <w:rsid w:val="000460C4"/>
    <w:rsid w:val="000466EE"/>
    <w:rsid w:val="00047124"/>
    <w:rsid w:val="000509DF"/>
    <w:rsid w:val="00051413"/>
    <w:rsid w:val="000514C3"/>
    <w:rsid w:val="000516D5"/>
    <w:rsid w:val="000518C8"/>
    <w:rsid w:val="00051DC7"/>
    <w:rsid w:val="00051E4E"/>
    <w:rsid w:val="00051F54"/>
    <w:rsid w:val="000527B7"/>
    <w:rsid w:val="00052F2C"/>
    <w:rsid w:val="00052FCC"/>
    <w:rsid w:val="00053D6C"/>
    <w:rsid w:val="00053E3F"/>
    <w:rsid w:val="00054590"/>
    <w:rsid w:val="0005517E"/>
    <w:rsid w:val="00055192"/>
    <w:rsid w:val="00055689"/>
    <w:rsid w:val="00055C06"/>
    <w:rsid w:val="00055D73"/>
    <w:rsid w:val="00055F51"/>
    <w:rsid w:val="0005607D"/>
    <w:rsid w:val="0005634A"/>
    <w:rsid w:val="000563F3"/>
    <w:rsid w:val="000566E5"/>
    <w:rsid w:val="0005693B"/>
    <w:rsid w:val="000569BD"/>
    <w:rsid w:val="00056E74"/>
    <w:rsid w:val="00057000"/>
    <w:rsid w:val="0005759B"/>
    <w:rsid w:val="00057616"/>
    <w:rsid w:val="00057C1E"/>
    <w:rsid w:val="00057EAF"/>
    <w:rsid w:val="000600DC"/>
    <w:rsid w:val="00060A9D"/>
    <w:rsid w:val="00061DA1"/>
    <w:rsid w:val="00062387"/>
    <w:rsid w:val="0006275D"/>
    <w:rsid w:val="00062990"/>
    <w:rsid w:val="00063022"/>
    <w:rsid w:val="00063181"/>
    <w:rsid w:val="000632CD"/>
    <w:rsid w:val="0006343F"/>
    <w:rsid w:val="000636C5"/>
    <w:rsid w:val="00064154"/>
    <w:rsid w:val="00065249"/>
    <w:rsid w:val="0006554F"/>
    <w:rsid w:val="000656F6"/>
    <w:rsid w:val="0006630A"/>
    <w:rsid w:val="0006630D"/>
    <w:rsid w:val="0006657D"/>
    <w:rsid w:val="000667A8"/>
    <w:rsid w:val="00066A8E"/>
    <w:rsid w:val="00067532"/>
    <w:rsid w:val="00067C2B"/>
    <w:rsid w:val="00067C6C"/>
    <w:rsid w:val="000704F7"/>
    <w:rsid w:val="00070768"/>
    <w:rsid w:val="00070FBC"/>
    <w:rsid w:val="00071CD3"/>
    <w:rsid w:val="00071D57"/>
    <w:rsid w:val="00072188"/>
    <w:rsid w:val="000725ED"/>
    <w:rsid w:val="00072718"/>
    <w:rsid w:val="00072EC7"/>
    <w:rsid w:val="0007375D"/>
    <w:rsid w:val="00073E00"/>
    <w:rsid w:val="0007427D"/>
    <w:rsid w:val="00074520"/>
    <w:rsid w:val="00074E2F"/>
    <w:rsid w:val="00074FB7"/>
    <w:rsid w:val="00075651"/>
    <w:rsid w:val="00075CFB"/>
    <w:rsid w:val="000762EF"/>
    <w:rsid w:val="0007653E"/>
    <w:rsid w:val="00076AA1"/>
    <w:rsid w:val="00076ADC"/>
    <w:rsid w:val="00076B9B"/>
    <w:rsid w:val="00076E8F"/>
    <w:rsid w:val="00077063"/>
    <w:rsid w:val="00077182"/>
    <w:rsid w:val="00077279"/>
    <w:rsid w:val="0007749F"/>
    <w:rsid w:val="00077BB7"/>
    <w:rsid w:val="00077D19"/>
    <w:rsid w:val="00080235"/>
    <w:rsid w:val="000807C7"/>
    <w:rsid w:val="000809B5"/>
    <w:rsid w:val="00080AFC"/>
    <w:rsid w:val="00080B2B"/>
    <w:rsid w:val="00081309"/>
    <w:rsid w:val="00081638"/>
    <w:rsid w:val="00081691"/>
    <w:rsid w:val="00081ACE"/>
    <w:rsid w:val="00081DB7"/>
    <w:rsid w:val="00082272"/>
    <w:rsid w:val="000824AC"/>
    <w:rsid w:val="00082C3E"/>
    <w:rsid w:val="00083916"/>
    <w:rsid w:val="00084391"/>
    <w:rsid w:val="00084454"/>
    <w:rsid w:val="000849C2"/>
    <w:rsid w:val="000858BA"/>
    <w:rsid w:val="00085B16"/>
    <w:rsid w:val="000868F4"/>
    <w:rsid w:val="00086A63"/>
    <w:rsid w:val="00086FA9"/>
    <w:rsid w:val="00086FE7"/>
    <w:rsid w:val="000876B0"/>
    <w:rsid w:val="00087BF4"/>
    <w:rsid w:val="0009092B"/>
    <w:rsid w:val="00090E30"/>
    <w:rsid w:val="00091523"/>
    <w:rsid w:val="000916CE"/>
    <w:rsid w:val="00091F56"/>
    <w:rsid w:val="00092CFC"/>
    <w:rsid w:val="000930DA"/>
    <w:rsid w:val="000935C3"/>
    <w:rsid w:val="00093640"/>
    <w:rsid w:val="00093D43"/>
    <w:rsid w:val="00093F5B"/>
    <w:rsid w:val="00094A16"/>
    <w:rsid w:val="00094F7E"/>
    <w:rsid w:val="00094F9E"/>
    <w:rsid w:val="000954FE"/>
    <w:rsid w:val="00095742"/>
    <w:rsid w:val="0009623E"/>
    <w:rsid w:val="00096928"/>
    <w:rsid w:val="00096EF4"/>
    <w:rsid w:val="00097094"/>
    <w:rsid w:val="0009788F"/>
    <w:rsid w:val="000979CF"/>
    <w:rsid w:val="000A0421"/>
    <w:rsid w:val="000A0641"/>
    <w:rsid w:val="000A0CC3"/>
    <w:rsid w:val="000A0E28"/>
    <w:rsid w:val="000A1376"/>
    <w:rsid w:val="000A1D6E"/>
    <w:rsid w:val="000A23CD"/>
    <w:rsid w:val="000A26A6"/>
    <w:rsid w:val="000A296F"/>
    <w:rsid w:val="000A2ACF"/>
    <w:rsid w:val="000A2BD1"/>
    <w:rsid w:val="000A2D46"/>
    <w:rsid w:val="000A3045"/>
    <w:rsid w:val="000A31B5"/>
    <w:rsid w:val="000A3400"/>
    <w:rsid w:val="000A3823"/>
    <w:rsid w:val="000A41C2"/>
    <w:rsid w:val="000A4284"/>
    <w:rsid w:val="000A465B"/>
    <w:rsid w:val="000A4B13"/>
    <w:rsid w:val="000A4D31"/>
    <w:rsid w:val="000A5086"/>
    <w:rsid w:val="000A6153"/>
    <w:rsid w:val="000A63FB"/>
    <w:rsid w:val="000A6703"/>
    <w:rsid w:val="000A6957"/>
    <w:rsid w:val="000A6C8E"/>
    <w:rsid w:val="000A711D"/>
    <w:rsid w:val="000A74AF"/>
    <w:rsid w:val="000B052E"/>
    <w:rsid w:val="000B0618"/>
    <w:rsid w:val="000B061C"/>
    <w:rsid w:val="000B0A3D"/>
    <w:rsid w:val="000B0AB3"/>
    <w:rsid w:val="000B0C1E"/>
    <w:rsid w:val="000B1545"/>
    <w:rsid w:val="000B1650"/>
    <w:rsid w:val="000B18C8"/>
    <w:rsid w:val="000B191F"/>
    <w:rsid w:val="000B29F0"/>
    <w:rsid w:val="000B2B8A"/>
    <w:rsid w:val="000B3282"/>
    <w:rsid w:val="000B37F1"/>
    <w:rsid w:val="000B4009"/>
    <w:rsid w:val="000B485C"/>
    <w:rsid w:val="000B5281"/>
    <w:rsid w:val="000B5848"/>
    <w:rsid w:val="000B5C7E"/>
    <w:rsid w:val="000B5EEF"/>
    <w:rsid w:val="000B6040"/>
    <w:rsid w:val="000B6432"/>
    <w:rsid w:val="000B6751"/>
    <w:rsid w:val="000B6863"/>
    <w:rsid w:val="000B6B8E"/>
    <w:rsid w:val="000B719A"/>
    <w:rsid w:val="000B71FF"/>
    <w:rsid w:val="000C026F"/>
    <w:rsid w:val="000C0BA2"/>
    <w:rsid w:val="000C0C60"/>
    <w:rsid w:val="000C0FC5"/>
    <w:rsid w:val="000C18D9"/>
    <w:rsid w:val="000C1ADA"/>
    <w:rsid w:val="000C1B70"/>
    <w:rsid w:val="000C20C6"/>
    <w:rsid w:val="000C20F5"/>
    <w:rsid w:val="000C2B4E"/>
    <w:rsid w:val="000C384B"/>
    <w:rsid w:val="000C3CAA"/>
    <w:rsid w:val="000C3EF6"/>
    <w:rsid w:val="000C4378"/>
    <w:rsid w:val="000C4CFD"/>
    <w:rsid w:val="000C51EE"/>
    <w:rsid w:val="000C5A9B"/>
    <w:rsid w:val="000C5FD8"/>
    <w:rsid w:val="000C62AA"/>
    <w:rsid w:val="000C63A9"/>
    <w:rsid w:val="000C6D46"/>
    <w:rsid w:val="000C767B"/>
    <w:rsid w:val="000C79AA"/>
    <w:rsid w:val="000C79B8"/>
    <w:rsid w:val="000D00A0"/>
    <w:rsid w:val="000D00E1"/>
    <w:rsid w:val="000D0E5F"/>
    <w:rsid w:val="000D0F3A"/>
    <w:rsid w:val="000D1585"/>
    <w:rsid w:val="000D1ADA"/>
    <w:rsid w:val="000D1C5C"/>
    <w:rsid w:val="000D23AC"/>
    <w:rsid w:val="000D292E"/>
    <w:rsid w:val="000D3343"/>
    <w:rsid w:val="000D33BF"/>
    <w:rsid w:val="000D3878"/>
    <w:rsid w:val="000D3E5A"/>
    <w:rsid w:val="000D4741"/>
    <w:rsid w:val="000D4844"/>
    <w:rsid w:val="000D48B2"/>
    <w:rsid w:val="000D4D13"/>
    <w:rsid w:val="000D54F6"/>
    <w:rsid w:val="000D578B"/>
    <w:rsid w:val="000D59FD"/>
    <w:rsid w:val="000D6240"/>
    <w:rsid w:val="000D67C3"/>
    <w:rsid w:val="000D6C7B"/>
    <w:rsid w:val="000D723F"/>
    <w:rsid w:val="000D7311"/>
    <w:rsid w:val="000D7313"/>
    <w:rsid w:val="000D7789"/>
    <w:rsid w:val="000D7BFD"/>
    <w:rsid w:val="000E01C2"/>
    <w:rsid w:val="000E077F"/>
    <w:rsid w:val="000E16BD"/>
    <w:rsid w:val="000E1904"/>
    <w:rsid w:val="000E202C"/>
    <w:rsid w:val="000E2239"/>
    <w:rsid w:val="000E255F"/>
    <w:rsid w:val="000E30B8"/>
    <w:rsid w:val="000E3173"/>
    <w:rsid w:val="000E3F22"/>
    <w:rsid w:val="000E440F"/>
    <w:rsid w:val="000E4621"/>
    <w:rsid w:val="000E481B"/>
    <w:rsid w:val="000E4899"/>
    <w:rsid w:val="000E493B"/>
    <w:rsid w:val="000E4F56"/>
    <w:rsid w:val="000E51DA"/>
    <w:rsid w:val="000E6489"/>
    <w:rsid w:val="000E67D5"/>
    <w:rsid w:val="000E6ABF"/>
    <w:rsid w:val="000E6AE0"/>
    <w:rsid w:val="000E6C16"/>
    <w:rsid w:val="000E747E"/>
    <w:rsid w:val="000E7B34"/>
    <w:rsid w:val="000F019A"/>
    <w:rsid w:val="000F0931"/>
    <w:rsid w:val="000F0D48"/>
    <w:rsid w:val="000F0D64"/>
    <w:rsid w:val="000F0F91"/>
    <w:rsid w:val="000F1898"/>
    <w:rsid w:val="000F1BD6"/>
    <w:rsid w:val="000F1C00"/>
    <w:rsid w:val="000F21DE"/>
    <w:rsid w:val="000F269E"/>
    <w:rsid w:val="000F2778"/>
    <w:rsid w:val="000F2ACB"/>
    <w:rsid w:val="000F2BC2"/>
    <w:rsid w:val="000F2E0A"/>
    <w:rsid w:val="000F4226"/>
    <w:rsid w:val="000F42A7"/>
    <w:rsid w:val="000F4826"/>
    <w:rsid w:val="000F4F3F"/>
    <w:rsid w:val="000F5361"/>
    <w:rsid w:val="000F54A5"/>
    <w:rsid w:val="000F55EC"/>
    <w:rsid w:val="000F5D79"/>
    <w:rsid w:val="000F634E"/>
    <w:rsid w:val="000F6491"/>
    <w:rsid w:val="000F67EB"/>
    <w:rsid w:val="000F6852"/>
    <w:rsid w:val="000F6F20"/>
    <w:rsid w:val="000F72D2"/>
    <w:rsid w:val="000F72F4"/>
    <w:rsid w:val="00100108"/>
    <w:rsid w:val="00100257"/>
    <w:rsid w:val="00100467"/>
    <w:rsid w:val="00100592"/>
    <w:rsid w:val="00100662"/>
    <w:rsid w:val="00100BC5"/>
    <w:rsid w:val="00101BE8"/>
    <w:rsid w:val="00101D26"/>
    <w:rsid w:val="00101D3D"/>
    <w:rsid w:val="001027A8"/>
    <w:rsid w:val="00102ACA"/>
    <w:rsid w:val="00103B95"/>
    <w:rsid w:val="00104793"/>
    <w:rsid w:val="00104FB8"/>
    <w:rsid w:val="001057A0"/>
    <w:rsid w:val="00105A12"/>
    <w:rsid w:val="001066D7"/>
    <w:rsid w:val="0010678C"/>
    <w:rsid w:val="0010748B"/>
    <w:rsid w:val="001075BC"/>
    <w:rsid w:val="0011009B"/>
    <w:rsid w:val="001106AE"/>
    <w:rsid w:val="001113AD"/>
    <w:rsid w:val="0011172F"/>
    <w:rsid w:val="00111956"/>
    <w:rsid w:val="00112054"/>
    <w:rsid w:val="0011205A"/>
    <w:rsid w:val="00112280"/>
    <w:rsid w:val="001125B1"/>
    <w:rsid w:val="001126B6"/>
    <w:rsid w:val="00112858"/>
    <w:rsid w:val="00112D0D"/>
    <w:rsid w:val="001134C1"/>
    <w:rsid w:val="00113743"/>
    <w:rsid w:val="00113824"/>
    <w:rsid w:val="00113B51"/>
    <w:rsid w:val="00113EFA"/>
    <w:rsid w:val="0011425A"/>
    <w:rsid w:val="00114509"/>
    <w:rsid w:val="0011487A"/>
    <w:rsid w:val="00114975"/>
    <w:rsid w:val="0011523C"/>
    <w:rsid w:val="00115DE7"/>
    <w:rsid w:val="00115EFA"/>
    <w:rsid w:val="00116138"/>
    <w:rsid w:val="001167BF"/>
    <w:rsid w:val="00116817"/>
    <w:rsid w:val="00116C3A"/>
    <w:rsid w:val="00116FFB"/>
    <w:rsid w:val="001170BD"/>
    <w:rsid w:val="001171C2"/>
    <w:rsid w:val="00117992"/>
    <w:rsid w:val="00117AFF"/>
    <w:rsid w:val="00117E4B"/>
    <w:rsid w:val="001203CE"/>
    <w:rsid w:val="0012085E"/>
    <w:rsid w:val="00120B3E"/>
    <w:rsid w:val="00120F52"/>
    <w:rsid w:val="001211BC"/>
    <w:rsid w:val="001216ED"/>
    <w:rsid w:val="00121DC3"/>
    <w:rsid w:val="00123787"/>
    <w:rsid w:val="00124162"/>
    <w:rsid w:val="0012440F"/>
    <w:rsid w:val="001245BC"/>
    <w:rsid w:val="00124E04"/>
    <w:rsid w:val="00125148"/>
    <w:rsid w:val="00126525"/>
    <w:rsid w:val="00126653"/>
    <w:rsid w:val="00127461"/>
    <w:rsid w:val="00127687"/>
    <w:rsid w:val="00127A46"/>
    <w:rsid w:val="00127E43"/>
    <w:rsid w:val="001309D8"/>
    <w:rsid w:val="0013125A"/>
    <w:rsid w:val="001327D6"/>
    <w:rsid w:val="00132E51"/>
    <w:rsid w:val="00132E6D"/>
    <w:rsid w:val="001337E9"/>
    <w:rsid w:val="00133B15"/>
    <w:rsid w:val="00134494"/>
    <w:rsid w:val="00134518"/>
    <w:rsid w:val="00134655"/>
    <w:rsid w:val="001348B9"/>
    <w:rsid w:val="00134FBE"/>
    <w:rsid w:val="0013534D"/>
    <w:rsid w:val="0013546D"/>
    <w:rsid w:val="0013559B"/>
    <w:rsid w:val="00135F99"/>
    <w:rsid w:val="00137118"/>
    <w:rsid w:val="00137662"/>
    <w:rsid w:val="0014053C"/>
    <w:rsid w:val="00140574"/>
    <w:rsid w:val="00140858"/>
    <w:rsid w:val="00140A1B"/>
    <w:rsid w:val="00140C74"/>
    <w:rsid w:val="0014113F"/>
    <w:rsid w:val="00141BBF"/>
    <w:rsid w:val="00141BF7"/>
    <w:rsid w:val="00141DEC"/>
    <w:rsid w:val="001420C0"/>
    <w:rsid w:val="0014279E"/>
    <w:rsid w:val="00142D42"/>
    <w:rsid w:val="00142E77"/>
    <w:rsid w:val="0014331B"/>
    <w:rsid w:val="00143B3F"/>
    <w:rsid w:val="00144427"/>
    <w:rsid w:val="00144606"/>
    <w:rsid w:val="00144BEF"/>
    <w:rsid w:val="0014513D"/>
    <w:rsid w:val="00145843"/>
    <w:rsid w:val="001459C2"/>
    <w:rsid w:val="00145A0D"/>
    <w:rsid w:val="00145A8F"/>
    <w:rsid w:val="00145DF0"/>
    <w:rsid w:val="00145FF8"/>
    <w:rsid w:val="0014637E"/>
    <w:rsid w:val="00146CD7"/>
    <w:rsid w:val="00146EAE"/>
    <w:rsid w:val="0014705A"/>
    <w:rsid w:val="00147431"/>
    <w:rsid w:val="00147565"/>
    <w:rsid w:val="00147917"/>
    <w:rsid w:val="00147FBA"/>
    <w:rsid w:val="001503D3"/>
    <w:rsid w:val="00150680"/>
    <w:rsid w:val="0015091B"/>
    <w:rsid w:val="00150D38"/>
    <w:rsid w:val="0015103C"/>
    <w:rsid w:val="00151086"/>
    <w:rsid w:val="00151996"/>
    <w:rsid w:val="00151A52"/>
    <w:rsid w:val="00151EF7"/>
    <w:rsid w:val="0015269F"/>
    <w:rsid w:val="0015292A"/>
    <w:rsid w:val="00152BFA"/>
    <w:rsid w:val="00152DDB"/>
    <w:rsid w:val="00152DF4"/>
    <w:rsid w:val="00152F00"/>
    <w:rsid w:val="00152FCB"/>
    <w:rsid w:val="00153052"/>
    <w:rsid w:val="001533DC"/>
    <w:rsid w:val="0015396D"/>
    <w:rsid w:val="001539D5"/>
    <w:rsid w:val="00153AEB"/>
    <w:rsid w:val="00153E1C"/>
    <w:rsid w:val="0015471E"/>
    <w:rsid w:val="001547FA"/>
    <w:rsid w:val="00154D55"/>
    <w:rsid w:val="00154FAD"/>
    <w:rsid w:val="00155016"/>
    <w:rsid w:val="00155107"/>
    <w:rsid w:val="0015513F"/>
    <w:rsid w:val="001559DE"/>
    <w:rsid w:val="00155BDA"/>
    <w:rsid w:val="00155C29"/>
    <w:rsid w:val="00156724"/>
    <w:rsid w:val="00156DFC"/>
    <w:rsid w:val="00157979"/>
    <w:rsid w:val="00157AC8"/>
    <w:rsid w:val="00157BE1"/>
    <w:rsid w:val="00157C72"/>
    <w:rsid w:val="0016047D"/>
    <w:rsid w:val="0016058C"/>
    <w:rsid w:val="00160692"/>
    <w:rsid w:val="00160867"/>
    <w:rsid w:val="00160CBB"/>
    <w:rsid w:val="00160DAF"/>
    <w:rsid w:val="0016116F"/>
    <w:rsid w:val="00161F82"/>
    <w:rsid w:val="00162251"/>
    <w:rsid w:val="00162273"/>
    <w:rsid w:val="00162C7C"/>
    <w:rsid w:val="00162CFF"/>
    <w:rsid w:val="00163909"/>
    <w:rsid w:val="00163DEC"/>
    <w:rsid w:val="00163F7C"/>
    <w:rsid w:val="0016412C"/>
    <w:rsid w:val="001643F4"/>
    <w:rsid w:val="00164A8A"/>
    <w:rsid w:val="00165B31"/>
    <w:rsid w:val="001701DF"/>
    <w:rsid w:val="00170999"/>
    <w:rsid w:val="00170A4C"/>
    <w:rsid w:val="00171362"/>
    <w:rsid w:val="0017170E"/>
    <w:rsid w:val="00171FA6"/>
    <w:rsid w:val="0017276B"/>
    <w:rsid w:val="00172896"/>
    <w:rsid w:val="00172F5B"/>
    <w:rsid w:val="00173301"/>
    <w:rsid w:val="001739EA"/>
    <w:rsid w:val="00174473"/>
    <w:rsid w:val="001744DC"/>
    <w:rsid w:val="00174794"/>
    <w:rsid w:val="00174A47"/>
    <w:rsid w:val="001752FD"/>
    <w:rsid w:val="00175F0E"/>
    <w:rsid w:val="0017625E"/>
    <w:rsid w:val="0017632C"/>
    <w:rsid w:val="00176603"/>
    <w:rsid w:val="00176656"/>
    <w:rsid w:val="00176AE7"/>
    <w:rsid w:val="00176D97"/>
    <w:rsid w:val="00177096"/>
    <w:rsid w:val="00177B44"/>
    <w:rsid w:val="00177FC7"/>
    <w:rsid w:val="001803A9"/>
    <w:rsid w:val="0018097E"/>
    <w:rsid w:val="00180AF9"/>
    <w:rsid w:val="0018148E"/>
    <w:rsid w:val="00181744"/>
    <w:rsid w:val="001818C8"/>
    <w:rsid w:val="00181E41"/>
    <w:rsid w:val="00181FA6"/>
    <w:rsid w:val="001820CE"/>
    <w:rsid w:val="0018255F"/>
    <w:rsid w:val="001825B6"/>
    <w:rsid w:val="00182739"/>
    <w:rsid w:val="00182ADA"/>
    <w:rsid w:val="00182F7B"/>
    <w:rsid w:val="0018318A"/>
    <w:rsid w:val="00183634"/>
    <w:rsid w:val="001837DE"/>
    <w:rsid w:val="00183931"/>
    <w:rsid w:val="00184866"/>
    <w:rsid w:val="00184CB5"/>
    <w:rsid w:val="00184D90"/>
    <w:rsid w:val="00184D9D"/>
    <w:rsid w:val="00185A42"/>
    <w:rsid w:val="00185AA7"/>
    <w:rsid w:val="00185B0C"/>
    <w:rsid w:val="00185CD2"/>
    <w:rsid w:val="00185D04"/>
    <w:rsid w:val="0018624B"/>
    <w:rsid w:val="001869B6"/>
    <w:rsid w:val="00186DF0"/>
    <w:rsid w:val="00186F4F"/>
    <w:rsid w:val="00186F93"/>
    <w:rsid w:val="001876DF"/>
    <w:rsid w:val="001879DA"/>
    <w:rsid w:val="00190838"/>
    <w:rsid w:val="0019087D"/>
    <w:rsid w:val="0019101C"/>
    <w:rsid w:val="001914BB"/>
    <w:rsid w:val="001914D7"/>
    <w:rsid w:val="00191E75"/>
    <w:rsid w:val="00192F31"/>
    <w:rsid w:val="001937AA"/>
    <w:rsid w:val="00193A33"/>
    <w:rsid w:val="00193BFD"/>
    <w:rsid w:val="001945BB"/>
    <w:rsid w:val="0019509E"/>
    <w:rsid w:val="00195817"/>
    <w:rsid w:val="00195ED3"/>
    <w:rsid w:val="0019617C"/>
    <w:rsid w:val="001962C5"/>
    <w:rsid w:val="00196454"/>
    <w:rsid w:val="00196581"/>
    <w:rsid w:val="00196E3E"/>
    <w:rsid w:val="00196FCB"/>
    <w:rsid w:val="001972AF"/>
    <w:rsid w:val="001977FE"/>
    <w:rsid w:val="00197D0C"/>
    <w:rsid w:val="00197F89"/>
    <w:rsid w:val="001A084A"/>
    <w:rsid w:val="001A08FA"/>
    <w:rsid w:val="001A11EF"/>
    <w:rsid w:val="001A1DE7"/>
    <w:rsid w:val="001A1E22"/>
    <w:rsid w:val="001A22A4"/>
    <w:rsid w:val="001A28C6"/>
    <w:rsid w:val="001A2AB3"/>
    <w:rsid w:val="001A2B0B"/>
    <w:rsid w:val="001A2ECA"/>
    <w:rsid w:val="001A31DF"/>
    <w:rsid w:val="001A3395"/>
    <w:rsid w:val="001A37C4"/>
    <w:rsid w:val="001A3E12"/>
    <w:rsid w:val="001A3F1E"/>
    <w:rsid w:val="001A4E15"/>
    <w:rsid w:val="001A532C"/>
    <w:rsid w:val="001A58CD"/>
    <w:rsid w:val="001A5F4D"/>
    <w:rsid w:val="001A5F8C"/>
    <w:rsid w:val="001A6C27"/>
    <w:rsid w:val="001A6C75"/>
    <w:rsid w:val="001A6ECF"/>
    <w:rsid w:val="001A7559"/>
    <w:rsid w:val="001A7DF8"/>
    <w:rsid w:val="001A7F65"/>
    <w:rsid w:val="001B046D"/>
    <w:rsid w:val="001B0B19"/>
    <w:rsid w:val="001B0B26"/>
    <w:rsid w:val="001B1189"/>
    <w:rsid w:val="001B131E"/>
    <w:rsid w:val="001B185C"/>
    <w:rsid w:val="001B1FB7"/>
    <w:rsid w:val="001B2037"/>
    <w:rsid w:val="001B29BA"/>
    <w:rsid w:val="001B2D8D"/>
    <w:rsid w:val="001B313B"/>
    <w:rsid w:val="001B32A0"/>
    <w:rsid w:val="001B339E"/>
    <w:rsid w:val="001B3912"/>
    <w:rsid w:val="001B3DD2"/>
    <w:rsid w:val="001B412E"/>
    <w:rsid w:val="001B4602"/>
    <w:rsid w:val="001B4844"/>
    <w:rsid w:val="001B4D68"/>
    <w:rsid w:val="001B4F3D"/>
    <w:rsid w:val="001B5665"/>
    <w:rsid w:val="001B59DE"/>
    <w:rsid w:val="001B6579"/>
    <w:rsid w:val="001B6A8A"/>
    <w:rsid w:val="001B70E1"/>
    <w:rsid w:val="001B7447"/>
    <w:rsid w:val="001B7630"/>
    <w:rsid w:val="001B7CC4"/>
    <w:rsid w:val="001C00A0"/>
    <w:rsid w:val="001C0C67"/>
    <w:rsid w:val="001C0D3C"/>
    <w:rsid w:val="001C0D9D"/>
    <w:rsid w:val="001C0DF8"/>
    <w:rsid w:val="001C0E6A"/>
    <w:rsid w:val="001C1128"/>
    <w:rsid w:val="001C147F"/>
    <w:rsid w:val="001C1646"/>
    <w:rsid w:val="001C18CA"/>
    <w:rsid w:val="001C192A"/>
    <w:rsid w:val="001C2AA0"/>
    <w:rsid w:val="001C2BAE"/>
    <w:rsid w:val="001C2DA5"/>
    <w:rsid w:val="001C353C"/>
    <w:rsid w:val="001C367E"/>
    <w:rsid w:val="001C3D60"/>
    <w:rsid w:val="001C3EDA"/>
    <w:rsid w:val="001C40D8"/>
    <w:rsid w:val="001C413B"/>
    <w:rsid w:val="001C454C"/>
    <w:rsid w:val="001C476F"/>
    <w:rsid w:val="001C4A5F"/>
    <w:rsid w:val="001C56EF"/>
    <w:rsid w:val="001C5778"/>
    <w:rsid w:val="001C5AC3"/>
    <w:rsid w:val="001C6615"/>
    <w:rsid w:val="001C6AAC"/>
    <w:rsid w:val="001C710D"/>
    <w:rsid w:val="001C7A2E"/>
    <w:rsid w:val="001C7EA6"/>
    <w:rsid w:val="001D034A"/>
    <w:rsid w:val="001D0B13"/>
    <w:rsid w:val="001D0C65"/>
    <w:rsid w:val="001D0E5F"/>
    <w:rsid w:val="001D155E"/>
    <w:rsid w:val="001D18E7"/>
    <w:rsid w:val="001D294B"/>
    <w:rsid w:val="001D3714"/>
    <w:rsid w:val="001D3861"/>
    <w:rsid w:val="001D3B86"/>
    <w:rsid w:val="001D428D"/>
    <w:rsid w:val="001D4532"/>
    <w:rsid w:val="001D4629"/>
    <w:rsid w:val="001D4A76"/>
    <w:rsid w:val="001D4B2E"/>
    <w:rsid w:val="001D521B"/>
    <w:rsid w:val="001D5671"/>
    <w:rsid w:val="001D5B7E"/>
    <w:rsid w:val="001D5BE0"/>
    <w:rsid w:val="001D5BF6"/>
    <w:rsid w:val="001D6517"/>
    <w:rsid w:val="001D694B"/>
    <w:rsid w:val="001D71E8"/>
    <w:rsid w:val="001D73B8"/>
    <w:rsid w:val="001D7BBC"/>
    <w:rsid w:val="001D7FCA"/>
    <w:rsid w:val="001E0AA8"/>
    <w:rsid w:val="001E1319"/>
    <w:rsid w:val="001E15D9"/>
    <w:rsid w:val="001E18DA"/>
    <w:rsid w:val="001E20FE"/>
    <w:rsid w:val="001E21BF"/>
    <w:rsid w:val="001E242D"/>
    <w:rsid w:val="001E2CD7"/>
    <w:rsid w:val="001E2EBF"/>
    <w:rsid w:val="001E3EC9"/>
    <w:rsid w:val="001E421F"/>
    <w:rsid w:val="001E48B7"/>
    <w:rsid w:val="001E5349"/>
    <w:rsid w:val="001E635C"/>
    <w:rsid w:val="001E7080"/>
    <w:rsid w:val="001E7557"/>
    <w:rsid w:val="001E76A6"/>
    <w:rsid w:val="001E7F8F"/>
    <w:rsid w:val="001F0345"/>
    <w:rsid w:val="001F0474"/>
    <w:rsid w:val="001F0D4D"/>
    <w:rsid w:val="001F13DC"/>
    <w:rsid w:val="001F13FE"/>
    <w:rsid w:val="001F1DDA"/>
    <w:rsid w:val="001F20B5"/>
    <w:rsid w:val="001F2116"/>
    <w:rsid w:val="001F2DC4"/>
    <w:rsid w:val="001F3596"/>
    <w:rsid w:val="001F37E7"/>
    <w:rsid w:val="001F389A"/>
    <w:rsid w:val="001F3BBD"/>
    <w:rsid w:val="001F3CA2"/>
    <w:rsid w:val="001F42A8"/>
    <w:rsid w:val="001F4A36"/>
    <w:rsid w:val="001F4C2E"/>
    <w:rsid w:val="001F4D54"/>
    <w:rsid w:val="001F4FB7"/>
    <w:rsid w:val="001F5037"/>
    <w:rsid w:val="001F5617"/>
    <w:rsid w:val="001F5DAC"/>
    <w:rsid w:val="001F668D"/>
    <w:rsid w:val="001F69CB"/>
    <w:rsid w:val="001F6CD0"/>
    <w:rsid w:val="001F6CFF"/>
    <w:rsid w:val="001F74FD"/>
    <w:rsid w:val="002007ED"/>
    <w:rsid w:val="00200BC2"/>
    <w:rsid w:val="002016C5"/>
    <w:rsid w:val="002024BF"/>
    <w:rsid w:val="00202560"/>
    <w:rsid w:val="00203785"/>
    <w:rsid w:val="002038B0"/>
    <w:rsid w:val="00203EB7"/>
    <w:rsid w:val="002049EB"/>
    <w:rsid w:val="00204B71"/>
    <w:rsid w:val="00204ED0"/>
    <w:rsid w:val="00205994"/>
    <w:rsid w:val="002064F7"/>
    <w:rsid w:val="002067F8"/>
    <w:rsid w:val="00206AFC"/>
    <w:rsid w:val="00206B2F"/>
    <w:rsid w:val="00206BA5"/>
    <w:rsid w:val="00206E10"/>
    <w:rsid w:val="00206EC3"/>
    <w:rsid w:val="00206F2D"/>
    <w:rsid w:val="0020708C"/>
    <w:rsid w:val="00207319"/>
    <w:rsid w:val="00207461"/>
    <w:rsid w:val="00207AB3"/>
    <w:rsid w:val="00207CF9"/>
    <w:rsid w:val="00210322"/>
    <w:rsid w:val="00210C8D"/>
    <w:rsid w:val="00211033"/>
    <w:rsid w:val="002117FF"/>
    <w:rsid w:val="002118EC"/>
    <w:rsid w:val="00211A76"/>
    <w:rsid w:val="002125C7"/>
    <w:rsid w:val="00212AEC"/>
    <w:rsid w:val="00212B73"/>
    <w:rsid w:val="00213284"/>
    <w:rsid w:val="00213A2C"/>
    <w:rsid w:val="00213B20"/>
    <w:rsid w:val="00213E8F"/>
    <w:rsid w:val="00214969"/>
    <w:rsid w:val="00214C16"/>
    <w:rsid w:val="0021655A"/>
    <w:rsid w:val="0021696F"/>
    <w:rsid w:val="00216A17"/>
    <w:rsid w:val="00216D24"/>
    <w:rsid w:val="0021748B"/>
    <w:rsid w:val="00217949"/>
    <w:rsid w:val="0022000F"/>
    <w:rsid w:val="0022003B"/>
    <w:rsid w:val="002207A6"/>
    <w:rsid w:val="0022091F"/>
    <w:rsid w:val="00221195"/>
    <w:rsid w:val="002214AF"/>
    <w:rsid w:val="00221575"/>
    <w:rsid w:val="0022226D"/>
    <w:rsid w:val="00222726"/>
    <w:rsid w:val="00222E9E"/>
    <w:rsid w:val="00222EF4"/>
    <w:rsid w:val="0022301B"/>
    <w:rsid w:val="002235E3"/>
    <w:rsid w:val="00223639"/>
    <w:rsid w:val="00223C5C"/>
    <w:rsid w:val="00224771"/>
    <w:rsid w:val="00224811"/>
    <w:rsid w:val="002248F8"/>
    <w:rsid w:val="00224BE6"/>
    <w:rsid w:val="00224D0B"/>
    <w:rsid w:val="00224E0F"/>
    <w:rsid w:val="00224E87"/>
    <w:rsid w:val="0022505B"/>
    <w:rsid w:val="002257DC"/>
    <w:rsid w:val="002258D2"/>
    <w:rsid w:val="00225C85"/>
    <w:rsid w:val="00225C95"/>
    <w:rsid w:val="00225E99"/>
    <w:rsid w:val="002262FB"/>
    <w:rsid w:val="00226406"/>
    <w:rsid w:val="00226CFC"/>
    <w:rsid w:val="002272CE"/>
    <w:rsid w:val="00227587"/>
    <w:rsid w:val="002277F9"/>
    <w:rsid w:val="002300A6"/>
    <w:rsid w:val="00230A79"/>
    <w:rsid w:val="00230BDB"/>
    <w:rsid w:val="00230F4A"/>
    <w:rsid w:val="00231318"/>
    <w:rsid w:val="00231875"/>
    <w:rsid w:val="0023198E"/>
    <w:rsid w:val="00231BFC"/>
    <w:rsid w:val="00231E0C"/>
    <w:rsid w:val="00231FA7"/>
    <w:rsid w:val="0023231C"/>
    <w:rsid w:val="00232364"/>
    <w:rsid w:val="0023241C"/>
    <w:rsid w:val="00232426"/>
    <w:rsid w:val="002328B1"/>
    <w:rsid w:val="00232A73"/>
    <w:rsid w:val="002331E5"/>
    <w:rsid w:val="00233376"/>
    <w:rsid w:val="00233826"/>
    <w:rsid w:val="00233AC9"/>
    <w:rsid w:val="0023472C"/>
    <w:rsid w:val="00235165"/>
    <w:rsid w:val="00235320"/>
    <w:rsid w:val="00235BE4"/>
    <w:rsid w:val="00235E40"/>
    <w:rsid w:val="00235FD6"/>
    <w:rsid w:val="00236335"/>
    <w:rsid w:val="00236CE5"/>
    <w:rsid w:val="00236E2C"/>
    <w:rsid w:val="00237327"/>
    <w:rsid w:val="0024038A"/>
    <w:rsid w:val="0024141F"/>
    <w:rsid w:val="002414BD"/>
    <w:rsid w:val="00241C14"/>
    <w:rsid w:val="0024353C"/>
    <w:rsid w:val="002446EF"/>
    <w:rsid w:val="00244794"/>
    <w:rsid w:val="00244F2D"/>
    <w:rsid w:val="00245259"/>
    <w:rsid w:val="002452B6"/>
    <w:rsid w:val="00245485"/>
    <w:rsid w:val="0024559E"/>
    <w:rsid w:val="002456C4"/>
    <w:rsid w:val="00245D02"/>
    <w:rsid w:val="00246135"/>
    <w:rsid w:val="002464E8"/>
    <w:rsid w:val="00246689"/>
    <w:rsid w:val="00246796"/>
    <w:rsid w:val="002473A8"/>
    <w:rsid w:val="00247A8D"/>
    <w:rsid w:val="00247DA7"/>
    <w:rsid w:val="00247DDE"/>
    <w:rsid w:val="002507BC"/>
    <w:rsid w:val="002508F9"/>
    <w:rsid w:val="0025092F"/>
    <w:rsid w:val="00250B30"/>
    <w:rsid w:val="00250C48"/>
    <w:rsid w:val="00250F22"/>
    <w:rsid w:val="002517E4"/>
    <w:rsid w:val="0025185F"/>
    <w:rsid w:val="00252562"/>
    <w:rsid w:val="00252A6C"/>
    <w:rsid w:val="00252CA7"/>
    <w:rsid w:val="00253327"/>
    <w:rsid w:val="002537C7"/>
    <w:rsid w:val="00253B61"/>
    <w:rsid w:val="00253F46"/>
    <w:rsid w:val="002550F7"/>
    <w:rsid w:val="00255226"/>
    <w:rsid w:val="002554D4"/>
    <w:rsid w:val="002554FA"/>
    <w:rsid w:val="002558E7"/>
    <w:rsid w:val="00256978"/>
    <w:rsid w:val="00256B0A"/>
    <w:rsid w:val="00257778"/>
    <w:rsid w:val="00257D7D"/>
    <w:rsid w:val="002600C9"/>
    <w:rsid w:val="0026035C"/>
    <w:rsid w:val="002604E4"/>
    <w:rsid w:val="00260503"/>
    <w:rsid w:val="00260BB9"/>
    <w:rsid w:val="00260D1B"/>
    <w:rsid w:val="0026128F"/>
    <w:rsid w:val="0026136B"/>
    <w:rsid w:val="002616F0"/>
    <w:rsid w:val="00261D56"/>
    <w:rsid w:val="00261D9F"/>
    <w:rsid w:val="00261EE6"/>
    <w:rsid w:val="00262210"/>
    <w:rsid w:val="00262242"/>
    <w:rsid w:val="00262500"/>
    <w:rsid w:val="00262865"/>
    <w:rsid w:val="00262B5D"/>
    <w:rsid w:val="00262F3C"/>
    <w:rsid w:val="00263275"/>
    <w:rsid w:val="00263B05"/>
    <w:rsid w:val="00263ECC"/>
    <w:rsid w:val="00263ED1"/>
    <w:rsid w:val="00263F0C"/>
    <w:rsid w:val="00264237"/>
    <w:rsid w:val="0026424B"/>
    <w:rsid w:val="0026467C"/>
    <w:rsid w:val="00264BE9"/>
    <w:rsid w:val="002650CB"/>
    <w:rsid w:val="00265298"/>
    <w:rsid w:val="00265562"/>
    <w:rsid w:val="00265C82"/>
    <w:rsid w:val="00265EB0"/>
    <w:rsid w:val="0026625E"/>
    <w:rsid w:val="0026648A"/>
    <w:rsid w:val="00266A1E"/>
    <w:rsid w:val="00266DF3"/>
    <w:rsid w:val="002675B2"/>
    <w:rsid w:val="00267921"/>
    <w:rsid w:val="00267F79"/>
    <w:rsid w:val="00270280"/>
    <w:rsid w:val="002705C8"/>
    <w:rsid w:val="002709BD"/>
    <w:rsid w:val="00270D7C"/>
    <w:rsid w:val="002712BC"/>
    <w:rsid w:val="002714C2"/>
    <w:rsid w:val="002716F7"/>
    <w:rsid w:val="002718CB"/>
    <w:rsid w:val="002720B4"/>
    <w:rsid w:val="002722D8"/>
    <w:rsid w:val="0027292B"/>
    <w:rsid w:val="00272BE2"/>
    <w:rsid w:val="00272E9B"/>
    <w:rsid w:val="0027342B"/>
    <w:rsid w:val="00274094"/>
    <w:rsid w:val="00274C4C"/>
    <w:rsid w:val="002752B5"/>
    <w:rsid w:val="002755FF"/>
    <w:rsid w:val="00275771"/>
    <w:rsid w:val="00276143"/>
    <w:rsid w:val="002766B2"/>
    <w:rsid w:val="0027686E"/>
    <w:rsid w:val="00276C39"/>
    <w:rsid w:val="0027757E"/>
    <w:rsid w:val="00277678"/>
    <w:rsid w:val="00277D4C"/>
    <w:rsid w:val="00280768"/>
    <w:rsid w:val="00281149"/>
    <w:rsid w:val="00281BD2"/>
    <w:rsid w:val="00281F72"/>
    <w:rsid w:val="0028252A"/>
    <w:rsid w:val="00282647"/>
    <w:rsid w:val="00283734"/>
    <w:rsid w:val="00283E9B"/>
    <w:rsid w:val="0028444E"/>
    <w:rsid w:val="002846D9"/>
    <w:rsid w:val="0028492E"/>
    <w:rsid w:val="00284DBC"/>
    <w:rsid w:val="00285454"/>
    <w:rsid w:val="00285A66"/>
    <w:rsid w:val="002866EF"/>
    <w:rsid w:val="00286927"/>
    <w:rsid w:val="0028698C"/>
    <w:rsid w:val="00286A37"/>
    <w:rsid w:val="0028769C"/>
    <w:rsid w:val="00287CFD"/>
    <w:rsid w:val="00287E38"/>
    <w:rsid w:val="00287E6E"/>
    <w:rsid w:val="00290075"/>
    <w:rsid w:val="0029008E"/>
    <w:rsid w:val="0029041B"/>
    <w:rsid w:val="002906C9"/>
    <w:rsid w:val="00290973"/>
    <w:rsid w:val="00291074"/>
    <w:rsid w:val="00291318"/>
    <w:rsid w:val="00291B16"/>
    <w:rsid w:val="00292168"/>
    <w:rsid w:val="00292D57"/>
    <w:rsid w:val="00293D8C"/>
    <w:rsid w:val="002943A8"/>
    <w:rsid w:val="00294449"/>
    <w:rsid w:val="002945A7"/>
    <w:rsid w:val="00294C41"/>
    <w:rsid w:val="002954D7"/>
    <w:rsid w:val="0029598C"/>
    <w:rsid w:val="00296109"/>
    <w:rsid w:val="0029624D"/>
    <w:rsid w:val="002967E1"/>
    <w:rsid w:val="002969A1"/>
    <w:rsid w:val="00296C95"/>
    <w:rsid w:val="00296E53"/>
    <w:rsid w:val="0029749C"/>
    <w:rsid w:val="002975D8"/>
    <w:rsid w:val="002A06B2"/>
    <w:rsid w:val="002A0DC3"/>
    <w:rsid w:val="002A1DE5"/>
    <w:rsid w:val="002A2040"/>
    <w:rsid w:val="002A2050"/>
    <w:rsid w:val="002A2730"/>
    <w:rsid w:val="002A2E97"/>
    <w:rsid w:val="002A2FF2"/>
    <w:rsid w:val="002A33D0"/>
    <w:rsid w:val="002A3825"/>
    <w:rsid w:val="002A3A10"/>
    <w:rsid w:val="002A3B01"/>
    <w:rsid w:val="002A3FBC"/>
    <w:rsid w:val="002A4787"/>
    <w:rsid w:val="002A47D3"/>
    <w:rsid w:val="002A4A95"/>
    <w:rsid w:val="002A5528"/>
    <w:rsid w:val="002A575E"/>
    <w:rsid w:val="002A5CF8"/>
    <w:rsid w:val="002A607D"/>
    <w:rsid w:val="002A61BC"/>
    <w:rsid w:val="002A6213"/>
    <w:rsid w:val="002A6725"/>
    <w:rsid w:val="002A69C8"/>
    <w:rsid w:val="002A6A5D"/>
    <w:rsid w:val="002A6B37"/>
    <w:rsid w:val="002A70D3"/>
    <w:rsid w:val="002A740A"/>
    <w:rsid w:val="002A777C"/>
    <w:rsid w:val="002A7D7E"/>
    <w:rsid w:val="002A7EEA"/>
    <w:rsid w:val="002B035B"/>
    <w:rsid w:val="002B09C6"/>
    <w:rsid w:val="002B0E3E"/>
    <w:rsid w:val="002B0F4D"/>
    <w:rsid w:val="002B13C8"/>
    <w:rsid w:val="002B1D4E"/>
    <w:rsid w:val="002B21D7"/>
    <w:rsid w:val="002B24AE"/>
    <w:rsid w:val="002B2C11"/>
    <w:rsid w:val="002B2C88"/>
    <w:rsid w:val="002B3365"/>
    <w:rsid w:val="002B36AC"/>
    <w:rsid w:val="002B383E"/>
    <w:rsid w:val="002B3C3B"/>
    <w:rsid w:val="002B44E4"/>
    <w:rsid w:val="002B4A7F"/>
    <w:rsid w:val="002B4FC3"/>
    <w:rsid w:val="002B5156"/>
    <w:rsid w:val="002B548F"/>
    <w:rsid w:val="002B551A"/>
    <w:rsid w:val="002B629C"/>
    <w:rsid w:val="002B70CB"/>
    <w:rsid w:val="002B70D5"/>
    <w:rsid w:val="002B72CD"/>
    <w:rsid w:val="002B7E31"/>
    <w:rsid w:val="002C0B0A"/>
    <w:rsid w:val="002C0F78"/>
    <w:rsid w:val="002C15EA"/>
    <w:rsid w:val="002C15F6"/>
    <w:rsid w:val="002C2062"/>
    <w:rsid w:val="002C2141"/>
    <w:rsid w:val="002C34F0"/>
    <w:rsid w:val="002C37C6"/>
    <w:rsid w:val="002C481B"/>
    <w:rsid w:val="002C5399"/>
    <w:rsid w:val="002C55D5"/>
    <w:rsid w:val="002C59E3"/>
    <w:rsid w:val="002C5E03"/>
    <w:rsid w:val="002C6F6F"/>
    <w:rsid w:val="002C708D"/>
    <w:rsid w:val="002C7385"/>
    <w:rsid w:val="002C7B78"/>
    <w:rsid w:val="002C7F4F"/>
    <w:rsid w:val="002D0786"/>
    <w:rsid w:val="002D0BD1"/>
    <w:rsid w:val="002D12FE"/>
    <w:rsid w:val="002D1715"/>
    <w:rsid w:val="002D1CBE"/>
    <w:rsid w:val="002D2B34"/>
    <w:rsid w:val="002D2BE5"/>
    <w:rsid w:val="002D2D20"/>
    <w:rsid w:val="002D2E17"/>
    <w:rsid w:val="002D30D2"/>
    <w:rsid w:val="002D3316"/>
    <w:rsid w:val="002D3887"/>
    <w:rsid w:val="002D38CD"/>
    <w:rsid w:val="002D3A4E"/>
    <w:rsid w:val="002D3AC4"/>
    <w:rsid w:val="002D3AEC"/>
    <w:rsid w:val="002D4462"/>
    <w:rsid w:val="002D4B6C"/>
    <w:rsid w:val="002D5030"/>
    <w:rsid w:val="002D53F8"/>
    <w:rsid w:val="002D5CD2"/>
    <w:rsid w:val="002D5DCF"/>
    <w:rsid w:val="002D5F43"/>
    <w:rsid w:val="002D60C9"/>
    <w:rsid w:val="002D6114"/>
    <w:rsid w:val="002D625C"/>
    <w:rsid w:val="002D704C"/>
    <w:rsid w:val="002D7571"/>
    <w:rsid w:val="002D797E"/>
    <w:rsid w:val="002E05AA"/>
    <w:rsid w:val="002E05DA"/>
    <w:rsid w:val="002E06BE"/>
    <w:rsid w:val="002E09ED"/>
    <w:rsid w:val="002E0DC0"/>
    <w:rsid w:val="002E14B1"/>
    <w:rsid w:val="002E1592"/>
    <w:rsid w:val="002E1DA3"/>
    <w:rsid w:val="002E27DA"/>
    <w:rsid w:val="002E2AD3"/>
    <w:rsid w:val="002E2BA5"/>
    <w:rsid w:val="002E3505"/>
    <w:rsid w:val="002E4AA4"/>
    <w:rsid w:val="002E4D71"/>
    <w:rsid w:val="002E4DA1"/>
    <w:rsid w:val="002E5BBD"/>
    <w:rsid w:val="002E612C"/>
    <w:rsid w:val="002E69D5"/>
    <w:rsid w:val="002E6DBA"/>
    <w:rsid w:val="002E7043"/>
    <w:rsid w:val="002E7081"/>
    <w:rsid w:val="002E7472"/>
    <w:rsid w:val="002E7748"/>
    <w:rsid w:val="002E7AF4"/>
    <w:rsid w:val="002E7FF3"/>
    <w:rsid w:val="002F0062"/>
    <w:rsid w:val="002F0907"/>
    <w:rsid w:val="002F0E79"/>
    <w:rsid w:val="002F1217"/>
    <w:rsid w:val="002F15B3"/>
    <w:rsid w:val="002F2928"/>
    <w:rsid w:val="002F2AD3"/>
    <w:rsid w:val="002F2E89"/>
    <w:rsid w:val="002F3295"/>
    <w:rsid w:val="002F344E"/>
    <w:rsid w:val="002F3641"/>
    <w:rsid w:val="002F3655"/>
    <w:rsid w:val="002F36CD"/>
    <w:rsid w:val="002F3A0F"/>
    <w:rsid w:val="002F3DF1"/>
    <w:rsid w:val="002F5416"/>
    <w:rsid w:val="002F5D72"/>
    <w:rsid w:val="002F6128"/>
    <w:rsid w:val="002F66E5"/>
    <w:rsid w:val="002F67BD"/>
    <w:rsid w:val="002F6B4C"/>
    <w:rsid w:val="002F6ED3"/>
    <w:rsid w:val="002F72EE"/>
    <w:rsid w:val="002F7C2B"/>
    <w:rsid w:val="0030053C"/>
    <w:rsid w:val="003015C4"/>
    <w:rsid w:val="003018C5"/>
    <w:rsid w:val="003018D4"/>
    <w:rsid w:val="00301F0C"/>
    <w:rsid w:val="00301FDA"/>
    <w:rsid w:val="003022B8"/>
    <w:rsid w:val="003028A1"/>
    <w:rsid w:val="003029A5"/>
    <w:rsid w:val="00302A44"/>
    <w:rsid w:val="0030359D"/>
    <w:rsid w:val="003036AF"/>
    <w:rsid w:val="00303CBE"/>
    <w:rsid w:val="003040F8"/>
    <w:rsid w:val="0030444D"/>
    <w:rsid w:val="00304AE9"/>
    <w:rsid w:val="00304B7B"/>
    <w:rsid w:val="00305295"/>
    <w:rsid w:val="003055E4"/>
    <w:rsid w:val="00305985"/>
    <w:rsid w:val="00305E88"/>
    <w:rsid w:val="00305FD7"/>
    <w:rsid w:val="0030668B"/>
    <w:rsid w:val="00306962"/>
    <w:rsid w:val="003069EF"/>
    <w:rsid w:val="00306DDE"/>
    <w:rsid w:val="00307323"/>
    <w:rsid w:val="003073AF"/>
    <w:rsid w:val="00307858"/>
    <w:rsid w:val="00310251"/>
    <w:rsid w:val="00310596"/>
    <w:rsid w:val="0031135D"/>
    <w:rsid w:val="00311A58"/>
    <w:rsid w:val="00311C9F"/>
    <w:rsid w:val="00311D47"/>
    <w:rsid w:val="00312042"/>
    <w:rsid w:val="003120B6"/>
    <w:rsid w:val="003128CD"/>
    <w:rsid w:val="00312E68"/>
    <w:rsid w:val="0031360D"/>
    <w:rsid w:val="003149A2"/>
    <w:rsid w:val="00314BEF"/>
    <w:rsid w:val="00314EA5"/>
    <w:rsid w:val="00314F3F"/>
    <w:rsid w:val="0031576C"/>
    <w:rsid w:val="00315C36"/>
    <w:rsid w:val="00316015"/>
    <w:rsid w:val="003165D1"/>
    <w:rsid w:val="0031667F"/>
    <w:rsid w:val="00316762"/>
    <w:rsid w:val="003167FE"/>
    <w:rsid w:val="003169D4"/>
    <w:rsid w:val="00316F82"/>
    <w:rsid w:val="00317157"/>
    <w:rsid w:val="00317605"/>
    <w:rsid w:val="0031763E"/>
    <w:rsid w:val="00317772"/>
    <w:rsid w:val="00317B68"/>
    <w:rsid w:val="00317CDD"/>
    <w:rsid w:val="00320580"/>
    <w:rsid w:val="00321C51"/>
    <w:rsid w:val="00321D32"/>
    <w:rsid w:val="00322543"/>
    <w:rsid w:val="00322818"/>
    <w:rsid w:val="003229B0"/>
    <w:rsid w:val="0032347E"/>
    <w:rsid w:val="00323937"/>
    <w:rsid w:val="00323D91"/>
    <w:rsid w:val="00323EA8"/>
    <w:rsid w:val="00324534"/>
    <w:rsid w:val="003252DA"/>
    <w:rsid w:val="00325817"/>
    <w:rsid w:val="00325853"/>
    <w:rsid w:val="00325942"/>
    <w:rsid w:val="003265F8"/>
    <w:rsid w:val="00326AA2"/>
    <w:rsid w:val="00327281"/>
    <w:rsid w:val="003275A1"/>
    <w:rsid w:val="00327A42"/>
    <w:rsid w:val="00330EBD"/>
    <w:rsid w:val="00331863"/>
    <w:rsid w:val="003319CF"/>
    <w:rsid w:val="00331C0A"/>
    <w:rsid w:val="00332130"/>
    <w:rsid w:val="00332A36"/>
    <w:rsid w:val="00333299"/>
    <w:rsid w:val="0033411A"/>
    <w:rsid w:val="00334496"/>
    <w:rsid w:val="003345C3"/>
    <w:rsid w:val="003348F5"/>
    <w:rsid w:val="00334962"/>
    <w:rsid w:val="00334CC9"/>
    <w:rsid w:val="003350A2"/>
    <w:rsid w:val="0033515C"/>
    <w:rsid w:val="0033534C"/>
    <w:rsid w:val="003353B7"/>
    <w:rsid w:val="00335E61"/>
    <w:rsid w:val="003364C2"/>
    <w:rsid w:val="00336850"/>
    <w:rsid w:val="00336900"/>
    <w:rsid w:val="0033698A"/>
    <w:rsid w:val="00337C98"/>
    <w:rsid w:val="00337CB8"/>
    <w:rsid w:val="00337F45"/>
    <w:rsid w:val="0034008E"/>
    <w:rsid w:val="0034018C"/>
    <w:rsid w:val="00340F5B"/>
    <w:rsid w:val="00341A1C"/>
    <w:rsid w:val="00341BD0"/>
    <w:rsid w:val="0034224F"/>
    <w:rsid w:val="00342F24"/>
    <w:rsid w:val="00343542"/>
    <w:rsid w:val="003437CB"/>
    <w:rsid w:val="003446EB"/>
    <w:rsid w:val="0034483D"/>
    <w:rsid w:val="0034487F"/>
    <w:rsid w:val="003453C7"/>
    <w:rsid w:val="003460EE"/>
    <w:rsid w:val="003463AC"/>
    <w:rsid w:val="003466A8"/>
    <w:rsid w:val="00346799"/>
    <w:rsid w:val="0034691C"/>
    <w:rsid w:val="00347176"/>
    <w:rsid w:val="0034767E"/>
    <w:rsid w:val="00347C3C"/>
    <w:rsid w:val="00350840"/>
    <w:rsid w:val="0035115E"/>
    <w:rsid w:val="003511B6"/>
    <w:rsid w:val="00351510"/>
    <w:rsid w:val="00351905"/>
    <w:rsid w:val="00351CB9"/>
    <w:rsid w:val="0035267E"/>
    <w:rsid w:val="00352725"/>
    <w:rsid w:val="00352992"/>
    <w:rsid w:val="00352D43"/>
    <w:rsid w:val="00353142"/>
    <w:rsid w:val="003532FC"/>
    <w:rsid w:val="00353D09"/>
    <w:rsid w:val="00353F6A"/>
    <w:rsid w:val="00354C45"/>
    <w:rsid w:val="0035509B"/>
    <w:rsid w:val="003556C1"/>
    <w:rsid w:val="00355B39"/>
    <w:rsid w:val="003564C5"/>
    <w:rsid w:val="0035665C"/>
    <w:rsid w:val="00356896"/>
    <w:rsid w:val="00357000"/>
    <w:rsid w:val="003575F3"/>
    <w:rsid w:val="003576FB"/>
    <w:rsid w:val="0035782E"/>
    <w:rsid w:val="00357E0C"/>
    <w:rsid w:val="00357E1C"/>
    <w:rsid w:val="003605AE"/>
    <w:rsid w:val="00361561"/>
    <w:rsid w:val="00361920"/>
    <w:rsid w:val="0036195F"/>
    <w:rsid w:val="00361B6A"/>
    <w:rsid w:val="0036229C"/>
    <w:rsid w:val="003625EA"/>
    <w:rsid w:val="003626DF"/>
    <w:rsid w:val="00362720"/>
    <w:rsid w:val="00362B20"/>
    <w:rsid w:val="0036309D"/>
    <w:rsid w:val="00363889"/>
    <w:rsid w:val="00364DEA"/>
    <w:rsid w:val="00365183"/>
    <w:rsid w:val="00365597"/>
    <w:rsid w:val="00365B93"/>
    <w:rsid w:val="00365C0A"/>
    <w:rsid w:val="00365D05"/>
    <w:rsid w:val="003662A9"/>
    <w:rsid w:val="00366D38"/>
    <w:rsid w:val="00367481"/>
    <w:rsid w:val="003675DE"/>
    <w:rsid w:val="003678D0"/>
    <w:rsid w:val="003700C7"/>
    <w:rsid w:val="003704AF"/>
    <w:rsid w:val="00370A5D"/>
    <w:rsid w:val="00370C88"/>
    <w:rsid w:val="00370D52"/>
    <w:rsid w:val="00370E6E"/>
    <w:rsid w:val="00370E9F"/>
    <w:rsid w:val="00371325"/>
    <w:rsid w:val="00371374"/>
    <w:rsid w:val="003718F2"/>
    <w:rsid w:val="00371C92"/>
    <w:rsid w:val="00371D9D"/>
    <w:rsid w:val="00371DD2"/>
    <w:rsid w:val="00371F07"/>
    <w:rsid w:val="00371FA0"/>
    <w:rsid w:val="00371FC4"/>
    <w:rsid w:val="00372C8F"/>
    <w:rsid w:val="00372F7B"/>
    <w:rsid w:val="003730B3"/>
    <w:rsid w:val="00373A3D"/>
    <w:rsid w:val="00373F4B"/>
    <w:rsid w:val="0037402C"/>
    <w:rsid w:val="0037472F"/>
    <w:rsid w:val="00374B48"/>
    <w:rsid w:val="00374BCB"/>
    <w:rsid w:val="00374D7E"/>
    <w:rsid w:val="00375293"/>
    <w:rsid w:val="003755B1"/>
    <w:rsid w:val="00375AB1"/>
    <w:rsid w:val="00375E44"/>
    <w:rsid w:val="003763E3"/>
    <w:rsid w:val="0037703C"/>
    <w:rsid w:val="003772AF"/>
    <w:rsid w:val="00377D82"/>
    <w:rsid w:val="00380204"/>
    <w:rsid w:val="00380284"/>
    <w:rsid w:val="00381433"/>
    <w:rsid w:val="003814FF"/>
    <w:rsid w:val="00381675"/>
    <w:rsid w:val="0038175E"/>
    <w:rsid w:val="00381AA2"/>
    <w:rsid w:val="00381B7F"/>
    <w:rsid w:val="00381E5D"/>
    <w:rsid w:val="00382213"/>
    <w:rsid w:val="00382339"/>
    <w:rsid w:val="0038327E"/>
    <w:rsid w:val="00383393"/>
    <w:rsid w:val="00383F4C"/>
    <w:rsid w:val="00383F8A"/>
    <w:rsid w:val="00383FCD"/>
    <w:rsid w:val="0038557B"/>
    <w:rsid w:val="003855D5"/>
    <w:rsid w:val="0038614F"/>
    <w:rsid w:val="0038626F"/>
    <w:rsid w:val="00386984"/>
    <w:rsid w:val="003869C2"/>
    <w:rsid w:val="003869DC"/>
    <w:rsid w:val="00386A78"/>
    <w:rsid w:val="00386B80"/>
    <w:rsid w:val="00386EAC"/>
    <w:rsid w:val="00386F6C"/>
    <w:rsid w:val="00391344"/>
    <w:rsid w:val="00391FD0"/>
    <w:rsid w:val="0039279C"/>
    <w:rsid w:val="00392B6E"/>
    <w:rsid w:val="00392F76"/>
    <w:rsid w:val="003933FD"/>
    <w:rsid w:val="00393AD2"/>
    <w:rsid w:val="00393BA1"/>
    <w:rsid w:val="00393FA9"/>
    <w:rsid w:val="0039417B"/>
    <w:rsid w:val="00394B1C"/>
    <w:rsid w:val="00394B7B"/>
    <w:rsid w:val="00395A1F"/>
    <w:rsid w:val="00395B47"/>
    <w:rsid w:val="003962F2"/>
    <w:rsid w:val="0039699B"/>
    <w:rsid w:val="00396A28"/>
    <w:rsid w:val="00396AE2"/>
    <w:rsid w:val="00396DE2"/>
    <w:rsid w:val="0039763F"/>
    <w:rsid w:val="00397FA5"/>
    <w:rsid w:val="003A0610"/>
    <w:rsid w:val="003A0986"/>
    <w:rsid w:val="003A0B62"/>
    <w:rsid w:val="003A0E4F"/>
    <w:rsid w:val="003A133D"/>
    <w:rsid w:val="003A19D5"/>
    <w:rsid w:val="003A2134"/>
    <w:rsid w:val="003A2538"/>
    <w:rsid w:val="003A2AE5"/>
    <w:rsid w:val="003A30D8"/>
    <w:rsid w:val="003A322D"/>
    <w:rsid w:val="003A3CEE"/>
    <w:rsid w:val="003A3FA0"/>
    <w:rsid w:val="003A4FEB"/>
    <w:rsid w:val="003A51CE"/>
    <w:rsid w:val="003A5AF2"/>
    <w:rsid w:val="003A5D04"/>
    <w:rsid w:val="003A5DC7"/>
    <w:rsid w:val="003A69CA"/>
    <w:rsid w:val="003A6BC3"/>
    <w:rsid w:val="003A75EB"/>
    <w:rsid w:val="003A7838"/>
    <w:rsid w:val="003A7E33"/>
    <w:rsid w:val="003B0582"/>
    <w:rsid w:val="003B0877"/>
    <w:rsid w:val="003B129A"/>
    <w:rsid w:val="003B192E"/>
    <w:rsid w:val="003B2159"/>
    <w:rsid w:val="003B2AB3"/>
    <w:rsid w:val="003B2D8F"/>
    <w:rsid w:val="003B319B"/>
    <w:rsid w:val="003B3D60"/>
    <w:rsid w:val="003B488E"/>
    <w:rsid w:val="003B48BF"/>
    <w:rsid w:val="003B4C84"/>
    <w:rsid w:val="003B550C"/>
    <w:rsid w:val="003B5B61"/>
    <w:rsid w:val="003B60A1"/>
    <w:rsid w:val="003B62C4"/>
    <w:rsid w:val="003B63B4"/>
    <w:rsid w:val="003B6501"/>
    <w:rsid w:val="003B652E"/>
    <w:rsid w:val="003B6941"/>
    <w:rsid w:val="003B7080"/>
    <w:rsid w:val="003B72E6"/>
    <w:rsid w:val="003B7925"/>
    <w:rsid w:val="003B7C4A"/>
    <w:rsid w:val="003C0026"/>
    <w:rsid w:val="003C075B"/>
    <w:rsid w:val="003C08B7"/>
    <w:rsid w:val="003C0B99"/>
    <w:rsid w:val="003C1445"/>
    <w:rsid w:val="003C1619"/>
    <w:rsid w:val="003C242D"/>
    <w:rsid w:val="003C2CBE"/>
    <w:rsid w:val="003C2D38"/>
    <w:rsid w:val="003C3FDA"/>
    <w:rsid w:val="003C53C4"/>
    <w:rsid w:val="003C5640"/>
    <w:rsid w:val="003C569F"/>
    <w:rsid w:val="003C5E5A"/>
    <w:rsid w:val="003C6502"/>
    <w:rsid w:val="003C6D25"/>
    <w:rsid w:val="003C6EDE"/>
    <w:rsid w:val="003C73FB"/>
    <w:rsid w:val="003C7487"/>
    <w:rsid w:val="003C7A07"/>
    <w:rsid w:val="003C7C14"/>
    <w:rsid w:val="003C7D78"/>
    <w:rsid w:val="003D021C"/>
    <w:rsid w:val="003D0350"/>
    <w:rsid w:val="003D039E"/>
    <w:rsid w:val="003D10D7"/>
    <w:rsid w:val="003D1229"/>
    <w:rsid w:val="003D17B3"/>
    <w:rsid w:val="003D1911"/>
    <w:rsid w:val="003D1F99"/>
    <w:rsid w:val="003D2608"/>
    <w:rsid w:val="003D31F6"/>
    <w:rsid w:val="003D33F2"/>
    <w:rsid w:val="003D3CBF"/>
    <w:rsid w:val="003D3CFE"/>
    <w:rsid w:val="003D3E47"/>
    <w:rsid w:val="003D4184"/>
    <w:rsid w:val="003D4307"/>
    <w:rsid w:val="003D462C"/>
    <w:rsid w:val="003D4647"/>
    <w:rsid w:val="003D471D"/>
    <w:rsid w:val="003D5717"/>
    <w:rsid w:val="003D57E4"/>
    <w:rsid w:val="003D5FD8"/>
    <w:rsid w:val="003D6000"/>
    <w:rsid w:val="003D63F3"/>
    <w:rsid w:val="003D6645"/>
    <w:rsid w:val="003D75EA"/>
    <w:rsid w:val="003E03B8"/>
    <w:rsid w:val="003E043B"/>
    <w:rsid w:val="003E0D4E"/>
    <w:rsid w:val="003E1639"/>
    <w:rsid w:val="003E1B2F"/>
    <w:rsid w:val="003E1DAD"/>
    <w:rsid w:val="003E1E20"/>
    <w:rsid w:val="003E2736"/>
    <w:rsid w:val="003E2CA6"/>
    <w:rsid w:val="003E3497"/>
    <w:rsid w:val="003E3620"/>
    <w:rsid w:val="003E3E39"/>
    <w:rsid w:val="003E5239"/>
    <w:rsid w:val="003E5293"/>
    <w:rsid w:val="003E54FB"/>
    <w:rsid w:val="003E5BBE"/>
    <w:rsid w:val="003E5C24"/>
    <w:rsid w:val="003E6003"/>
    <w:rsid w:val="003E62E2"/>
    <w:rsid w:val="003E6520"/>
    <w:rsid w:val="003E67C6"/>
    <w:rsid w:val="003E68F2"/>
    <w:rsid w:val="003E70CE"/>
    <w:rsid w:val="003F0015"/>
    <w:rsid w:val="003F02D5"/>
    <w:rsid w:val="003F068E"/>
    <w:rsid w:val="003F119D"/>
    <w:rsid w:val="003F12D7"/>
    <w:rsid w:val="003F1400"/>
    <w:rsid w:val="003F17C4"/>
    <w:rsid w:val="003F2341"/>
    <w:rsid w:val="003F23FD"/>
    <w:rsid w:val="003F321D"/>
    <w:rsid w:val="003F38D0"/>
    <w:rsid w:val="003F38ED"/>
    <w:rsid w:val="003F3BAB"/>
    <w:rsid w:val="003F3CF4"/>
    <w:rsid w:val="003F4035"/>
    <w:rsid w:val="003F42FB"/>
    <w:rsid w:val="003F4603"/>
    <w:rsid w:val="003F46C8"/>
    <w:rsid w:val="003F4D43"/>
    <w:rsid w:val="003F6178"/>
    <w:rsid w:val="003F67B5"/>
    <w:rsid w:val="003F7285"/>
    <w:rsid w:val="003F735E"/>
    <w:rsid w:val="003F793F"/>
    <w:rsid w:val="003F7B39"/>
    <w:rsid w:val="0040064D"/>
    <w:rsid w:val="004009C4"/>
    <w:rsid w:val="00400D30"/>
    <w:rsid w:val="00400E4A"/>
    <w:rsid w:val="00400F45"/>
    <w:rsid w:val="00401335"/>
    <w:rsid w:val="004016C3"/>
    <w:rsid w:val="004017D3"/>
    <w:rsid w:val="00401CF8"/>
    <w:rsid w:val="0040230A"/>
    <w:rsid w:val="004023E9"/>
    <w:rsid w:val="00402443"/>
    <w:rsid w:val="00402A51"/>
    <w:rsid w:val="00402B7F"/>
    <w:rsid w:val="00402D6F"/>
    <w:rsid w:val="00403CBA"/>
    <w:rsid w:val="004044B4"/>
    <w:rsid w:val="004047D9"/>
    <w:rsid w:val="00404852"/>
    <w:rsid w:val="00404A28"/>
    <w:rsid w:val="00405425"/>
    <w:rsid w:val="004056A6"/>
    <w:rsid w:val="00405D92"/>
    <w:rsid w:val="00405D96"/>
    <w:rsid w:val="00406352"/>
    <w:rsid w:val="004078A5"/>
    <w:rsid w:val="00407DF5"/>
    <w:rsid w:val="00407E55"/>
    <w:rsid w:val="00407F4E"/>
    <w:rsid w:val="00410030"/>
    <w:rsid w:val="004107FB"/>
    <w:rsid w:val="00410907"/>
    <w:rsid w:val="00410B38"/>
    <w:rsid w:val="004117AA"/>
    <w:rsid w:val="00411B8C"/>
    <w:rsid w:val="0041205B"/>
    <w:rsid w:val="00412090"/>
    <w:rsid w:val="004126AB"/>
    <w:rsid w:val="00412993"/>
    <w:rsid w:val="00412CC0"/>
    <w:rsid w:val="004131E7"/>
    <w:rsid w:val="004132B5"/>
    <w:rsid w:val="00413468"/>
    <w:rsid w:val="00413FA4"/>
    <w:rsid w:val="00414151"/>
    <w:rsid w:val="00414A1B"/>
    <w:rsid w:val="00415559"/>
    <w:rsid w:val="0041578D"/>
    <w:rsid w:val="004157D6"/>
    <w:rsid w:val="004158B7"/>
    <w:rsid w:val="0041603D"/>
    <w:rsid w:val="0041737A"/>
    <w:rsid w:val="0041791C"/>
    <w:rsid w:val="004179DB"/>
    <w:rsid w:val="00417E31"/>
    <w:rsid w:val="00420191"/>
    <w:rsid w:val="00420320"/>
    <w:rsid w:val="00420351"/>
    <w:rsid w:val="00421109"/>
    <w:rsid w:val="004212CF"/>
    <w:rsid w:val="00421356"/>
    <w:rsid w:val="00421478"/>
    <w:rsid w:val="004215AB"/>
    <w:rsid w:val="0042216C"/>
    <w:rsid w:val="004227EC"/>
    <w:rsid w:val="00422BDC"/>
    <w:rsid w:val="004231B9"/>
    <w:rsid w:val="004231BB"/>
    <w:rsid w:val="00423255"/>
    <w:rsid w:val="00423666"/>
    <w:rsid w:val="00423938"/>
    <w:rsid w:val="00423A1D"/>
    <w:rsid w:val="00423B2F"/>
    <w:rsid w:val="00423C2E"/>
    <w:rsid w:val="004242CA"/>
    <w:rsid w:val="004244F0"/>
    <w:rsid w:val="004245A9"/>
    <w:rsid w:val="00424C2D"/>
    <w:rsid w:val="0042522F"/>
    <w:rsid w:val="00425852"/>
    <w:rsid w:val="004258D8"/>
    <w:rsid w:val="00425C02"/>
    <w:rsid w:val="004266B9"/>
    <w:rsid w:val="00426FF6"/>
    <w:rsid w:val="004277BD"/>
    <w:rsid w:val="00427964"/>
    <w:rsid w:val="00427998"/>
    <w:rsid w:val="00430420"/>
    <w:rsid w:val="004307C5"/>
    <w:rsid w:val="00430CA3"/>
    <w:rsid w:val="004314F1"/>
    <w:rsid w:val="004314FB"/>
    <w:rsid w:val="00431CA5"/>
    <w:rsid w:val="00431D67"/>
    <w:rsid w:val="00431FE7"/>
    <w:rsid w:val="00432A69"/>
    <w:rsid w:val="00434711"/>
    <w:rsid w:val="00434A20"/>
    <w:rsid w:val="00434F8E"/>
    <w:rsid w:val="004350A5"/>
    <w:rsid w:val="00435CB3"/>
    <w:rsid w:val="00435D24"/>
    <w:rsid w:val="00436183"/>
    <w:rsid w:val="00436DC1"/>
    <w:rsid w:val="0043742F"/>
    <w:rsid w:val="00437EA5"/>
    <w:rsid w:val="00437EAF"/>
    <w:rsid w:val="00440800"/>
    <w:rsid w:val="00440959"/>
    <w:rsid w:val="00440D4B"/>
    <w:rsid w:val="0044129B"/>
    <w:rsid w:val="0044145A"/>
    <w:rsid w:val="00441730"/>
    <w:rsid w:val="00441A22"/>
    <w:rsid w:val="00441EEF"/>
    <w:rsid w:val="00441F66"/>
    <w:rsid w:val="0044217D"/>
    <w:rsid w:val="00442809"/>
    <w:rsid w:val="0044296F"/>
    <w:rsid w:val="00442B0E"/>
    <w:rsid w:val="00442FF8"/>
    <w:rsid w:val="004433A7"/>
    <w:rsid w:val="00444D28"/>
    <w:rsid w:val="00444F3F"/>
    <w:rsid w:val="00444FBA"/>
    <w:rsid w:val="0044509B"/>
    <w:rsid w:val="004451B2"/>
    <w:rsid w:val="004453BA"/>
    <w:rsid w:val="00445540"/>
    <w:rsid w:val="00445BB8"/>
    <w:rsid w:val="00445EC7"/>
    <w:rsid w:val="00445F28"/>
    <w:rsid w:val="00447323"/>
    <w:rsid w:val="0044776E"/>
    <w:rsid w:val="0045059A"/>
    <w:rsid w:val="00450680"/>
    <w:rsid w:val="00450C04"/>
    <w:rsid w:val="0045173F"/>
    <w:rsid w:val="0045223B"/>
    <w:rsid w:val="00452964"/>
    <w:rsid w:val="0045389A"/>
    <w:rsid w:val="00453C4F"/>
    <w:rsid w:val="0045491B"/>
    <w:rsid w:val="00454DFA"/>
    <w:rsid w:val="0045500C"/>
    <w:rsid w:val="004550E2"/>
    <w:rsid w:val="00455E6E"/>
    <w:rsid w:val="00455F6C"/>
    <w:rsid w:val="004568BF"/>
    <w:rsid w:val="00456C94"/>
    <w:rsid w:val="00457183"/>
    <w:rsid w:val="0045771B"/>
    <w:rsid w:val="00457793"/>
    <w:rsid w:val="00460BCB"/>
    <w:rsid w:val="00460EC4"/>
    <w:rsid w:val="00461009"/>
    <w:rsid w:val="004613DB"/>
    <w:rsid w:val="004615B7"/>
    <w:rsid w:val="00461661"/>
    <w:rsid w:val="00461720"/>
    <w:rsid w:val="00461829"/>
    <w:rsid w:val="004634D7"/>
    <w:rsid w:val="00463D25"/>
    <w:rsid w:val="0046427A"/>
    <w:rsid w:val="0046467E"/>
    <w:rsid w:val="00464E12"/>
    <w:rsid w:val="00465183"/>
    <w:rsid w:val="004659BB"/>
    <w:rsid w:val="00465A8D"/>
    <w:rsid w:val="00465FA1"/>
    <w:rsid w:val="00465FF1"/>
    <w:rsid w:val="004660B9"/>
    <w:rsid w:val="00466ED1"/>
    <w:rsid w:val="004670B6"/>
    <w:rsid w:val="0046726A"/>
    <w:rsid w:val="0046735D"/>
    <w:rsid w:val="0047014B"/>
    <w:rsid w:val="004704B5"/>
    <w:rsid w:val="004706EA"/>
    <w:rsid w:val="00470838"/>
    <w:rsid w:val="00470B73"/>
    <w:rsid w:val="00471701"/>
    <w:rsid w:val="0047186B"/>
    <w:rsid w:val="0047206A"/>
    <w:rsid w:val="00472924"/>
    <w:rsid w:val="00473099"/>
    <w:rsid w:val="00473518"/>
    <w:rsid w:val="004736DE"/>
    <w:rsid w:val="00474240"/>
    <w:rsid w:val="0047493C"/>
    <w:rsid w:val="00474A6E"/>
    <w:rsid w:val="00474DDC"/>
    <w:rsid w:val="004765B0"/>
    <w:rsid w:val="00476CC7"/>
    <w:rsid w:val="0047766B"/>
    <w:rsid w:val="004778E6"/>
    <w:rsid w:val="0048031E"/>
    <w:rsid w:val="0048048E"/>
    <w:rsid w:val="004817F0"/>
    <w:rsid w:val="004818BD"/>
    <w:rsid w:val="00481C71"/>
    <w:rsid w:val="00482402"/>
    <w:rsid w:val="00482FC7"/>
    <w:rsid w:val="004838D4"/>
    <w:rsid w:val="00483A78"/>
    <w:rsid w:val="00483BC2"/>
    <w:rsid w:val="00483E03"/>
    <w:rsid w:val="004840F2"/>
    <w:rsid w:val="0048464C"/>
    <w:rsid w:val="00484A3F"/>
    <w:rsid w:val="00484BAC"/>
    <w:rsid w:val="00484BB7"/>
    <w:rsid w:val="0048554B"/>
    <w:rsid w:val="00485ADD"/>
    <w:rsid w:val="00485E6E"/>
    <w:rsid w:val="00485EA2"/>
    <w:rsid w:val="0048624C"/>
    <w:rsid w:val="004865C2"/>
    <w:rsid w:val="00486F82"/>
    <w:rsid w:val="004871C2"/>
    <w:rsid w:val="004871E7"/>
    <w:rsid w:val="0048745D"/>
    <w:rsid w:val="004877F8"/>
    <w:rsid w:val="00487E70"/>
    <w:rsid w:val="004903C2"/>
    <w:rsid w:val="004917C6"/>
    <w:rsid w:val="00491B16"/>
    <w:rsid w:val="00491E0C"/>
    <w:rsid w:val="00491F28"/>
    <w:rsid w:val="00491F82"/>
    <w:rsid w:val="004920C9"/>
    <w:rsid w:val="00492403"/>
    <w:rsid w:val="00492CC8"/>
    <w:rsid w:val="00492FAD"/>
    <w:rsid w:val="00493283"/>
    <w:rsid w:val="0049374D"/>
    <w:rsid w:val="004939A0"/>
    <w:rsid w:val="00493B0C"/>
    <w:rsid w:val="00493F80"/>
    <w:rsid w:val="00494D81"/>
    <w:rsid w:val="004956D1"/>
    <w:rsid w:val="0049578B"/>
    <w:rsid w:val="004958EF"/>
    <w:rsid w:val="00495D3C"/>
    <w:rsid w:val="00496D96"/>
    <w:rsid w:val="00497209"/>
    <w:rsid w:val="004974EF"/>
    <w:rsid w:val="004976CB"/>
    <w:rsid w:val="004A058F"/>
    <w:rsid w:val="004A0794"/>
    <w:rsid w:val="004A0E4D"/>
    <w:rsid w:val="004A1D7E"/>
    <w:rsid w:val="004A1E12"/>
    <w:rsid w:val="004A2DCC"/>
    <w:rsid w:val="004A3402"/>
    <w:rsid w:val="004A34DF"/>
    <w:rsid w:val="004A37DB"/>
    <w:rsid w:val="004A3B1F"/>
    <w:rsid w:val="004A3E5D"/>
    <w:rsid w:val="004A43CC"/>
    <w:rsid w:val="004A448E"/>
    <w:rsid w:val="004A4E73"/>
    <w:rsid w:val="004A585B"/>
    <w:rsid w:val="004A6561"/>
    <w:rsid w:val="004A69D7"/>
    <w:rsid w:val="004A6D3E"/>
    <w:rsid w:val="004A6F86"/>
    <w:rsid w:val="004A7662"/>
    <w:rsid w:val="004A7698"/>
    <w:rsid w:val="004A7A77"/>
    <w:rsid w:val="004A7B38"/>
    <w:rsid w:val="004B0298"/>
    <w:rsid w:val="004B0812"/>
    <w:rsid w:val="004B098B"/>
    <w:rsid w:val="004B0B70"/>
    <w:rsid w:val="004B0EEA"/>
    <w:rsid w:val="004B1053"/>
    <w:rsid w:val="004B21CE"/>
    <w:rsid w:val="004B3460"/>
    <w:rsid w:val="004B4506"/>
    <w:rsid w:val="004B47BE"/>
    <w:rsid w:val="004B4D08"/>
    <w:rsid w:val="004B4E9D"/>
    <w:rsid w:val="004B500A"/>
    <w:rsid w:val="004B594A"/>
    <w:rsid w:val="004B59C8"/>
    <w:rsid w:val="004B628B"/>
    <w:rsid w:val="004B6905"/>
    <w:rsid w:val="004B699C"/>
    <w:rsid w:val="004B6DD3"/>
    <w:rsid w:val="004B76C5"/>
    <w:rsid w:val="004C0113"/>
    <w:rsid w:val="004C0178"/>
    <w:rsid w:val="004C01BD"/>
    <w:rsid w:val="004C065F"/>
    <w:rsid w:val="004C07A2"/>
    <w:rsid w:val="004C0D98"/>
    <w:rsid w:val="004C0FD0"/>
    <w:rsid w:val="004C2495"/>
    <w:rsid w:val="004C250A"/>
    <w:rsid w:val="004C273E"/>
    <w:rsid w:val="004C29F1"/>
    <w:rsid w:val="004C2A3D"/>
    <w:rsid w:val="004C2C1D"/>
    <w:rsid w:val="004C2E53"/>
    <w:rsid w:val="004C32BF"/>
    <w:rsid w:val="004C3737"/>
    <w:rsid w:val="004C4471"/>
    <w:rsid w:val="004C450A"/>
    <w:rsid w:val="004C4583"/>
    <w:rsid w:val="004C4C0F"/>
    <w:rsid w:val="004C4E1C"/>
    <w:rsid w:val="004C4EC4"/>
    <w:rsid w:val="004C51CD"/>
    <w:rsid w:val="004C5C3B"/>
    <w:rsid w:val="004C67A4"/>
    <w:rsid w:val="004C6B8A"/>
    <w:rsid w:val="004C6F49"/>
    <w:rsid w:val="004C726D"/>
    <w:rsid w:val="004C7825"/>
    <w:rsid w:val="004D023A"/>
    <w:rsid w:val="004D0431"/>
    <w:rsid w:val="004D054A"/>
    <w:rsid w:val="004D07A9"/>
    <w:rsid w:val="004D07F2"/>
    <w:rsid w:val="004D0E8F"/>
    <w:rsid w:val="004D1F3D"/>
    <w:rsid w:val="004D2520"/>
    <w:rsid w:val="004D27CC"/>
    <w:rsid w:val="004D2EC3"/>
    <w:rsid w:val="004D352F"/>
    <w:rsid w:val="004D396D"/>
    <w:rsid w:val="004D3A8B"/>
    <w:rsid w:val="004D3B24"/>
    <w:rsid w:val="004D3E83"/>
    <w:rsid w:val="004D4658"/>
    <w:rsid w:val="004D4CBC"/>
    <w:rsid w:val="004D5134"/>
    <w:rsid w:val="004D51CC"/>
    <w:rsid w:val="004D59AC"/>
    <w:rsid w:val="004D5C38"/>
    <w:rsid w:val="004D61E8"/>
    <w:rsid w:val="004D6536"/>
    <w:rsid w:val="004D691C"/>
    <w:rsid w:val="004D6A92"/>
    <w:rsid w:val="004D7539"/>
    <w:rsid w:val="004D7727"/>
    <w:rsid w:val="004D78E9"/>
    <w:rsid w:val="004D7A3A"/>
    <w:rsid w:val="004D7E94"/>
    <w:rsid w:val="004E0513"/>
    <w:rsid w:val="004E0F69"/>
    <w:rsid w:val="004E13AA"/>
    <w:rsid w:val="004E1A3E"/>
    <w:rsid w:val="004E1A82"/>
    <w:rsid w:val="004E1DC1"/>
    <w:rsid w:val="004E27C4"/>
    <w:rsid w:val="004E2DAC"/>
    <w:rsid w:val="004E2E70"/>
    <w:rsid w:val="004E382C"/>
    <w:rsid w:val="004E3A78"/>
    <w:rsid w:val="004E3FC3"/>
    <w:rsid w:val="004E4051"/>
    <w:rsid w:val="004E46CC"/>
    <w:rsid w:val="004E49D4"/>
    <w:rsid w:val="004E4EB2"/>
    <w:rsid w:val="004E4F71"/>
    <w:rsid w:val="004E50B4"/>
    <w:rsid w:val="004E5159"/>
    <w:rsid w:val="004E5537"/>
    <w:rsid w:val="004E568A"/>
    <w:rsid w:val="004E57E1"/>
    <w:rsid w:val="004E58D9"/>
    <w:rsid w:val="004E6051"/>
    <w:rsid w:val="004E60B9"/>
    <w:rsid w:val="004E644C"/>
    <w:rsid w:val="004E65A9"/>
    <w:rsid w:val="004E68E0"/>
    <w:rsid w:val="004E69F7"/>
    <w:rsid w:val="004E6F68"/>
    <w:rsid w:val="004E7BD3"/>
    <w:rsid w:val="004E7C59"/>
    <w:rsid w:val="004F08D1"/>
    <w:rsid w:val="004F13D7"/>
    <w:rsid w:val="004F15BD"/>
    <w:rsid w:val="004F178C"/>
    <w:rsid w:val="004F1955"/>
    <w:rsid w:val="004F20C2"/>
    <w:rsid w:val="004F2A52"/>
    <w:rsid w:val="004F2DF4"/>
    <w:rsid w:val="004F31A7"/>
    <w:rsid w:val="004F370C"/>
    <w:rsid w:val="004F3A9B"/>
    <w:rsid w:val="004F3ADE"/>
    <w:rsid w:val="004F488F"/>
    <w:rsid w:val="004F4A19"/>
    <w:rsid w:val="004F535F"/>
    <w:rsid w:val="004F5AB0"/>
    <w:rsid w:val="004F624F"/>
    <w:rsid w:val="004F69FC"/>
    <w:rsid w:val="004F6A88"/>
    <w:rsid w:val="004F7035"/>
    <w:rsid w:val="004F7210"/>
    <w:rsid w:val="004F7A18"/>
    <w:rsid w:val="004F7C7E"/>
    <w:rsid w:val="004F7ECE"/>
    <w:rsid w:val="0050012C"/>
    <w:rsid w:val="00500FF0"/>
    <w:rsid w:val="005016C1"/>
    <w:rsid w:val="0050182A"/>
    <w:rsid w:val="00501861"/>
    <w:rsid w:val="00501BE7"/>
    <w:rsid w:val="00501D41"/>
    <w:rsid w:val="005026B7"/>
    <w:rsid w:val="005029E0"/>
    <w:rsid w:val="00502BED"/>
    <w:rsid w:val="00503084"/>
    <w:rsid w:val="00503278"/>
    <w:rsid w:val="005039A7"/>
    <w:rsid w:val="00503FD6"/>
    <w:rsid w:val="005045B4"/>
    <w:rsid w:val="005047C9"/>
    <w:rsid w:val="0050487D"/>
    <w:rsid w:val="00504BDB"/>
    <w:rsid w:val="005059CF"/>
    <w:rsid w:val="0050622E"/>
    <w:rsid w:val="005066F8"/>
    <w:rsid w:val="00506F54"/>
    <w:rsid w:val="00507D6E"/>
    <w:rsid w:val="00510781"/>
    <w:rsid w:val="005107E9"/>
    <w:rsid w:val="00510928"/>
    <w:rsid w:val="00510EEF"/>
    <w:rsid w:val="0051167B"/>
    <w:rsid w:val="005116BA"/>
    <w:rsid w:val="00511C2C"/>
    <w:rsid w:val="00512726"/>
    <w:rsid w:val="00513067"/>
    <w:rsid w:val="005133C8"/>
    <w:rsid w:val="005137F8"/>
    <w:rsid w:val="005138D5"/>
    <w:rsid w:val="00513CD4"/>
    <w:rsid w:val="00514062"/>
    <w:rsid w:val="0051423B"/>
    <w:rsid w:val="00514E11"/>
    <w:rsid w:val="005152F9"/>
    <w:rsid w:val="00515AA1"/>
    <w:rsid w:val="00515C76"/>
    <w:rsid w:val="00515DE6"/>
    <w:rsid w:val="00516A9C"/>
    <w:rsid w:val="00517DCC"/>
    <w:rsid w:val="00517E8F"/>
    <w:rsid w:val="005200CB"/>
    <w:rsid w:val="00520F9D"/>
    <w:rsid w:val="005223D0"/>
    <w:rsid w:val="0052250F"/>
    <w:rsid w:val="0052352E"/>
    <w:rsid w:val="00525097"/>
    <w:rsid w:val="00525539"/>
    <w:rsid w:val="005257E7"/>
    <w:rsid w:val="00526344"/>
    <w:rsid w:val="00526370"/>
    <w:rsid w:val="0052671F"/>
    <w:rsid w:val="0052713E"/>
    <w:rsid w:val="00527C6A"/>
    <w:rsid w:val="00530114"/>
    <w:rsid w:val="00530593"/>
    <w:rsid w:val="00530757"/>
    <w:rsid w:val="005317E8"/>
    <w:rsid w:val="00531B54"/>
    <w:rsid w:val="00532AC9"/>
    <w:rsid w:val="005331F2"/>
    <w:rsid w:val="00533299"/>
    <w:rsid w:val="005335E5"/>
    <w:rsid w:val="00533854"/>
    <w:rsid w:val="005340F6"/>
    <w:rsid w:val="0053481A"/>
    <w:rsid w:val="00534C12"/>
    <w:rsid w:val="005352A6"/>
    <w:rsid w:val="00535866"/>
    <w:rsid w:val="00535BDC"/>
    <w:rsid w:val="00535E04"/>
    <w:rsid w:val="0053627A"/>
    <w:rsid w:val="005367D4"/>
    <w:rsid w:val="005367E9"/>
    <w:rsid w:val="00536D96"/>
    <w:rsid w:val="0053746D"/>
    <w:rsid w:val="00537594"/>
    <w:rsid w:val="00537D09"/>
    <w:rsid w:val="00540764"/>
    <w:rsid w:val="005410D6"/>
    <w:rsid w:val="00541CA0"/>
    <w:rsid w:val="005423C0"/>
    <w:rsid w:val="00542E3B"/>
    <w:rsid w:val="0054330F"/>
    <w:rsid w:val="00543BD1"/>
    <w:rsid w:val="00543BF8"/>
    <w:rsid w:val="0054572C"/>
    <w:rsid w:val="00545832"/>
    <w:rsid w:val="00545D77"/>
    <w:rsid w:val="00546145"/>
    <w:rsid w:val="0054614E"/>
    <w:rsid w:val="00546277"/>
    <w:rsid w:val="005467E2"/>
    <w:rsid w:val="005468ED"/>
    <w:rsid w:val="00547FF2"/>
    <w:rsid w:val="005507FC"/>
    <w:rsid w:val="00551135"/>
    <w:rsid w:val="005516CF"/>
    <w:rsid w:val="00551A11"/>
    <w:rsid w:val="00551F65"/>
    <w:rsid w:val="00552918"/>
    <w:rsid w:val="00552B1F"/>
    <w:rsid w:val="005533A4"/>
    <w:rsid w:val="0055377A"/>
    <w:rsid w:val="00553BE0"/>
    <w:rsid w:val="00553D52"/>
    <w:rsid w:val="00554392"/>
    <w:rsid w:val="005543D2"/>
    <w:rsid w:val="0055470F"/>
    <w:rsid w:val="00554A34"/>
    <w:rsid w:val="00554CC9"/>
    <w:rsid w:val="0055540A"/>
    <w:rsid w:val="00555CB3"/>
    <w:rsid w:val="00555D21"/>
    <w:rsid w:val="00555FCD"/>
    <w:rsid w:val="0055650D"/>
    <w:rsid w:val="00556ABB"/>
    <w:rsid w:val="0055703F"/>
    <w:rsid w:val="005577F0"/>
    <w:rsid w:val="005600C4"/>
    <w:rsid w:val="00560CEF"/>
    <w:rsid w:val="0056136C"/>
    <w:rsid w:val="00561C81"/>
    <w:rsid w:val="0056285F"/>
    <w:rsid w:val="00562CD1"/>
    <w:rsid w:val="00562EEE"/>
    <w:rsid w:val="00563207"/>
    <w:rsid w:val="00563857"/>
    <w:rsid w:val="005654C4"/>
    <w:rsid w:val="00565781"/>
    <w:rsid w:val="00565A87"/>
    <w:rsid w:val="00565BA2"/>
    <w:rsid w:val="00565D8D"/>
    <w:rsid w:val="00566436"/>
    <w:rsid w:val="00566AA0"/>
    <w:rsid w:val="00567187"/>
    <w:rsid w:val="0057079C"/>
    <w:rsid w:val="005710CD"/>
    <w:rsid w:val="00571E62"/>
    <w:rsid w:val="00572ECB"/>
    <w:rsid w:val="00572FA5"/>
    <w:rsid w:val="00573A1E"/>
    <w:rsid w:val="00573D5A"/>
    <w:rsid w:val="005747C6"/>
    <w:rsid w:val="00574E16"/>
    <w:rsid w:val="00575034"/>
    <w:rsid w:val="0057583B"/>
    <w:rsid w:val="00575DE0"/>
    <w:rsid w:val="00576509"/>
    <w:rsid w:val="0058005B"/>
    <w:rsid w:val="005801BB"/>
    <w:rsid w:val="005807DA"/>
    <w:rsid w:val="00580B27"/>
    <w:rsid w:val="00580CBB"/>
    <w:rsid w:val="00580F51"/>
    <w:rsid w:val="005810EC"/>
    <w:rsid w:val="005823E5"/>
    <w:rsid w:val="00582B8E"/>
    <w:rsid w:val="005838A7"/>
    <w:rsid w:val="005838DC"/>
    <w:rsid w:val="00583B5C"/>
    <w:rsid w:val="00583F28"/>
    <w:rsid w:val="00584C84"/>
    <w:rsid w:val="00584CB4"/>
    <w:rsid w:val="005850AC"/>
    <w:rsid w:val="005853B3"/>
    <w:rsid w:val="00585446"/>
    <w:rsid w:val="00585E56"/>
    <w:rsid w:val="00586056"/>
    <w:rsid w:val="00586995"/>
    <w:rsid w:val="00586E16"/>
    <w:rsid w:val="005877AB"/>
    <w:rsid w:val="005902BD"/>
    <w:rsid w:val="005905DD"/>
    <w:rsid w:val="0059131B"/>
    <w:rsid w:val="005919AD"/>
    <w:rsid w:val="00592925"/>
    <w:rsid w:val="005931FF"/>
    <w:rsid w:val="0059357B"/>
    <w:rsid w:val="00593BA9"/>
    <w:rsid w:val="00594629"/>
    <w:rsid w:val="00594DA6"/>
    <w:rsid w:val="00594FE1"/>
    <w:rsid w:val="00595B97"/>
    <w:rsid w:val="005961E0"/>
    <w:rsid w:val="005964DE"/>
    <w:rsid w:val="005965F3"/>
    <w:rsid w:val="00596D2B"/>
    <w:rsid w:val="00596FC5"/>
    <w:rsid w:val="005972C0"/>
    <w:rsid w:val="00597334"/>
    <w:rsid w:val="00597C60"/>
    <w:rsid w:val="005A002D"/>
    <w:rsid w:val="005A050B"/>
    <w:rsid w:val="005A085F"/>
    <w:rsid w:val="005A0E2D"/>
    <w:rsid w:val="005A0EDA"/>
    <w:rsid w:val="005A11C0"/>
    <w:rsid w:val="005A129B"/>
    <w:rsid w:val="005A1399"/>
    <w:rsid w:val="005A1469"/>
    <w:rsid w:val="005A1992"/>
    <w:rsid w:val="005A1B6D"/>
    <w:rsid w:val="005A1B86"/>
    <w:rsid w:val="005A1D02"/>
    <w:rsid w:val="005A1FF2"/>
    <w:rsid w:val="005A2561"/>
    <w:rsid w:val="005A2E1D"/>
    <w:rsid w:val="005A3047"/>
    <w:rsid w:val="005A3BE6"/>
    <w:rsid w:val="005A478C"/>
    <w:rsid w:val="005A4FF2"/>
    <w:rsid w:val="005A526D"/>
    <w:rsid w:val="005A53C8"/>
    <w:rsid w:val="005A55E5"/>
    <w:rsid w:val="005A56E1"/>
    <w:rsid w:val="005A68FF"/>
    <w:rsid w:val="005A6B7C"/>
    <w:rsid w:val="005A6C20"/>
    <w:rsid w:val="005A7214"/>
    <w:rsid w:val="005A73E5"/>
    <w:rsid w:val="005A7718"/>
    <w:rsid w:val="005A77EE"/>
    <w:rsid w:val="005A7C44"/>
    <w:rsid w:val="005B064A"/>
    <w:rsid w:val="005B131D"/>
    <w:rsid w:val="005B1694"/>
    <w:rsid w:val="005B1696"/>
    <w:rsid w:val="005B1B19"/>
    <w:rsid w:val="005B2931"/>
    <w:rsid w:val="005B2E98"/>
    <w:rsid w:val="005B3619"/>
    <w:rsid w:val="005B4E81"/>
    <w:rsid w:val="005B50AF"/>
    <w:rsid w:val="005B594E"/>
    <w:rsid w:val="005B6518"/>
    <w:rsid w:val="005B6872"/>
    <w:rsid w:val="005B6CED"/>
    <w:rsid w:val="005B7807"/>
    <w:rsid w:val="005B7D5E"/>
    <w:rsid w:val="005C06D3"/>
    <w:rsid w:val="005C1317"/>
    <w:rsid w:val="005C2104"/>
    <w:rsid w:val="005C28DD"/>
    <w:rsid w:val="005C37D1"/>
    <w:rsid w:val="005C3E97"/>
    <w:rsid w:val="005C44B6"/>
    <w:rsid w:val="005C4701"/>
    <w:rsid w:val="005C47C1"/>
    <w:rsid w:val="005C49E6"/>
    <w:rsid w:val="005C4BD1"/>
    <w:rsid w:val="005C4E42"/>
    <w:rsid w:val="005C51EA"/>
    <w:rsid w:val="005C542C"/>
    <w:rsid w:val="005C551D"/>
    <w:rsid w:val="005C559E"/>
    <w:rsid w:val="005C58BC"/>
    <w:rsid w:val="005C6187"/>
    <w:rsid w:val="005C664C"/>
    <w:rsid w:val="005C6970"/>
    <w:rsid w:val="005C6A8F"/>
    <w:rsid w:val="005C6E2A"/>
    <w:rsid w:val="005C784F"/>
    <w:rsid w:val="005D0560"/>
    <w:rsid w:val="005D06E6"/>
    <w:rsid w:val="005D0EA5"/>
    <w:rsid w:val="005D160B"/>
    <w:rsid w:val="005D17F5"/>
    <w:rsid w:val="005D2498"/>
    <w:rsid w:val="005D2E4E"/>
    <w:rsid w:val="005D3141"/>
    <w:rsid w:val="005D3591"/>
    <w:rsid w:val="005D47A7"/>
    <w:rsid w:val="005D4829"/>
    <w:rsid w:val="005D4A52"/>
    <w:rsid w:val="005D4C7E"/>
    <w:rsid w:val="005D4E51"/>
    <w:rsid w:val="005D53A2"/>
    <w:rsid w:val="005D5426"/>
    <w:rsid w:val="005D54AC"/>
    <w:rsid w:val="005D552B"/>
    <w:rsid w:val="005D5C4F"/>
    <w:rsid w:val="005D6372"/>
    <w:rsid w:val="005D64F4"/>
    <w:rsid w:val="005D771D"/>
    <w:rsid w:val="005D7804"/>
    <w:rsid w:val="005D7931"/>
    <w:rsid w:val="005D7A81"/>
    <w:rsid w:val="005E0655"/>
    <w:rsid w:val="005E0AC8"/>
    <w:rsid w:val="005E0B90"/>
    <w:rsid w:val="005E1D47"/>
    <w:rsid w:val="005E1F60"/>
    <w:rsid w:val="005E20A5"/>
    <w:rsid w:val="005E27AF"/>
    <w:rsid w:val="005E2955"/>
    <w:rsid w:val="005E297E"/>
    <w:rsid w:val="005E2E4B"/>
    <w:rsid w:val="005E3D64"/>
    <w:rsid w:val="005E3F97"/>
    <w:rsid w:val="005E3FBF"/>
    <w:rsid w:val="005E46A2"/>
    <w:rsid w:val="005E486D"/>
    <w:rsid w:val="005E4B73"/>
    <w:rsid w:val="005E4D07"/>
    <w:rsid w:val="005E53CE"/>
    <w:rsid w:val="005E53D4"/>
    <w:rsid w:val="005E5FCD"/>
    <w:rsid w:val="005E6023"/>
    <w:rsid w:val="005E6160"/>
    <w:rsid w:val="005E61B3"/>
    <w:rsid w:val="005E72CC"/>
    <w:rsid w:val="005E7E0D"/>
    <w:rsid w:val="005F0418"/>
    <w:rsid w:val="005F0755"/>
    <w:rsid w:val="005F09EC"/>
    <w:rsid w:val="005F0C87"/>
    <w:rsid w:val="005F1229"/>
    <w:rsid w:val="005F142A"/>
    <w:rsid w:val="005F1516"/>
    <w:rsid w:val="005F1928"/>
    <w:rsid w:val="005F1B79"/>
    <w:rsid w:val="005F2A4C"/>
    <w:rsid w:val="005F32A0"/>
    <w:rsid w:val="005F3CE0"/>
    <w:rsid w:val="005F4642"/>
    <w:rsid w:val="005F4945"/>
    <w:rsid w:val="005F4DAA"/>
    <w:rsid w:val="005F4EDD"/>
    <w:rsid w:val="005F51D9"/>
    <w:rsid w:val="005F5219"/>
    <w:rsid w:val="005F5CEE"/>
    <w:rsid w:val="005F5F9B"/>
    <w:rsid w:val="005F6085"/>
    <w:rsid w:val="005F629A"/>
    <w:rsid w:val="005F66A6"/>
    <w:rsid w:val="005F6B27"/>
    <w:rsid w:val="005F6B2D"/>
    <w:rsid w:val="005F7167"/>
    <w:rsid w:val="00600051"/>
    <w:rsid w:val="00600416"/>
    <w:rsid w:val="00600987"/>
    <w:rsid w:val="00601045"/>
    <w:rsid w:val="00601108"/>
    <w:rsid w:val="006011E4"/>
    <w:rsid w:val="00601F64"/>
    <w:rsid w:val="006020C6"/>
    <w:rsid w:val="00602624"/>
    <w:rsid w:val="00602B98"/>
    <w:rsid w:val="00602D81"/>
    <w:rsid w:val="00602FB6"/>
    <w:rsid w:val="00602FCC"/>
    <w:rsid w:val="006031D0"/>
    <w:rsid w:val="006031FD"/>
    <w:rsid w:val="00603234"/>
    <w:rsid w:val="0060326C"/>
    <w:rsid w:val="00603913"/>
    <w:rsid w:val="00603BE8"/>
    <w:rsid w:val="0060405D"/>
    <w:rsid w:val="00604B36"/>
    <w:rsid w:val="00604DC8"/>
    <w:rsid w:val="00605051"/>
    <w:rsid w:val="00605234"/>
    <w:rsid w:val="00605B29"/>
    <w:rsid w:val="006060C8"/>
    <w:rsid w:val="00606930"/>
    <w:rsid w:val="00606A1A"/>
    <w:rsid w:val="00607251"/>
    <w:rsid w:val="006072E1"/>
    <w:rsid w:val="00610088"/>
    <w:rsid w:val="00611065"/>
    <w:rsid w:val="006117E6"/>
    <w:rsid w:val="00611E30"/>
    <w:rsid w:val="00612193"/>
    <w:rsid w:val="00612257"/>
    <w:rsid w:val="00612327"/>
    <w:rsid w:val="00612459"/>
    <w:rsid w:val="00612475"/>
    <w:rsid w:val="00612A67"/>
    <w:rsid w:val="00612E2B"/>
    <w:rsid w:val="006137B1"/>
    <w:rsid w:val="00613A77"/>
    <w:rsid w:val="00613B04"/>
    <w:rsid w:val="00613B5E"/>
    <w:rsid w:val="00613C02"/>
    <w:rsid w:val="006143D8"/>
    <w:rsid w:val="00614928"/>
    <w:rsid w:val="00614A59"/>
    <w:rsid w:val="00614D0B"/>
    <w:rsid w:val="00614F18"/>
    <w:rsid w:val="00615282"/>
    <w:rsid w:val="00615357"/>
    <w:rsid w:val="006156C0"/>
    <w:rsid w:val="006163B4"/>
    <w:rsid w:val="0061666A"/>
    <w:rsid w:val="006167E9"/>
    <w:rsid w:val="00616D0F"/>
    <w:rsid w:val="00617C71"/>
    <w:rsid w:val="00617E4B"/>
    <w:rsid w:val="006204A4"/>
    <w:rsid w:val="006206EA"/>
    <w:rsid w:val="006207E6"/>
    <w:rsid w:val="0062085C"/>
    <w:rsid w:val="006208AE"/>
    <w:rsid w:val="00620911"/>
    <w:rsid w:val="00621261"/>
    <w:rsid w:val="0062146E"/>
    <w:rsid w:val="00621702"/>
    <w:rsid w:val="00621B36"/>
    <w:rsid w:val="00621F6E"/>
    <w:rsid w:val="00622F98"/>
    <w:rsid w:val="0062482A"/>
    <w:rsid w:val="00624C93"/>
    <w:rsid w:val="00624FA0"/>
    <w:rsid w:val="0062523A"/>
    <w:rsid w:val="006257D8"/>
    <w:rsid w:val="00625B3C"/>
    <w:rsid w:val="00625E04"/>
    <w:rsid w:val="00626A50"/>
    <w:rsid w:val="00627C2B"/>
    <w:rsid w:val="00627E19"/>
    <w:rsid w:val="00627F32"/>
    <w:rsid w:val="006301E7"/>
    <w:rsid w:val="00630270"/>
    <w:rsid w:val="006305E1"/>
    <w:rsid w:val="006306D0"/>
    <w:rsid w:val="006308C1"/>
    <w:rsid w:val="0063092C"/>
    <w:rsid w:val="00630EDF"/>
    <w:rsid w:val="00630FEA"/>
    <w:rsid w:val="0063138A"/>
    <w:rsid w:val="00631790"/>
    <w:rsid w:val="006322B9"/>
    <w:rsid w:val="006328EF"/>
    <w:rsid w:val="00632A6E"/>
    <w:rsid w:val="00632F73"/>
    <w:rsid w:val="0063383E"/>
    <w:rsid w:val="00633DF5"/>
    <w:rsid w:val="00634269"/>
    <w:rsid w:val="0063478D"/>
    <w:rsid w:val="00635439"/>
    <w:rsid w:val="0063568E"/>
    <w:rsid w:val="00635EE2"/>
    <w:rsid w:val="0063670F"/>
    <w:rsid w:val="00637D20"/>
    <w:rsid w:val="00637F80"/>
    <w:rsid w:val="00640472"/>
    <w:rsid w:val="00640EA7"/>
    <w:rsid w:val="00641A67"/>
    <w:rsid w:val="00642089"/>
    <w:rsid w:val="00642640"/>
    <w:rsid w:val="0064300D"/>
    <w:rsid w:val="00643837"/>
    <w:rsid w:val="006439A1"/>
    <w:rsid w:val="00643B9B"/>
    <w:rsid w:val="00643C64"/>
    <w:rsid w:val="00643CBC"/>
    <w:rsid w:val="00643D60"/>
    <w:rsid w:val="00643EBD"/>
    <w:rsid w:val="00644910"/>
    <w:rsid w:val="00644A55"/>
    <w:rsid w:val="00644C34"/>
    <w:rsid w:val="00644EEF"/>
    <w:rsid w:val="00646A7B"/>
    <w:rsid w:val="00646F7D"/>
    <w:rsid w:val="00647282"/>
    <w:rsid w:val="00647660"/>
    <w:rsid w:val="0064788E"/>
    <w:rsid w:val="00647963"/>
    <w:rsid w:val="00647A75"/>
    <w:rsid w:val="00647D99"/>
    <w:rsid w:val="00647E7B"/>
    <w:rsid w:val="00650152"/>
    <w:rsid w:val="006502B7"/>
    <w:rsid w:val="0065033E"/>
    <w:rsid w:val="00651836"/>
    <w:rsid w:val="0065256A"/>
    <w:rsid w:val="00652583"/>
    <w:rsid w:val="00652973"/>
    <w:rsid w:val="00652993"/>
    <w:rsid w:val="006529B9"/>
    <w:rsid w:val="006533C4"/>
    <w:rsid w:val="0065423F"/>
    <w:rsid w:val="00656DDC"/>
    <w:rsid w:val="00657524"/>
    <w:rsid w:val="00657B06"/>
    <w:rsid w:val="006603B9"/>
    <w:rsid w:val="0066047C"/>
    <w:rsid w:val="0066049C"/>
    <w:rsid w:val="00660813"/>
    <w:rsid w:val="00660B0A"/>
    <w:rsid w:val="00660C22"/>
    <w:rsid w:val="00660DBF"/>
    <w:rsid w:val="00661A43"/>
    <w:rsid w:val="00661B19"/>
    <w:rsid w:val="00661BD0"/>
    <w:rsid w:val="00661D1B"/>
    <w:rsid w:val="00662111"/>
    <w:rsid w:val="006621CE"/>
    <w:rsid w:val="006624BE"/>
    <w:rsid w:val="006625AA"/>
    <w:rsid w:val="00662611"/>
    <w:rsid w:val="00662DBC"/>
    <w:rsid w:val="00662FCE"/>
    <w:rsid w:val="006630C5"/>
    <w:rsid w:val="0066367B"/>
    <w:rsid w:val="00663C76"/>
    <w:rsid w:val="00663FCE"/>
    <w:rsid w:val="0066401E"/>
    <w:rsid w:val="00664A1D"/>
    <w:rsid w:val="00664ED3"/>
    <w:rsid w:val="00665809"/>
    <w:rsid w:val="00665928"/>
    <w:rsid w:val="00666208"/>
    <w:rsid w:val="0066624E"/>
    <w:rsid w:val="0066760B"/>
    <w:rsid w:val="00667B2C"/>
    <w:rsid w:val="00667F43"/>
    <w:rsid w:val="006704AD"/>
    <w:rsid w:val="00670D1A"/>
    <w:rsid w:val="00670EF8"/>
    <w:rsid w:val="00670F7B"/>
    <w:rsid w:val="006711A7"/>
    <w:rsid w:val="0067170D"/>
    <w:rsid w:val="0067173D"/>
    <w:rsid w:val="00671A93"/>
    <w:rsid w:val="00671DFF"/>
    <w:rsid w:val="00672104"/>
    <w:rsid w:val="00672F96"/>
    <w:rsid w:val="00673069"/>
    <w:rsid w:val="006738C8"/>
    <w:rsid w:val="006739C5"/>
    <w:rsid w:val="00673C2A"/>
    <w:rsid w:val="00674208"/>
    <w:rsid w:val="006742BF"/>
    <w:rsid w:val="00674CCC"/>
    <w:rsid w:val="006751BB"/>
    <w:rsid w:val="0067662B"/>
    <w:rsid w:val="006766F0"/>
    <w:rsid w:val="006778A3"/>
    <w:rsid w:val="00681162"/>
    <w:rsid w:val="00681771"/>
    <w:rsid w:val="006817E3"/>
    <w:rsid w:val="00682016"/>
    <w:rsid w:val="00682415"/>
    <w:rsid w:val="006825BD"/>
    <w:rsid w:val="0068270F"/>
    <w:rsid w:val="00682919"/>
    <w:rsid w:val="006834B0"/>
    <w:rsid w:val="006835D9"/>
    <w:rsid w:val="00683C71"/>
    <w:rsid w:val="00684077"/>
    <w:rsid w:val="006841FA"/>
    <w:rsid w:val="00684329"/>
    <w:rsid w:val="00684C4B"/>
    <w:rsid w:val="00684DBE"/>
    <w:rsid w:val="006855D9"/>
    <w:rsid w:val="00685E95"/>
    <w:rsid w:val="00685F77"/>
    <w:rsid w:val="006862A9"/>
    <w:rsid w:val="006863FD"/>
    <w:rsid w:val="00686544"/>
    <w:rsid w:val="00686B3A"/>
    <w:rsid w:val="00686D30"/>
    <w:rsid w:val="006871B8"/>
    <w:rsid w:val="00687A92"/>
    <w:rsid w:val="00687B96"/>
    <w:rsid w:val="0069079B"/>
    <w:rsid w:val="00691135"/>
    <w:rsid w:val="0069165C"/>
    <w:rsid w:val="00691872"/>
    <w:rsid w:val="00691B74"/>
    <w:rsid w:val="00691C90"/>
    <w:rsid w:val="00691CD7"/>
    <w:rsid w:val="00692204"/>
    <w:rsid w:val="00692630"/>
    <w:rsid w:val="006927F2"/>
    <w:rsid w:val="00692A05"/>
    <w:rsid w:val="00692A17"/>
    <w:rsid w:val="00692E12"/>
    <w:rsid w:val="0069309E"/>
    <w:rsid w:val="006937C1"/>
    <w:rsid w:val="00693C6E"/>
    <w:rsid w:val="00694C83"/>
    <w:rsid w:val="006959A7"/>
    <w:rsid w:val="00695FEC"/>
    <w:rsid w:val="0069608A"/>
    <w:rsid w:val="006962A7"/>
    <w:rsid w:val="006962D0"/>
    <w:rsid w:val="00696C78"/>
    <w:rsid w:val="006972AF"/>
    <w:rsid w:val="006972D0"/>
    <w:rsid w:val="006977D1"/>
    <w:rsid w:val="00697995"/>
    <w:rsid w:val="006A0E37"/>
    <w:rsid w:val="006A164F"/>
    <w:rsid w:val="006A1E6E"/>
    <w:rsid w:val="006A2004"/>
    <w:rsid w:val="006A2FE1"/>
    <w:rsid w:val="006A30BC"/>
    <w:rsid w:val="006A3172"/>
    <w:rsid w:val="006A38E2"/>
    <w:rsid w:val="006A3D46"/>
    <w:rsid w:val="006A428A"/>
    <w:rsid w:val="006A4347"/>
    <w:rsid w:val="006A4514"/>
    <w:rsid w:val="006A486D"/>
    <w:rsid w:val="006A4A9C"/>
    <w:rsid w:val="006A5783"/>
    <w:rsid w:val="006A5AC5"/>
    <w:rsid w:val="006A66C2"/>
    <w:rsid w:val="006A6B9E"/>
    <w:rsid w:val="006A74B8"/>
    <w:rsid w:val="006A7ED4"/>
    <w:rsid w:val="006B0212"/>
    <w:rsid w:val="006B0ADD"/>
    <w:rsid w:val="006B0B6C"/>
    <w:rsid w:val="006B0E6F"/>
    <w:rsid w:val="006B1199"/>
    <w:rsid w:val="006B122B"/>
    <w:rsid w:val="006B14E5"/>
    <w:rsid w:val="006B1567"/>
    <w:rsid w:val="006B1A9B"/>
    <w:rsid w:val="006B2305"/>
    <w:rsid w:val="006B26CD"/>
    <w:rsid w:val="006B2CFF"/>
    <w:rsid w:val="006B3030"/>
    <w:rsid w:val="006B3260"/>
    <w:rsid w:val="006B36F1"/>
    <w:rsid w:val="006B3824"/>
    <w:rsid w:val="006B38AB"/>
    <w:rsid w:val="006B3BEC"/>
    <w:rsid w:val="006B40E7"/>
    <w:rsid w:val="006B4184"/>
    <w:rsid w:val="006B448E"/>
    <w:rsid w:val="006B4842"/>
    <w:rsid w:val="006B53D6"/>
    <w:rsid w:val="006B6580"/>
    <w:rsid w:val="006B75BB"/>
    <w:rsid w:val="006B7ADC"/>
    <w:rsid w:val="006B7EE2"/>
    <w:rsid w:val="006C062B"/>
    <w:rsid w:val="006C0E98"/>
    <w:rsid w:val="006C10CC"/>
    <w:rsid w:val="006C1589"/>
    <w:rsid w:val="006C23D6"/>
    <w:rsid w:val="006C24D6"/>
    <w:rsid w:val="006C332E"/>
    <w:rsid w:val="006C33BD"/>
    <w:rsid w:val="006C3700"/>
    <w:rsid w:val="006C3E27"/>
    <w:rsid w:val="006C49EF"/>
    <w:rsid w:val="006C4C42"/>
    <w:rsid w:val="006C57AE"/>
    <w:rsid w:val="006C5831"/>
    <w:rsid w:val="006C5BA3"/>
    <w:rsid w:val="006C5F9D"/>
    <w:rsid w:val="006C633F"/>
    <w:rsid w:val="006C675F"/>
    <w:rsid w:val="006C6FA7"/>
    <w:rsid w:val="006C70A0"/>
    <w:rsid w:val="006C71D1"/>
    <w:rsid w:val="006C76E6"/>
    <w:rsid w:val="006C7D50"/>
    <w:rsid w:val="006D00CB"/>
    <w:rsid w:val="006D0B64"/>
    <w:rsid w:val="006D1623"/>
    <w:rsid w:val="006D19E9"/>
    <w:rsid w:val="006D1D05"/>
    <w:rsid w:val="006D267A"/>
    <w:rsid w:val="006D26B8"/>
    <w:rsid w:val="006D2A90"/>
    <w:rsid w:val="006D2B06"/>
    <w:rsid w:val="006D2C67"/>
    <w:rsid w:val="006D2D4F"/>
    <w:rsid w:val="006D2DF3"/>
    <w:rsid w:val="006D30BA"/>
    <w:rsid w:val="006D3681"/>
    <w:rsid w:val="006D4626"/>
    <w:rsid w:val="006D4F25"/>
    <w:rsid w:val="006D4F52"/>
    <w:rsid w:val="006D504A"/>
    <w:rsid w:val="006D68A4"/>
    <w:rsid w:val="006D6A40"/>
    <w:rsid w:val="006D6A5D"/>
    <w:rsid w:val="006D6AB6"/>
    <w:rsid w:val="006D7001"/>
    <w:rsid w:val="006D71B7"/>
    <w:rsid w:val="006D7758"/>
    <w:rsid w:val="006D7BC5"/>
    <w:rsid w:val="006D7E64"/>
    <w:rsid w:val="006E0025"/>
    <w:rsid w:val="006E020C"/>
    <w:rsid w:val="006E066F"/>
    <w:rsid w:val="006E08A0"/>
    <w:rsid w:val="006E0ED1"/>
    <w:rsid w:val="006E1564"/>
    <w:rsid w:val="006E1AB0"/>
    <w:rsid w:val="006E1B77"/>
    <w:rsid w:val="006E1C62"/>
    <w:rsid w:val="006E1C96"/>
    <w:rsid w:val="006E1E8F"/>
    <w:rsid w:val="006E2339"/>
    <w:rsid w:val="006E2658"/>
    <w:rsid w:val="006E2A56"/>
    <w:rsid w:val="006E2A85"/>
    <w:rsid w:val="006E2A8D"/>
    <w:rsid w:val="006E2C19"/>
    <w:rsid w:val="006E2CC9"/>
    <w:rsid w:val="006E3831"/>
    <w:rsid w:val="006E38FF"/>
    <w:rsid w:val="006E3A68"/>
    <w:rsid w:val="006E40EB"/>
    <w:rsid w:val="006E4A30"/>
    <w:rsid w:val="006E4CAF"/>
    <w:rsid w:val="006E5005"/>
    <w:rsid w:val="006E516C"/>
    <w:rsid w:val="006E539F"/>
    <w:rsid w:val="006E549D"/>
    <w:rsid w:val="006E5980"/>
    <w:rsid w:val="006E60B4"/>
    <w:rsid w:val="006E6851"/>
    <w:rsid w:val="006E6A41"/>
    <w:rsid w:val="006E722D"/>
    <w:rsid w:val="006E7BF0"/>
    <w:rsid w:val="006E7D60"/>
    <w:rsid w:val="006E7E9A"/>
    <w:rsid w:val="006F0668"/>
    <w:rsid w:val="006F0AE1"/>
    <w:rsid w:val="006F0B73"/>
    <w:rsid w:val="006F1CDF"/>
    <w:rsid w:val="006F1DB6"/>
    <w:rsid w:val="006F248A"/>
    <w:rsid w:val="006F2494"/>
    <w:rsid w:val="006F2728"/>
    <w:rsid w:val="006F28BF"/>
    <w:rsid w:val="006F31E0"/>
    <w:rsid w:val="006F36C1"/>
    <w:rsid w:val="006F37E6"/>
    <w:rsid w:val="006F3A2F"/>
    <w:rsid w:val="006F4103"/>
    <w:rsid w:val="006F505B"/>
    <w:rsid w:val="006F5175"/>
    <w:rsid w:val="006F528E"/>
    <w:rsid w:val="006F5BC6"/>
    <w:rsid w:val="006F5D75"/>
    <w:rsid w:val="006F5DA9"/>
    <w:rsid w:val="006F675A"/>
    <w:rsid w:val="006F684E"/>
    <w:rsid w:val="006F68CB"/>
    <w:rsid w:val="006F690A"/>
    <w:rsid w:val="006F7B35"/>
    <w:rsid w:val="007001E5"/>
    <w:rsid w:val="007006D1"/>
    <w:rsid w:val="007008B6"/>
    <w:rsid w:val="00701316"/>
    <w:rsid w:val="0070241C"/>
    <w:rsid w:val="0070312D"/>
    <w:rsid w:val="00703BE5"/>
    <w:rsid w:val="00704337"/>
    <w:rsid w:val="0070451D"/>
    <w:rsid w:val="007045BE"/>
    <w:rsid w:val="00704F4F"/>
    <w:rsid w:val="00704FF6"/>
    <w:rsid w:val="00705372"/>
    <w:rsid w:val="00705955"/>
    <w:rsid w:val="00706396"/>
    <w:rsid w:val="007068A8"/>
    <w:rsid w:val="00706F7F"/>
    <w:rsid w:val="00707511"/>
    <w:rsid w:val="0070789D"/>
    <w:rsid w:val="00707A26"/>
    <w:rsid w:val="00707E0D"/>
    <w:rsid w:val="0071035E"/>
    <w:rsid w:val="0071085C"/>
    <w:rsid w:val="00710B31"/>
    <w:rsid w:val="00711E4E"/>
    <w:rsid w:val="007120F6"/>
    <w:rsid w:val="007124C6"/>
    <w:rsid w:val="0071278E"/>
    <w:rsid w:val="0071291F"/>
    <w:rsid w:val="007129AB"/>
    <w:rsid w:val="00712B6B"/>
    <w:rsid w:val="00712D91"/>
    <w:rsid w:val="0071311E"/>
    <w:rsid w:val="00713C85"/>
    <w:rsid w:val="00714407"/>
    <w:rsid w:val="00714434"/>
    <w:rsid w:val="00714614"/>
    <w:rsid w:val="00714B82"/>
    <w:rsid w:val="00715249"/>
    <w:rsid w:val="00715AB9"/>
    <w:rsid w:val="007166E7"/>
    <w:rsid w:val="00716715"/>
    <w:rsid w:val="0071679D"/>
    <w:rsid w:val="00716C3D"/>
    <w:rsid w:val="00716EC4"/>
    <w:rsid w:val="007170FB"/>
    <w:rsid w:val="00717392"/>
    <w:rsid w:val="007201B6"/>
    <w:rsid w:val="0072036C"/>
    <w:rsid w:val="007209F6"/>
    <w:rsid w:val="00720AA9"/>
    <w:rsid w:val="00720C2D"/>
    <w:rsid w:val="007210C6"/>
    <w:rsid w:val="00721273"/>
    <w:rsid w:val="007212E1"/>
    <w:rsid w:val="00721C42"/>
    <w:rsid w:val="0072266C"/>
    <w:rsid w:val="00722A87"/>
    <w:rsid w:val="0072318B"/>
    <w:rsid w:val="00723252"/>
    <w:rsid w:val="00723568"/>
    <w:rsid w:val="00723639"/>
    <w:rsid w:val="00723DE9"/>
    <w:rsid w:val="00724B5A"/>
    <w:rsid w:val="007250DC"/>
    <w:rsid w:val="00726614"/>
    <w:rsid w:val="00726C6D"/>
    <w:rsid w:val="00726E9D"/>
    <w:rsid w:val="00727375"/>
    <w:rsid w:val="00730A8F"/>
    <w:rsid w:val="00730D23"/>
    <w:rsid w:val="00730F35"/>
    <w:rsid w:val="00730FDD"/>
    <w:rsid w:val="007311AD"/>
    <w:rsid w:val="0073152F"/>
    <w:rsid w:val="00731616"/>
    <w:rsid w:val="0073227F"/>
    <w:rsid w:val="00732387"/>
    <w:rsid w:val="00732B9B"/>
    <w:rsid w:val="00732CF9"/>
    <w:rsid w:val="00732D19"/>
    <w:rsid w:val="00732E06"/>
    <w:rsid w:val="00732F32"/>
    <w:rsid w:val="0073340A"/>
    <w:rsid w:val="00733522"/>
    <w:rsid w:val="00734130"/>
    <w:rsid w:val="0073474C"/>
    <w:rsid w:val="007348E6"/>
    <w:rsid w:val="00734903"/>
    <w:rsid w:val="00734CA9"/>
    <w:rsid w:val="007351BF"/>
    <w:rsid w:val="00735231"/>
    <w:rsid w:val="0073537A"/>
    <w:rsid w:val="00735CB0"/>
    <w:rsid w:val="0073602D"/>
    <w:rsid w:val="00736050"/>
    <w:rsid w:val="00736BB1"/>
    <w:rsid w:val="00736E5F"/>
    <w:rsid w:val="00737013"/>
    <w:rsid w:val="007371B3"/>
    <w:rsid w:val="00737738"/>
    <w:rsid w:val="00737B64"/>
    <w:rsid w:val="00740442"/>
    <w:rsid w:val="00740621"/>
    <w:rsid w:val="0074108C"/>
    <w:rsid w:val="007412F4"/>
    <w:rsid w:val="00741680"/>
    <w:rsid w:val="00741A60"/>
    <w:rsid w:val="00741B7D"/>
    <w:rsid w:val="00741CD7"/>
    <w:rsid w:val="00743035"/>
    <w:rsid w:val="0074313C"/>
    <w:rsid w:val="00743189"/>
    <w:rsid w:val="00743BFC"/>
    <w:rsid w:val="00744B3B"/>
    <w:rsid w:val="00744EFA"/>
    <w:rsid w:val="007453FA"/>
    <w:rsid w:val="0074556B"/>
    <w:rsid w:val="007456A7"/>
    <w:rsid w:val="00745AD7"/>
    <w:rsid w:val="00745FAA"/>
    <w:rsid w:val="00746013"/>
    <w:rsid w:val="007471CA"/>
    <w:rsid w:val="0074739F"/>
    <w:rsid w:val="0074768A"/>
    <w:rsid w:val="00747EF1"/>
    <w:rsid w:val="00747F71"/>
    <w:rsid w:val="007500D2"/>
    <w:rsid w:val="007503A8"/>
    <w:rsid w:val="0075067B"/>
    <w:rsid w:val="0075095B"/>
    <w:rsid w:val="00750F7F"/>
    <w:rsid w:val="007512D4"/>
    <w:rsid w:val="00751C86"/>
    <w:rsid w:val="00751EE9"/>
    <w:rsid w:val="00752166"/>
    <w:rsid w:val="007530C1"/>
    <w:rsid w:val="00753131"/>
    <w:rsid w:val="00753783"/>
    <w:rsid w:val="00753978"/>
    <w:rsid w:val="00753AE1"/>
    <w:rsid w:val="00753C2A"/>
    <w:rsid w:val="007545A4"/>
    <w:rsid w:val="00754829"/>
    <w:rsid w:val="00754B7E"/>
    <w:rsid w:val="00754C34"/>
    <w:rsid w:val="00754C99"/>
    <w:rsid w:val="0075507C"/>
    <w:rsid w:val="00755204"/>
    <w:rsid w:val="00755CB2"/>
    <w:rsid w:val="00755F4C"/>
    <w:rsid w:val="00756471"/>
    <w:rsid w:val="00756965"/>
    <w:rsid w:val="00756AD0"/>
    <w:rsid w:val="00756BED"/>
    <w:rsid w:val="00756E48"/>
    <w:rsid w:val="0075703B"/>
    <w:rsid w:val="00757EE4"/>
    <w:rsid w:val="0076114C"/>
    <w:rsid w:val="007614CA"/>
    <w:rsid w:val="00761DD7"/>
    <w:rsid w:val="007620D6"/>
    <w:rsid w:val="00762C77"/>
    <w:rsid w:val="0076337C"/>
    <w:rsid w:val="0076369F"/>
    <w:rsid w:val="00763DA0"/>
    <w:rsid w:val="00764082"/>
    <w:rsid w:val="00764280"/>
    <w:rsid w:val="00764698"/>
    <w:rsid w:val="00764A71"/>
    <w:rsid w:val="00764A82"/>
    <w:rsid w:val="00765407"/>
    <w:rsid w:val="0076557A"/>
    <w:rsid w:val="00766D90"/>
    <w:rsid w:val="00766FC0"/>
    <w:rsid w:val="00767042"/>
    <w:rsid w:val="00767423"/>
    <w:rsid w:val="007679A6"/>
    <w:rsid w:val="00767D2F"/>
    <w:rsid w:val="00767EA7"/>
    <w:rsid w:val="00770899"/>
    <w:rsid w:val="00770A27"/>
    <w:rsid w:val="007715E5"/>
    <w:rsid w:val="00772313"/>
    <w:rsid w:val="0077377D"/>
    <w:rsid w:val="0077386D"/>
    <w:rsid w:val="00773ECD"/>
    <w:rsid w:val="00774203"/>
    <w:rsid w:val="0077422F"/>
    <w:rsid w:val="00774425"/>
    <w:rsid w:val="007746A4"/>
    <w:rsid w:val="00774BC6"/>
    <w:rsid w:val="00774CAC"/>
    <w:rsid w:val="00774F62"/>
    <w:rsid w:val="007750BC"/>
    <w:rsid w:val="007756B5"/>
    <w:rsid w:val="007758B5"/>
    <w:rsid w:val="00775FB4"/>
    <w:rsid w:val="0077613A"/>
    <w:rsid w:val="00776508"/>
    <w:rsid w:val="0077655C"/>
    <w:rsid w:val="0077686E"/>
    <w:rsid w:val="0077699A"/>
    <w:rsid w:val="00776DB4"/>
    <w:rsid w:val="00776F62"/>
    <w:rsid w:val="00777844"/>
    <w:rsid w:val="00777B4E"/>
    <w:rsid w:val="00777F2C"/>
    <w:rsid w:val="0078063B"/>
    <w:rsid w:val="00780835"/>
    <w:rsid w:val="00780A96"/>
    <w:rsid w:val="00780E36"/>
    <w:rsid w:val="007811BA"/>
    <w:rsid w:val="00781395"/>
    <w:rsid w:val="00781442"/>
    <w:rsid w:val="007816A9"/>
    <w:rsid w:val="007817E7"/>
    <w:rsid w:val="00782576"/>
    <w:rsid w:val="007825C1"/>
    <w:rsid w:val="00782693"/>
    <w:rsid w:val="0078281A"/>
    <w:rsid w:val="00782A01"/>
    <w:rsid w:val="00782D67"/>
    <w:rsid w:val="00782EFC"/>
    <w:rsid w:val="00782FB1"/>
    <w:rsid w:val="007832BF"/>
    <w:rsid w:val="007836A8"/>
    <w:rsid w:val="00783F80"/>
    <w:rsid w:val="007842B8"/>
    <w:rsid w:val="0078437F"/>
    <w:rsid w:val="00784B64"/>
    <w:rsid w:val="00784E48"/>
    <w:rsid w:val="00785D0A"/>
    <w:rsid w:val="00785F20"/>
    <w:rsid w:val="00786020"/>
    <w:rsid w:val="007868D2"/>
    <w:rsid w:val="00786A74"/>
    <w:rsid w:val="00786DF3"/>
    <w:rsid w:val="0078764E"/>
    <w:rsid w:val="00790362"/>
    <w:rsid w:val="00790727"/>
    <w:rsid w:val="00791B96"/>
    <w:rsid w:val="00792689"/>
    <w:rsid w:val="00792CDB"/>
    <w:rsid w:val="00792F73"/>
    <w:rsid w:val="00793149"/>
    <w:rsid w:val="007934B8"/>
    <w:rsid w:val="00793C55"/>
    <w:rsid w:val="0079445E"/>
    <w:rsid w:val="00794579"/>
    <w:rsid w:val="0079485B"/>
    <w:rsid w:val="00794941"/>
    <w:rsid w:val="00794A69"/>
    <w:rsid w:val="007954CF"/>
    <w:rsid w:val="007955A3"/>
    <w:rsid w:val="00795B57"/>
    <w:rsid w:val="007961E9"/>
    <w:rsid w:val="00797776"/>
    <w:rsid w:val="007977D4"/>
    <w:rsid w:val="007A023B"/>
    <w:rsid w:val="007A054A"/>
    <w:rsid w:val="007A0AEA"/>
    <w:rsid w:val="007A135A"/>
    <w:rsid w:val="007A13FD"/>
    <w:rsid w:val="007A1543"/>
    <w:rsid w:val="007A1BC8"/>
    <w:rsid w:val="007A202B"/>
    <w:rsid w:val="007A206B"/>
    <w:rsid w:val="007A2A86"/>
    <w:rsid w:val="007A2C01"/>
    <w:rsid w:val="007A2C9D"/>
    <w:rsid w:val="007A2D27"/>
    <w:rsid w:val="007A3089"/>
    <w:rsid w:val="007A357E"/>
    <w:rsid w:val="007A3AEB"/>
    <w:rsid w:val="007A3DF7"/>
    <w:rsid w:val="007A46BB"/>
    <w:rsid w:val="007A4A8F"/>
    <w:rsid w:val="007A4B1D"/>
    <w:rsid w:val="007A4EAB"/>
    <w:rsid w:val="007A4F36"/>
    <w:rsid w:val="007A508F"/>
    <w:rsid w:val="007A523B"/>
    <w:rsid w:val="007A5598"/>
    <w:rsid w:val="007A584C"/>
    <w:rsid w:val="007A59E8"/>
    <w:rsid w:val="007A5B5D"/>
    <w:rsid w:val="007A72E1"/>
    <w:rsid w:val="007A794A"/>
    <w:rsid w:val="007A7C15"/>
    <w:rsid w:val="007B00AC"/>
    <w:rsid w:val="007B01CD"/>
    <w:rsid w:val="007B0640"/>
    <w:rsid w:val="007B0830"/>
    <w:rsid w:val="007B0BC8"/>
    <w:rsid w:val="007B2302"/>
    <w:rsid w:val="007B2370"/>
    <w:rsid w:val="007B2523"/>
    <w:rsid w:val="007B2731"/>
    <w:rsid w:val="007B2C9E"/>
    <w:rsid w:val="007B365C"/>
    <w:rsid w:val="007B36F6"/>
    <w:rsid w:val="007B3B60"/>
    <w:rsid w:val="007B4D08"/>
    <w:rsid w:val="007B511E"/>
    <w:rsid w:val="007B545B"/>
    <w:rsid w:val="007B5693"/>
    <w:rsid w:val="007B595B"/>
    <w:rsid w:val="007B5C00"/>
    <w:rsid w:val="007B6032"/>
    <w:rsid w:val="007B649D"/>
    <w:rsid w:val="007B66B7"/>
    <w:rsid w:val="007B68A1"/>
    <w:rsid w:val="007B694B"/>
    <w:rsid w:val="007B7171"/>
    <w:rsid w:val="007B7604"/>
    <w:rsid w:val="007B7629"/>
    <w:rsid w:val="007B7DAF"/>
    <w:rsid w:val="007B7E91"/>
    <w:rsid w:val="007C06CD"/>
    <w:rsid w:val="007C0B2C"/>
    <w:rsid w:val="007C0F83"/>
    <w:rsid w:val="007C11A8"/>
    <w:rsid w:val="007C1565"/>
    <w:rsid w:val="007C1B2B"/>
    <w:rsid w:val="007C1D0D"/>
    <w:rsid w:val="007C23AC"/>
    <w:rsid w:val="007C27B9"/>
    <w:rsid w:val="007C4176"/>
    <w:rsid w:val="007C44EE"/>
    <w:rsid w:val="007C4939"/>
    <w:rsid w:val="007C4D30"/>
    <w:rsid w:val="007C565A"/>
    <w:rsid w:val="007C5E58"/>
    <w:rsid w:val="007C6C84"/>
    <w:rsid w:val="007C6D96"/>
    <w:rsid w:val="007C6DDC"/>
    <w:rsid w:val="007C78FA"/>
    <w:rsid w:val="007C7B64"/>
    <w:rsid w:val="007C7FA3"/>
    <w:rsid w:val="007D03F2"/>
    <w:rsid w:val="007D04BB"/>
    <w:rsid w:val="007D051B"/>
    <w:rsid w:val="007D06A4"/>
    <w:rsid w:val="007D0E87"/>
    <w:rsid w:val="007D0F36"/>
    <w:rsid w:val="007D11DA"/>
    <w:rsid w:val="007D143B"/>
    <w:rsid w:val="007D14C2"/>
    <w:rsid w:val="007D1579"/>
    <w:rsid w:val="007D190C"/>
    <w:rsid w:val="007D2119"/>
    <w:rsid w:val="007D22AE"/>
    <w:rsid w:val="007D2794"/>
    <w:rsid w:val="007D299E"/>
    <w:rsid w:val="007D2B2F"/>
    <w:rsid w:val="007D2CE9"/>
    <w:rsid w:val="007D313B"/>
    <w:rsid w:val="007D3197"/>
    <w:rsid w:val="007D391D"/>
    <w:rsid w:val="007D411E"/>
    <w:rsid w:val="007D4849"/>
    <w:rsid w:val="007D4AAC"/>
    <w:rsid w:val="007D4F7D"/>
    <w:rsid w:val="007D5743"/>
    <w:rsid w:val="007D5DBA"/>
    <w:rsid w:val="007D63B3"/>
    <w:rsid w:val="007D6AB1"/>
    <w:rsid w:val="007D761D"/>
    <w:rsid w:val="007D7AFB"/>
    <w:rsid w:val="007E0441"/>
    <w:rsid w:val="007E0910"/>
    <w:rsid w:val="007E0CED"/>
    <w:rsid w:val="007E0FE1"/>
    <w:rsid w:val="007E1454"/>
    <w:rsid w:val="007E2505"/>
    <w:rsid w:val="007E260D"/>
    <w:rsid w:val="007E28A4"/>
    <w:rsid w:val="007E38E1"/>
    <w:rsid w:val="007E3C9F"/>
    <w:rsid w:val="007E3F8F"/>
    <w:rsid w:val="007E4334"/>
    <w:rsid w:val="007E43B7"/>
    <w:rsid w:val="007E4CCB"/>
    <w:rsid w:val="007E4D8F"/>
    <w:rsid w:val="007E4DC7"/>
    <w:rsid w:val="007E4DCA"/>
    <w:rsid w:val="007E545A"/>
    <w:rsid w:val="007E5549"/>
    <w:rsid w:val="007E572A"/>
    <w:rsid w:val="007E5898"/>
    <w:rsid w:val="007E5FFC"/>
    <w:rsid w:val="007E600F"/>
    <w:rsid w:val="007E6BAA"/>
    <w:rsid w:val="007E756A"/>
    <w:rsid w:val="007E772A"/>
    <w:rsid w:val="007E77B0"/>
    <w:rsid w:val="007E79DD"/>
    <w:rsid w:val="007E7B84"/>
    <w:rsid w:val="007F01D6"/>
    <w:rsid w:val="007F055B"/>
    <w:rsid w:val="007F0906"/>
    <w:rsid w:val="007F0FBE"/>
    <w:rsid w:val="007F1141"/>
    <w:rsid w:val="007F1684"/>
    <w:rsid w:val="007F21DB"/>
    <w:rsid w:val="007F2558"/>
    <w:rsid w:val="007F31ED"/>
    <w:rsid w:val="007F38B5"/>
    <w:rsid w:val="007F395F"/>
    <w:rsid w:val="007F3BD6"/>
    <w:rsid w:val="007F3F95"/>
    <w:rsid w:val="007F403A"/>
    <w:rsid w:val="007F4849"/>
    <w:rsid w:val="007F4C13"/>
    <w:rsid w:val="007F5320"/>
    <w:rsid w:val="007F5A42"/>
    <w:rsid w:val="007F5ADD"/>
    <w:rsid w:val="007F5B3F"/>
    <w:rsid w:val="007F5C1B"/>
    <w:rsid w:val="007F6183"/>
    <w:rsid w:val="007F638B"/>
    <w:rsid w:val="007F6691"/>
    <w:rsid w:val="007F66B8"/>
    <w:rsid w:val="007F6A6F"/>
    <w:rsid w:val="007F6AF1"/>
    <w:rsid w:val="007F6D4A"/>
    <w:rsid w:val="007F7012"/>
    <w:rsid w:val="007F73A2"/>
    <w:rsid w:val="007F7A3A"/>
    <w:rsid w:val="00800356"/>
    <w:rsid w:val="00800758"/>
    <w:rsid w:val="0080077B"/>
    <w:rsid w:val="00800A63"/>
    <w:rsid w:val="0080113B"/>
    <w:rsid w:val="00801BDF"/>
    <w:rsid w:val="00802372"/>
    <w:rsid w:val="008026E1"/>
    <w:rsid w:val="00802C58"/>
    <w:rsid w:val="008035F2"/>
    <w:rsid w:val="00803C2E"/>
    <w:rsid w:val="008049CA"/>
    <w:rsid w:val="00804AA9"/>
    <w:rsid w:val="00805617"/>
    <w:rsid w:val="0080620C"/>
    <w:rsid w:val="008063C6"/>
    <w:rsid w:val="008065EE"/>
    <w:rsid w:val="00806A50"/>
    <w:rsid w:val="00806C43"/>
    <w:rsid w:val="00807C34"/>
    <w:rsid w:val="008101BB"/>
    <w:rsid w:val="00810771"/>
    <w:rsid w:val="00810845"/>
    <w:rsid w:val="00810D20"/>
    <w:rsid w:val="00811B3C"/>
    <w:rsid w:val="00811CC5"/>
    <w:rsid w:val="0081282E"/>
    <w:rsid w:val="008128F8"/>
    <w:rsid w:val="00812DFB"/>
    <w:rsid w:val="00813107"/>
    <w:rsid w:val="00813184"/>
    <w:rsid w:val="00813191"/>
    <w:rsid w:val="008133B3"/>
    <w:rsid w:val="008134F6"/>
    <w:rsid w:val="0081353D"/>
    <w:rsid w:val="00813865"/>
    <w:rsid w:val="00813FDB"/>
    <w:rsid w:val="008142BB"/>
    <w:rsid w:val="00814AA2"/>
    <w:rsid w:val="00814D42"/>
    <w:rsid w:val="0081502B"/>
    <w:rsid w:val="008150C6"/>
    <w:rsid w:val="008150E2"/>
    <w:rsid w:val="0081546B"/>
    <w:rsid w:val="00816675"/>
    <w:rsid w:val="00816A25"/>
    <w:rsid w:val="00816B80"/>
    <w:rsid w:val="0081722E"/>
    <w:rsid w:val="00817951"/>
    <w:rsid w:val="0082019B"/>
    <w:rsid w:val="008201C8"/>
    <w:rsid w:val="0082021F"/>
    <w:rsid w:val="008209DB"/>
    <w:rsid w:val="00820E67"/>
    <w:rsid w:val="00820FF2"/>
    <w:rsid w:val="00821032"/>
    <w:rsid w:val="00821377"/>
    <w:rsid w:val="00821502"/>
    <w:rsid w:val="00821961"/>
    <w:rsid w:val="008219DB"/>
    <w:rsid w:val="00821BB3"/>
    <w:rsid w:val="00821DA4"/>
    <w:rsid w:val="00822006"/>
    <w:rsid w:val="008222D3"/>
    <w:rsid w:val="008228CA"/>
    <w:rsid w:val="00822C38"/>
    <w:rsid w:val="00822EA7"/>
    <w:rsid w:val="00823682"/>
    <w:rsid w:val="00823AB7"/>
    <w:rsid w:val="008246D7"/>
    <w:rsid w:val="00824BBD"/>
    <w:rsid w:val="0082507C"/>
    <w:rsid w:val="008254CF"/>
    <w:rsid w:val="00825843"/>
    <w:rsid w:val="008261E9"/>
    <w:rsid w:val="0082683A"/>
    <w:rsid w:val="008268FC"/>
    <w:rsid w:val="0082708D"/>
    <w:rsid w:val="00827091"/>
    <w:rsid w:val="008270F1"/>
    <w:rsid w:val="008270F9"/>
    <w:rsid w:val="0082721A"/>
    <w:rsid w:val="008272CC"/>
    <w:rsid w:val="00827E3B"/>
    <w:rsid w:val="008300D5"/>
    <w:rsid w:val="00830444"/>
    <w:rsid w:val="00830520"/>
    <w:rsid w:val="0083052F"/>
    <w:rsid w:val="008309A3"/>
    <w:rsid w:val="00830BE9"/>
    <w:rsid w:val="00830E4E"/>
    <w:rsid w:val="008312B6"/>
    <w:rsid w:val="00831941"/>
    <w:rsid w:val="008323A7"/>
    <w:rsid w:val="00832779"/>
    <w:rsid w:val="00832AF8"/>
    <w:rsid w:val="00832B9C"/>
    <w:rsid w:val="00832D61"/>
    <w:rsid w:val="00833124"/>
    <w:rsid w:val="00833B36"/>
    <w:rsid w:val="00834117"/>
    <w:rsid w:val="0083430B"/>
    <w:rsid w:val="00834E9F"/>
    <w:rsid w:val="008356C7"/>
    <w:rsid w:val="00835730"/>
    <w:rsid w:val="00835B17"/>
    <w:rsid w:val="00835DF9"/>
    <w:rsid w:val="0083673B"/>
    <w:rsid w:val="00836E10"/>
    <w:rsid w:val="008370A6"/>
    <w:rsid w:val="0083792A"/>
    <w:rsid w:val="00837A88"/>
    <w:rsid w:val="0084018C"/>
    <w:rsid w:val="0084073A"/>
    <w:rsid w:val="00840923"/>
    <w:rsid w:val="00840A53"/>
    <w:rsid w:val="00840EB4"/>
    <w:rsid w:val="008417A4"/>
    <w:rsid w:val="00841848"/>
    <w:rsid w:val="00841AD4"/>
    <w:rsid w:val="0084254E"/>
    <w:rsid w:val="00842CFD"/>
    <w:rsid w:val="00843062"/>
    <w:rsid w:val="008435BB"/>
    <w:rsid w:val="0084430F"/>
    <w:rsid w:val="00844497"/>
    <w:rsid w:val="0084454D"/>
    <w:rsid w:val="008445AD"/>
    <w:rsid w:val="00844F8E"/>
    <w:rsid w:val="008454ED"/>
    <w:rsid w:val="00845C1C"/>
    <w:rsid w:val="00845D4D"/>
    <w:rsid w:val="00846833"/>
    <w:rsid w:val="00846C83"/>
    <w:rsid w:val="00846EA4"/>
    <w:rsid w:val="00846EDB"/>
    <w:rsid w:val="0084735A"/>
    <w:rsid w:val="008476D0"/>
    <w:rsid w:val="00847C93"/>
    <w:rsid w:val="00847D90"/>
    <w:rsid w:val="00847DB9"/>
    <w:rsid w:val="00850483"/>
    <w:rsid w:val="00850593"/>
    <w:rsid w:val="0085075A"/>
    <w:rsid w:val="008507B0"/>
    <w:rsid w:val="00850A55"/>
    <w:rsid w:val="00850F74"/>
    <w:rsid w:val="0085107A"/>
    <w:rsid w:val="0085166B"/>
    <w:rsid w:val="00851D18"/>
    <w:rsid w:val="00852097"/>
    <w:rsid w:val="00852154"/>
    <w:rsid w:val="008521EF"/>
    <w:rsid w:val="0085290F"/>
    <w:rsid w:val="00852D13"/>
    <w:rsid w:val="00852E5C"/>
    <w:rsid w:val="008533A5"/>
    <w:rsid w:val="0085396A"/>
    <w:rsid w:val="0085461B"/>
    <w:rsid w:val="00854791"/>
    <w:rsid w:val="00854E8A"/>
    <w:rsid w:val="00855318"/>
    <w:rsid w:val="00855694"/>
    <w:rsid w:val="008556F8"/>
    <w:rsid w:val="008559D1"/>
    <w:rsid w:val="00855CE6"/>
    <w:rsid w:val="00855D6C"/>
    <w:rsid w:val="00857689"/>
    <w:rsid w:val="00857B9B"/>
    <w:rsid w:val="00860C55"/>
    <w:rsid w:val="00861527"/>
    <w:rsid w:val="008619F6"/>
    <w:rsid w:val="00861BD7"/>
    <w:rsid w:val="00861F35"/>
    <w:rsid w:val="00862511"/>
    <w:rsid w:val="00862C1F"/>
    <w:rsid w:val="00862D4B"/>
    <w:rsid w:val="00863227"/>
    <w:rsid w:val="0086376E"/>
    <w:rsid w:val="00863B35"/>
    <w:rsid w:val="00863CC5"/>
    <w:rsid w:val="0086425E"/>
    <w:rsid w:val="008644B3"/>
    <w:rsid w:val="00866B1A"/>
    <w:rsid w:val="00866E20"/>
    <w:rsid w:val="00867017"/>
    <w:rsid w:val="0086702A"/>
    <w:rsid w:val="008671C1"/>
    <w:rsid w:val="0086737A"/>
    <w:rsid w:val="00867496"/>
    <w:rsid w:val="008675AF"/>
    <w:rsid w:val="008700F6"/>
    <w:rsid w:val="00870D08"/>
    <w:rsid w:val="0087135C"/>
    <w:rsid w:val="00871E43"/>
    <w:rsid w:val="00871E62"/>
    <w:rsid w:val="008724F3"/>
    <w:rsid w:val="00872558"/>
    <w:rsid w:val="00872621"/>
    <w:rsid w:val="00872FE8"/>
    <w:rsid w:val="0087317A"/>
    <w:rsid w:val="00873214"/>
    <w:rsid w:val="00873539"/>
    <w:rsid w:val="00873762"/>
    <w:rsid w:val="008737A8"/>
    <w:rsid w:val="00873F14"/>
    <w:rsid w:val="00873F54"/>
    <w:rsid w:val="00874813"/>
    <w:rsid w:val="00875882"/>
    <w:rsid w:val="008763FD"/>
    <w:rsid w:val="008769D0"/>
    <w:rsid w:val="00876C12"/>
    <w:rsid w:val="0087711F"/>
    <w:rsid w:val="008772D7"/>
    <w:rsid w:val="008774A6"/>
    <w:rsid w:val="008803A6"/>
    <w:rsid w:val="00880596"/>
    <w:rsid w:val="008805E6"/>
    <w:rsid w:val="008807E2"/>
    <w:rsid w:val="00880DD5"/>
    <w:rsid w:val="008810A9"/>
    <w:rsid w:val="00881248"/>
    <w:rsid w:val="0088188C"/>
    <w:rsid w:val="00882081"/>
    <w:rsid w:val="0088373B"/>
    <w:rsid w:val="00883937"/>
    <w:rsid w:val="00883A0F"/>
    <w:rsid w:val="00883CB9"/>
    <w:rsid w:val="00883CCE"/>
    <w:rsid w:val="0088424A"/>
    <w:rsid w:val="00884743"/>
    <w:rsid w:val="008847A4"/>
    <w:rsid w:val="0088482F"/>
    <w:rsid w:val="00884D1D"/>
    <w:rsid w:val="00885B32"/>
    <w:rsid w:val="00885F55"/>
    <w:rsid w:val="00886500"/>
    <w:rsid w:val="00887038"/>
    <w:rsid w:val="00887050"/>
    <w:rsid w:val="008878E3"/>
    <w:rsid w:val="0088792B"/>
    <w:rsid w:val="00890AE3"/>
    <w:rsid w:val="00890FF8"/>
    <w:rsid w:val="008911D0"/>
    <w:rsid w:val="00891406"/>
    <w:rsid w:val="008915BC"/>
    <w:rsid w:val="008915EA"/>
    <w:rsid w:val="008922B8"/>
    <w:rsid w:val="008926AA"/>
    <w:rsid w:val="00892FD2"/>
    <w:rsid w:val="008934F0"/>
    <w:rsid w:val="008934FD"/>
    <w:rsid w:val="008936E9"/>
    <w:rsid w:val="00893702"/>
    <w:rsid w:val="00893989"/>
    <w:rsid w:val="0089481F"/>
    <w:rsid w:val="008949EB"/>
    <w:rsid w:val="00895A11"/>
    <w:rsid w:val="00895A20"/>
    <w:rsid w:val="008964E4"/>
    <w:rsid w:val="00896614"/>
    <w:rsid w:val="008969E4"/>
    <w:rsid w:val="00897195"/>
    <w:rsid w:val="008A0145"/>
    <w:rsid w:val="008A059D"/>
    <w:rsid w:val="008A0784"/>
    <w:rsid w:val="008A086C"/>
    <w:rsid w:val="008A0E31"/>
    <w:rsid w:val="008A0F61"/>
    <w:rsid w:val="008A10DF"/>
    <w:rsid w:val="008A14D2"/>
    <w:rsid w:val="008A17CC"/>
    <w:rsid w:val="008A1B38"/>
    <w:rsid w:val="008A1CC4"/>
    <w:rsid w:val="008A1F19"/>
    <w:rsid w:val="008A2161"/>
    <w:rsid w:val="008A27A1"/>
    <w:rsid w:val="008A28DC"/>
    <w:rsid w:val="008A2F6F"/>
    <w:rsid w:val="008A346C"/>
    <w:rsid w:val="008A3531"/>
    <w:rsid w:val="008A37AA"/>
    <w:rsid w:val="008A38E5"/>
    <w:rsid w:val="008A3916"/>
    <w:rsid w:val="008A3C75"/>
    <w:rsid w:val="008A3CA5"/>
    <w:rsid w:val="008A43C4"/>
    <w:rsid w:val="008A4854"/>
    <w:rsid w:val="008A4BC2"/>
    <w:rsid w:val="008A4CAC"/>
    <w:rsid w:val="008A4D7B"/>
    <w:rsid w:val="008A5779"/>
    <w:rsid w:val="008A590E"/>
    <w:rsid w:val="008A5ABC"/>
    <w:rsid w:val="008A6691"/>
    <w:rsid w:val="008A67A8"/>
    <w:rsid w:val="008A75B6"/>
    <w:rsid w:val="008A7887"/>
    <w:rsid w:val="008A79A1"/>
    <w:rsid w:val="008B03F3"/>
    <w:rsid w:val="008B0DBB"/>
    <w:rsid w:val="008B10FE"/>
    <w:rsid w:val="008B1319"/>
    <w:rsid w:val="008B14A1"/>
    <w:rsid w:val="008B1637"/>
    <w:rsid w:val="008B1864"/>
    <w:rsid w:val="008B1AC9"/>
    <w:rsid w:val="008B1D6D"/>
    <w:rsid w:val="008B1D9D"/>
    <w:rsid w:val="008B20BD"/>
    <w:rsid w:val="008B246B"/>
    <w:rsid w:val="008B2892"/>
    <w:rsid w:val="008B433C"/>
    <w:rsid w:val="008B446A"/>
    <w:rsid w:val="008B4478"/>
    <w:rsid w:val="008B45E2"/>
    <w:rsid w:val="008B4C3D"/>
    <w:rsid w:val="008B4E39"/>
    <w:rsid w:val="008B4F76"/>
    <w:rsid w:val="008B64F4"/>
    <w:rsid w:val="008B6949"/>
    <w:rsid w:val="008B6F0C"/>
    <w:rsid w:val="008B72AE"/>
    <w:rsid w:val="008C040E"/>
    <w:rsid w:val="008C1318"/>
    <w:rsid w:val="008C15BF"/>
    <w:rsid w:val="008C15F8"/>
    <w:rsid w:val="008C19BD"/>
    <w:rsid w:val="008C1C37"/>
    <w:rsid w:val="008C3142"/>
    <w:rsid w:val="008C3BE9"/>
    <w:rsid w:val="008C421D"/>
    <w:rsid w:val="008C46C7"/>
    <w:rsid w:val="008C4C91"/>
    <w:rsid w:val="008C5409"/>
    <w:rsid w:val="008C5423"/>
    <w:rsid w:val="008C58FD"/>
    <w:rsid w:val="008C5F57"/>
    <w:rsid w:val="008C5FCC"/>
    <w:rsid w:val="008C6059"/>
    <w:rsid w:val="008C61C7"/>
    <w:rsid w:val="008C6642"/>
    <w:rsid w:val="008C68A7"/>
    <w:rsid w:val="008C68F2"/>
    <w:rsid w:val="008C7AC8"/>
    <w:rsid w:val="008C7C73"/>
    <w:rsid w:val="008D0572"/>
    <w:rsid w:val="008D0B52"/>
    <w:rsid w:val="008D0ED0"/>
    <w:rsid w:val="008D11E0"/>
    <w:rsid w:val="008D14E0"/>
    <w:rsid w:val="008D15BD"/>
    <w:rsid w:val="008D216B"/>
    <w:rsid w:val="008D24F1"/>
    <w:rsid w:val="008D25F1"/>
    <w:rsid w:val="008D30A2"/>
    <w:rsid w:val="008D372E"/>
    <w:rsid w:val="008D4663"/>
    <w:rsid w:val="008D4923"/>
    <w:rsid w:val="008D4E7E"/>
    <w:rsid w:val="008D59A2"/>
    <w:rsid w:val="008D5E48"/>
    <w:rsid w:val="008D5F8B"/>
    <w:rsid w:val="008D5FAD"/>
    <w:rsid w:val="008D6114"/>
    <w:rsid w:val="008D6327"/>
    <w:rsid w:val="008D6F6F"/>
    <w:rsid w:val="008D7B7C"/>
    <w:rsid w:val="008E00C6"/>
    <w:rsid w:val="008E0303"/>
    <w:rsid w:val="008E04D3"/>
    <w:rsid w:val="008E080E"/>
    <w:rsid w:val="008E0FAB"/>
    <w:rsid w:val="008E1EF6"/>
    <w:rsid w:val="008E1F49"/>
    <w:rsid w:val="008E2002"/>
    <w:rsid w:val="008E24BF"/>
    <w:rsid w:val="008E2D5D"/>
    <w:rsid w:val="008E34C7"/>
    <w:rsid w:val="008E3929"/>
    <w:rsid w:val="008E3DAF"/>
    <w:rsid w:val="008E4069"/>
    <w:rsid w:val="008E46CB"/>
    <w:rsid w:val="008E5C42"/>
    <w:rsid w:val="008E5E79"/>
    <w:rsid w:val="008E6011"/>
    <w:rsid w:val="008E62FE"/>
    <w:rsid w:val="008E6D62"/>
    <w:rsid w:val="008E787D"/>
    <w:rsid w:val="008F0556"/>
    <w:rsid w:val="008F0F40"/>
    <w:rsid w:val="008F13B9"/>
    <w:rsid w:val="008F1ECC"/>
    <w:rsid w:val="008F2BD0"/>
    <w:rsid w:val="008F2CFE"/>
    <w:rsid w:val="008F2EA3"/>
    <w:rsid w:val="008F346E"/>
    <w:rsid w:val="008F34EC"/>
    <w:rsid w:val="008F3A38"/>
    <w:rsid w:val="008F4CC5"/>
    <w:rsid w:val="008F5305"/>
    <w:rsid w:val="008F5A33"/>
    <w:rsid w:val="008F5F4D"/>
    <w:rsid w:val="008F6233"/>
    <w:rsid w:val="008F64B2"/>
    <w:rsid w:val="008F64F0"/>
    <w:rsid w:val="008F65A6"/>
    <w:rsid w:val="008F667D"/>
    <w:rsid w:val="008F6DB7"/>
    <w:rsid w:val="008F6DE0"/>
    <w:rsid w:val="008F7798"/>
    <w:rsid w:val="008F7811"/>
    <w:rsid w:val="008F7F0E"/>
    <w:rsid w:val="009004A3"/>
    <w:rsid w:val="0090052A"/>
    <w:rsid w:val="00900FC7"/>
    <w:rsid w:val="00901263"/>
    <w:rsid w:val="0090159D"/>
    <w:rsid w:val="009015B6"/>
    <w:rsid w:val="009019EF"/>
    <w:rsid w:val="00901CA1"/>
    <w:rsid w:val="00901CB5"/>
    <w:rsid w:val="00902054"/>
    <w:rsid w:val="00902512"/>
    <w:rsid w:val="00902CDA"/>
    <w:rsid w:val="00902EB8"/>
    <w:rsid w:val="0090314D"/>
    <w:rsid w:val="009037C5"/>
    <w:rsid w:val="009037E6"/>
    <w:rsid w:val="00903875"/>
    <w:rsid w:val="00903902"/>
    <w:rsid w:val="00903F6E"/>
    <w:rsid w:val="009042CF"/>
    <w:rsid w:val="00904947"/>
    <w:rsid w:val="00904BE6"/>
    <w:rsid w:val="009051A8"/>
    <w:rsid w:val="00905F46"/>
    <w:rsid w:val="009060D7"/>
    <w:rsid w:val="0090648F"/>
    <w:rsid w:val="0090696A"/>
    <w:rsid w:val="00907491"/>
    <w:rsid w:val="00907572"/>
    <w:rsid w:val="009075C3"/>
    <w:rsid w:val="009079C2"/>
    <w:rsid w:val="00910792"/>
    <w:rsid w:val="00910852"/>
    <w:rsid w:val="00910D2A"/>
    <w:rsid w:val="0091117B"/>
    <w:rsid w:val="00911182"/>
    <w:rsid w:val="00911358"/>
    <w:rsid w:val="0091198F"/>
    <w:rsid w:val="00911C27"/>
    <w:rsid w:val="00911DB4"/>
    <w:rsid w:val="009120C4"/>
    <w:rsid w:val="00912530"/>
    <w:rsid w:val="00912545"/>
    <w:rsid w:val="009125DB"/>
    <w:rsid w:val="0091377B"/>
    <w:rsid w:val="00914941"/>
    <w:rsid w:val="00915543"/>
    <w:rsid w:val="00915613"/>
    <w:rsid w:val="00915680"/>
    <w:rsid w:val="00915898"/>
    <w:rsid w:val="009159C8"/>
    <w:rsid w:val="00915A7A"/>
    <w:rsid w:val="00915E45"/>
    <w:rsid w:val="00916328"/>
    <w:rsid w:val="00916D1A"/>
    <w:rsid w:val="00916F34"/>
    <w:rsid w:val="00916F75"/>
    <w:rsid w:val="00917049"/>
    <w:rsid w:val="0091708F"/>
    <w:rsid w:val="009172A9"/>
    <w:rsid w:val="0091777B"/>
    <w:rsid w:val="0091780C"/>
    <w:rsid w:val="00917BC1"/>
    <w:rsid w:val="00917C74"/>
    <w:rsid w:val="009202DC"/>
    <w:rsid w:val="0092039F"/>
    <w:rsid w:val="009204B6"/>
    <w:rsid w:val="00920C9C"/>
    <w:rsid w:val="0092128E"/>
    <w:rsid w:val="009215C5"/>
    <w:rsid w:val="0092189F"/>
    <w:rsid w:val="00922996"/>
    <w:rsid w:val="00922A95"/>
    <w:rsid w:val="00922CD2"/>
    <w:rsid w:val="0092342C"/>
    <w:rsid w:val="00923442"/>
    <w:rsid w:val="00923866"/>
    <w:rsid w:val="009238AF"/>
    <w:rsid w:val="0092393E"/>
    <w:rsid w:val="00923A46"/>
    <w:rsid w:val="00923B98"/>
    <w:rsid w:val="00923BF2"/>
    <w:rsid w:val="0092459D"/>
    <w:rsid w:val="0092465B"/>
    <w:rsid w:val="00924C1A"/>
    <w:rsid w:val="00925879"/>
    <w:rsid w:val="00925F55"/>
    <w:rsid w:val="009261EA"/>
    <w:rsid w:val="00926767"/>
    <w:rsid w:val="00926954"/>
    <w:rsid w:val="0092696D"/>
    <w:rsid w:val="00926D04"/>
    <w:rsid w:val="00926FD4"/>
    <w:rsid w:val="009272B3"/>
    <w:rsid w:val="00927582"/>
    <w:rsid w:val="009278C2"/>
    <w:rsid w:val="009279A9"/>
    <w:rsid w:val="00927B8E"/>
    <w:rsid w:val="009302EA"/>
    <w:rsid w:val="00930379"/>
    <w:rsid w:val="009309E4"/>
    <w:rsid w:val="00931152"/>
    <w:rsid w:val="00931230"/>
    <w:rsid w:val="009321C7"/>
    <w:rsid w:val="00932521"/>
    <w:rsid w:val="009325C9"/>
    <w:rsid w:val="00932A06"/>
    <w:rsid w:val="00932B1E"/>
    <w:rsid w:val="00932E97"/>
    <w:rsid w:val="009338D7"/>
    <w:rsid w:val="00933C0B"/>
    <w:rsid w:val="009342A3"/>
    <w:rsid w:val="00934366"/>
    <w:rsid w:val="00934F68"/>
    <w:rsid w:val="009359BB"/>
    <w:rsid w:val="00935C2A"/>
    <w:rsid w:val="00935DE9"/>
    <w:rsid w:val="00936CB3"/>
    <w:rsid w:val="00936D8D"/>
    <w:rsid w:val="00937DC5"/>
    <w:rsid w:val="00937F0F"/>
    <w:rsid w:val="009406DF"/>
    <w:rsid w:val="00941A71"/>
    <w:rsid w:val="00941D19"/>
    <w:rsid w:val="00942998"/>
    <w:rsid w:val="00942D3D"/>
    <w:rsid w:val="00943352"/>
    <w:rsid w:val="0094336C"/>
    <w:rsid w:val="00943F16"/>
    <w:rsid w:val="00944055"/>
    <w:rsid w:val="009440C8"/>
    <w:rsid w:val="009444F1"/>
    <w:rsid w:val="00944684"/>
    <w:rsid w:val="009447EB"/>
    <w:rsid w:val="00945115"/>
    <w:rsid w:val="00945120"/>
    <w:rsid w:val="009452F0"/>
    <w:rsid w:val="00945326"/>
    <w:rsid w:val="00945543"/>
    <w:rsid w:val="00946138"/>
    <w:rsid w:val="00946175"/>
    <w:rsid w:val="009465A0"/>
    <w:rsid w:val="009466FD"/>
    <w:rsid w:val="009468CD"/>
    <w:rsid w:val="00947321"/>
    <w:rsid w:val="00947A2A"/>
    <w:rsid w:val="00947A88"/>
    <w:rsid w:val="0095093F"/>
    <w:rsid w:val="00950BC6"/>
    <w:rsid w:val="00950C32"/>
    <w:rsid w:val="00950C68"/>
    <w:rsid w:val="0095149B"/>
    <w:rsid w:val="00951728"/>
    <w:rsid w:val="0095211F"/>
    <w:rsid w:val="00952273"/>
    <w:rsid w:val="0095298B"/>
    <w:rsid w:val="00952D70"/>
    <w:rsid w:val="00953016"/>
    <w:rsid w:val="009532D8"/>
    <w:rsid w:val="00953F4B"/>
    <w:rsid w:val="00953FC2"/>
    <w:rsid w:val="00954230"/>
    <w:rsid w:val="00954EB1"/>
    <w:rsid w:val="00955404"/>
    <w:rsid w:val="0095575B"/>
    <w:rsid w:val="00955D3F"/>
    <w:rsid w:val="0095627D"/>
    <w:rsid w:val="00956347"/>
    <w:rsid w:val="00956480"/>
    <w:rsid w:val="0095690B"/>
    <w:rsid w:val="00956B1C"/>
    <w:rsid w:val="00956C39"/>
    <w:rsid w:val="00956D20"/>
    <w:rsid w:val="00957570"/>
    <w:rsid w:val="009579EB"/>
    <w:rsid w:val="00957A86"/>
    <w:rsid w:val="00957BC0"/>
    <w:rsid w:val="00960117"/>
    <w:rsid w:val="0096025E"/>
    <w:rsid w:val="009605E2"/>
    <w:rsid w:val="00960746"/>
    <w:rsid w:val="00960865"/>
    <w:rsid w:val="0096098C"/>
    <w:rsid w:val="00961C47"/>
    <w:rsid w:val="00962053"/>
    <w:rsid w:val="00962F6A"/>
    <w:rsid w:val="0096310D"/>
    <w:rsid w:val="00963FC2"/>
    <w:rsid w:val="00964A08"/>
    <w:rsid w:val="00964C4B"/>
    <w:rsid w:val="009656FC"/>
    <w:rsid w:val="00965EE5"/>
    <w:rsid w:val="009662C2"/>
    <w:rsid w:val="009664CF"/>
    <w:rsid w:val="0096661E"/>
    <w:rsid w:val="0096689D"/>
    <w:rsid w:val="009669C3"/>
    <w:rsid w:val="009669C8"/>
    <w:rsid w:val="00966F90"/>
    <w:rsid w:val="00967281"/>
    <w:rsid w:val="009674EE"/>
    <w:rsid w:val="00970D50"/>
    <w:rsid w:val="00970DF2"/>
    <w:rsid w:val="00971235"/>
    <w:rsid w:val="00971F6D"/>
    <w:rsid w:val="00971FC4"/>
    <w:rsid w:val="0097264B"/>
    <w:rsid w:val="00972E22"/>
    <w:rsid w:val="00973073"/>
    <w:rsid w:val="00973265"/>
    <w:rsid w:val="00973276"/>
    <w:rsid w:val="009736EB"/>
    <w:rsid w:val="00973715"/>
    <w:rsid w:val="0097391F"/>
    <w:rsid w:val="00973B15"/>
    <w:rsid w:val="00974449"/>
    <w:rsid w:val="009744F1"/>
    <w:rsid w:val="00974559"/>
    <w:rsid w:val="00975105"/>
    <w:rsid w:val="009757ED"/>
    <w:rsid w:val="00975A03"/>
    <w:rsid w:val="00975EEA"/>
    <w:rsid w:val="00976368"/>
    <w:rsid w:val="009773A3"/>
    <w:rsid w:val="00977CE4"/>
    <w:rsid w:val="009801ED"/>
    <w:rsid w:val="00980342"/>
    <w:rsid w:val="009803B1"/>
    <w:rsid w:val="00980ECD"/>
    <w:rsid w:val="00981592"/>
    <w:rsid w:val="00981B5F"/>
    <w:rsid w:val="0098200B"/>
    <w:rsid w:val="009823A5"/>
    <w:rsid w:val="0098337F"/>
    <w:rsid w:val="0098372F"/>
    <w:rsid w:val="00983B79"/>
    <w:rsid w:val="00984030"/>
    <w:rsid w:val="009842D0"/>
    <w:rsid w:val="00984776"/>
    <w:rsid w:val="00985113"/>
    <w:rsid w:val="009852CE"/>
    <w:rsid w:val="009857EA"/>
    <w:rsid w:val="0098581A"/>
    <w:rsid w:val="00985A3B"/>
    <w:rsid w:val="00986626"/>
    <w:rsid w:val="00986743"/>
    <w:rsid w:val="009875D5"/>
    <w:rsid w:val="00990156"/>
    <w:rsid w:val="00990160"/>
    <w:rsid w:val="009907C1"/>
    <w:rsid w:val="0099081C"/>
    <w:rsid w:val="00991C6B"/>
    <w:rsid w:val="00991C9A"/>
    <w:rsid w:val="00992683"/>
    <w:rsid w:val="00992EDE"/>
    <w:rsid w:val="00993DB4"/>
    <w:rsid w:val="0099435F"/>
    <w:rsid w:val="009946BE"/>
    <w:rsid w:val="00994CA8"/>
    <w:rsid w:val="00994ECF"/>
    <w:rsid w:val="00994F14"/>
    <w:rsid w:val="00995239"/>
    <w:rsid w:val="00995501"/>
    <w:rsid w:val="00995CBA"/>
    <w:rsid w:val="00995FDA"/>
    <w:rsid w:val="00996275"/>
    <w:rsid w:val="00996753"/>
    <w:rsid w:val="00996780"/>
    <w:rsid w:val="00996D2E"/>
    <w:rsid w:val="00996F7E"/>
    <w:rsid w:val="00997777"/>
    <w:rsid w:val="00997BBA"/>
    <w:rsid w:val="00997EB6"/>
    <w:rsid w:val="00997FA6"/>
    <w:rsid w:val="009A0F8A"/>
    <w:rsid w:val="009A1462"/>
    <w:rsid w:val="009A1CC8"/>
    <w:rsid w:val="009A2513"/>
    <w:rsid w:val="009A328A"/>
    <w:rsid w:val="009A3491"/>
    <w:rsid w:val="009A36A3"/>
    <w:rsid w:val="009A3DED"/>
    <w:rsid w:val="009A40B9"/>
    <w:rsid w:val="009A450C"/>
    <w:rsid w:val="009A4C9A"/>
    <w:rsid w:val="009A501D"/>
    <w:rsid w:val="009A511D"/>
    <w:rsid w:val="009A513C"/>
    <w:rsid w:val="009A67DC"/>
    <w:rsid w:val="009A742F"/>
    <w:rsid w:val="009A74A4"/>
    <w:rsid w:val="009A74C8"/>
    <w:rsid w:val="009A7849"/>
    <w:rsid w:val="009A7AB2"/>
    <w:rsid w:val="009A7B81"/>
    <w:rsid w:val="009A7C3B"/>
    <w:rsid w:val="009B06CF"/>
    <w:rsid w:val="009B1984"/>
    <w:rsid w:val="009B1F4A"/>
    <w:rsid w:val="009B217A"/>
    <w:rsid w:val="009B21D6"/>
    <w:rsid w:val="009B250B"/>
    <w:rsid w:val="009B27BB"/>
    <w:rsid w:val="009B2859"/>
    <w:rsid w:val="009B315A"/>
    <w:rsid w:val="009B353C"/>
    <w:rsid w:val="009B3920"/>
    <w:rsid w:val="009B3A15"/>
    <w:rsid w:val="009B3A86"/>
    <w:rsid w:val="009B41DF"/>
    <w:rsid w:val="009B4328"/>
    <w:rsid w:val="009B4730"/>
    <w:rsid w:val="009B506A"/>
    <w:rsid w:val="009B50D6"/>
    <w:rsid w:val="009B5180"/>
    <w:rsid w:val="009B520A"/>
    <w:rsid w:val="009B5767"/>
    <w:rsid w:val="009B594F"/>
    <w:rsid w:val="009B59F3"/>
    <w:rsid w:val="009B6A06"/>
    <w:rsid w:val="009B6A77"/>
    <w:rsid w:val="009B6E22"/>
    <w:rsid w:val="009C0051"/>
    <w:rsid w:val="009C040E"/>
    <w:rsid w:val="009C0AF8"/>
    <w:rsid w:val="009C0B2B"/>
    <w:rsid w:val="009C1A65"/>
    <w:rsid w:val="009C1EED"/>
    <w:rsid w:val="009C2139"/>
    <w:rsid w:val="009C21AD"/>
    <w:rsid w:val="009C2569"/>
    <w:rsid w:val="009C266C"/>
    <w:rsid w:val="009C2DCB"/>
    <w:rsid w:val="009C2F50"/>
    <w:rsid w:val="009C30F0"/>
    <w:rsid w:val="009C42EA"/>
    <w:rsid w:val="009C48B2"/>
    <w:rsid w:val="009C4A37"/>
    <w:rsid w:val="009C5202"/>
    <w:rsid w:val="009C5280"/>
    <w:rsid w:val="009C59D1"/>
    <w:rsid w:val="009C5BF5"/>
    <w:rsid w:val="009C640F"/>
    <w:rsid w:val="009C652C"/>
    <w:rsid w:val="009C6B5E"/>
    <w:rsid w:val="009C6E6D"/>
    <w:rsid w:val="009C7200"/>
    <w:rsid w:val="009C7433"/>
    <w:rsid w:val="009C7A27"/>
    <w:rsid w:val="009C7DBB"/>
    <w:rsid w:val="009D0161"/>
    <w:rsid w:val="009D02D7"/>
    <w:rsid w:val="009D0374"/>
    <w:rsid w:val="009D0AAE"/>
    <w:rsid w:val="009D1104"/>
    <w:rsid w:val="009D18B7"/>
    <w:rsid w:val="009D1B97"/>
    <w:rsid w:val="009D1E2B"/>
    <w:rsid w:val="009D203B"/>
    <w:rsid w:val="009D2615"/>
    <w:rsid w:val="009D2C13"/>
    <w:rsid w:val="009D2D2A"/>
    <w:rsid w:val="009D303E"/>
    <w:rsid w:val="009D3804"/>
    <w:rsid w:val="009D3821"/>
    <w:rsid w:val="009D3A48"/>
    <w:rsid w:val="009D3D05"/>
    <w:rsid w:val="009D4614"/>
    <w:rsid w:val="009D4B33"/>
    <w:rsid w:val="009D4C09"/>
    <w:rsid w:val="009D4D3B"/>
    <w:rsid w:val="009D4F0F"/>
    <w:rsid w:val="009D4F27"/>
    <w:rsid w:val="009D5165"/>
    <w:rsid w:val="009D557E"/>
    <w:rsid w:val="009D604A"/>
    <w:rsid w:val="009D60AF"/>
    <w:rsid w:val="009D62A2"/>
    <w:rsid w:val="009D642F"/>
    <w:rsid w:val="009D649B"/>
    <w:rsid w:val="009D67D3"/>
    <w:rsid w:val="009D71FF"/>
    <w:rsid w:val="009D7511"/>
    <w:rsid w:val="009D7886"/>
    <w:rsid w:val="009D7AAA"/>
    <w:rsid w:val="009E14FE"/>
    <w:rsid w:val="009E1F0D"/>
    <w:rsid w:val="009E26E3"/>
    <w:rsid w:val="009E2A0C"/>
    <w:rsid w:val="009E2CC9"/>
    <w:rsid w:val="009E344A"/>
    <w:rsid w:val="009E39AC"/>
    <w:rsid w:val="009E3DA4"/>
    <w:rsid w:val="009E41C0"/>
    <w:rsid w:val="009E44A7"/>
    <w:rsid w:val="009E4887"/>
    <w:rsid w:val="009E5258"/>
    <w:rsid w:val="009E578F"/>
    <w:rsid w:val="009E59F3"/>
    <w:rsid w:val="009E5AA4"/>
    <w:rsid w:val="009E5FB8"/>
    <w:rsid w:val="009E632C"/>
    <w:rsid w:val="009E638E"/>
    <w:rsid w:val="009E6532"/>
    <w:rsid w:val="009E6764"/>
    <w:rsid w:val="009E683E"/>
    <w:rsid w:val="009E7290"/>
    <w:rsid w:val="009E7761"/>
    <w:rsid w:val="009E79D5"/>
    <w:rsid w:val="009E7BF2"/>
    <w:rsid w:val="009F092B"/>
    <w:rsid w:val="009F1316"/>
    <w:rsid w:val="009F1D21"/>
    <w:rsid w:val="009F205D"/>
    <w:rsid w:val="009F2070"/>
    <w:rsid w:val="009F2266"/>
    <w:rsid w:val="009F26EA"/>
    <w:rsid w:val="009F2A85"/>
    <w:rsid w:val="009F2CED"/>
    <w:rsid w:val="009F3663"/>
    <w:rsid w:val="009F39B3"/>
    <w:rsid w:val="009F3A9C"/>
    <w:rsid w:val="009F3AB1"/>
    <w:rsid w:val="009F3C78"/>
    <w:rsid w:val="009F3DA8"/>
    <w:rsid w:val="009F3EBF"/>
    <w:rsid w:val="009F434A"/>
    <w:rsid w:val="009F4647"/>
    <w:rsid w:val="009F4CB3"/>
    <w:rsid w:val="009F52A3"/>
    <w:rsid w:val="009F5644"/>
    <w:rsid w:val="009F6519"/>
    <w:rsid w:val="009F6829"/>
    <w:rsid w:val="009F6EE5"/>
    <w:rsid w:val="009F7F0A"/>
    <w:rsid w:val="00A00294"/>
    <w:rsid w:val="00A0058F"/>
    <w:rsid w:val="00A012C8"/>
    <w:rsid w:val="00A016FE"/>
    <w:rsid w:val="00A01930"/>
    <w:rsid w:val="00A01C69"/>
    <w:rsid w:val="00A01D9A"/>
    <w:rsid w:val="00A0251F"/>
    <w:rsid w:val="00A02EC7"/>
    <w:rsid w:val="00A03119"/>
    <w:rsid w:val="00A03BDF"/>
    <w:rsid w:val="00A04113"/>
    <w:rsid w:val="00A044A1"/>
    <w:rsid w:val="00A048DF"/>
    <w:rsid w:val="00A048FB"/>
    <w:rsid w:val="00A05240"/>
    <w:rsid w:val="00A055AA"/>
    <w:rsid w:val="00A05744"/>
    <w:rsid w:val="00A05C19"/>
    <w:rsid w:val="00A05DCB"/>
    <w:rsid w:val="00A05E78"/>
    <w:rsid w:val="00A0602E"/>
    <w:rsid w:val="00A0673D"/>
    <w:rsid w:val="00A0695B"/>
    <w:rsid w:val="00A06D8C"/>
    <w:rsid w:val="00A06DBC"/>
    <w:rsid w:val="00A06F08"/>
    <w:rsid w:val="00A072B8"/>
    <w:rsid w:val="00A07531"/>
    <w:rsid w:val="00A0773E"/>
    <w:rsid w:val="00A0779E"/>
    <w:rsid w:val="00A07867"/>
    <w:rsid w:val="00A07A12"/>
    <w:rsid w:val="00A07E33"/>
    <w:rsid w:val="00A10278"/>
    <w:rsid w:val="00A10457"/>
    <w:rsid w:val="00A11978"/>
    <w:rsid w:val="00A12357"/>
    <w:rsid w:val="00A128D6"/>
    <w:rsid w:val="00A12A1D"/>
    <w:rsid w:val="00A13107"/>
    <w:rsid w:val="00A13330"/>
    <w:rsid w:val="00A1366A"/>
    <w:rsid w:val="00A1445B"/>
    <w:rsid w:val="00A144BD"/>
    <w:rsid w:val="00A14ED0"/>
    <w:rsid w:val="00A15292"/>
    <w:rsid w:val="00A1687D"/>
    <w:rsid w:val="00A16965"/>
    <w:rsid w:val="00A16E4B"/>
    <w:rsid w:val="00A16EF8"/>
    <w:rsid w:val="00A17147"/>
    <w:rsid w:val="00A17781"/>
    <w:rsid w:val="00A1780B"/>
    <w:rsid w:val="00A2008D"/>
    <w:rsid w:val="00A21A5A"/>
    <w:rsid w:val="00A21BCC"/>
    <w:rsid w:val="00A22204"/>
    <w:rsid w:val="00A2222A"/>
    <w:rsid w:val="00A233CF"/>
    <w:rsid w:val="00A234D4"/>
    <w:rsid w:val="00A238BE"/>
    <w:rsid w:val="00A23F42"/>
    <w:rsid w:val="00A243E8"/>
    <w:rsid w:val="00A24966"/>
    <w:rsid w:val="00A249F4"/>
    <w:rsid w:val="00A24B10"/>
    <w:rsid w:val="00A25994"/>
    <w:rsid w:val="00A25CC7"/>
    <w:rsid w:val="00A26492"/>
    <w:rsid w:val="00A265DA"/>
    <w:rsid w:val="00A273D4"/>
    <w:rsid w:val="00A2740B"/>
    <w:rsid w:val="00A276D6"/>
    <w:rsid w:val="00A278A2"/>
    <w:rsid w:val="00A3097F"/>
    <w:rsid w:val="00A311BB"/>
    <w:rsid w:val="00A31391"/>
    <w:rsid w:val="00A31F5A"/>
    <w:rsid w:val="00A32604"/>
    <w:rsid w:val="00A32765"/>
    <w:rsid w:val="00A32E9B"/>
    <w:rsid w:val="00A33285"/>
    <w:rsid w:val="00A33359"/>
    <w:rsid w:val="00A339A6"/>
    <w:rsid w:val="00A33C74"/>
    <w:rsid w:val="00A33DE8"/>
    <w:rsid w:val="00A34FB3"/>
    <w:rsid w:val="00A35915"/>
    <w:rsid w:val="00A35A89"/>
    <w:rsid w:val="00A35B74"/>
    <w:rsid w:val="00A3646E"/>
    <w:rsid w:val="00A36E05"/>
    <w:rsid w:val="00A3705B"/>
    <w:rsid w:val="00A375A9"/>
    <w:rsid w:val="00A376BC"/>
    <w:rsid w:val="00A37CBF"/>
    <w:rsid w:val="00A37FC1"/>
    <w:rsid w:val="00A40267"/>
    <w:rsid w:val="00A4048A"/>
    <w:rsid w:val="00A4048E"/>
    <w:rsid w:val="00A40831"/>
    <w:rsid w:val="00A40AA6"/>
    <w:rsid w:val="00A4174C"/>
    <w:rsid w:val="00A41D40"/>
    <w:rsid w:val="00A4204B"/>
    <w:rsid w:val="00A42137"/>
    <w:rsid w:val="00A42298"/>
    <w:rsid w:val="00A42354"/>
    <w:rsid w:val="00A42C26"/>
    <w:rsid w:val="00A441F8"/>
    <w:rsid w:val="00A4465F"/>
    <w:rsid w:val="00A44C6D"/>
    <w:rsid w:val="00A44E58"/>
    <w:rsid w:val="00A455C6"/>
    <w:rsid w:val="00A45CB2"/>
    <w:rsid w:val="00A45DE3"/>
    <w:rsid w:val="00A46322"/>
    <w:rsid w:val="00A46800"/>
    <w:rsid w:val="00A46887"/>
    <w:rsid w:val="00A46A67"/>
    <w:rsid w:val="00A46EED"/>
    <w:rsid w:val="00A46F1C"/>
    <w:rsid w:val="00A471C8"/>
    <w:rsid w:val="00A47C5F"/>
    <w:rsid w:val="00A47C8A"/>
    <w:rsid w:val="00A50697"/>
    <w:rsid w:val="00A50DB9"/>
    <w:rsid w:val="00A5145A"/>
    <w:rsid w:val="00A514D5"/>
    <w:rsid w:val="00A517AD"/>
    <w:rsid w:val="00A51E0F"/>
    <w:rsid w:val="00A52051"/>
    <w:rsid w:val="00A52108"/>
    <w:rsid w:val="00A5229D"/>
    <w:rsid w:val="00A5265F"/>
    <w:rsid w:val="00A52D92"/>
    <w:rsid w:val="00A52E41"/>
    <w:rsid w:val="00A53219"/>
    <w:rsid w:val="00A534C3"/>
    <w:rsid w:val="00A54259"/>
    <w:rsid w:val="00A543A8"/>
    <w:rsid w:val="00A54F16"/>
    <w:rsid w:val="00A54FB6"/>
    <w:rsid w:val="00A5540E"/>
    <w:rsid w:val="00A55875"/>
    <w:rsid w:val="00A55A90"/>
    <w:rsid w:val="00A55C9D"/>
    <w:rsid w:val="00A5623A"/>
    <w:rsid w:val="00A56392"/>
    <w:rsid w:val="00A56447"/>
    <w:rsid w:val="00A567E6"/>
    <w:rsid w:val="00A568BE"/>
    <w:rsid w:val="00A56FDE"/>
    <w:rsid w:val="00A5748E"/>
    <w:rsid w:val="00A57720"/>
    <w:rsid w:val="00A5775E"/>
    <w:rsid w:val="00A57A0B"/>
    <w:rsid w:val="00A57DE7"/>
    <w:rsid w:val="00A6015F"/>
    <w:rsid w:val="00A6076B"/>
    <w:rsid w:val="00A609A9"/>
    <w:rsid w:val="00A62290"/>
    <w:rsid w:val="00A62565"/>
    <w:rsid w:val="00A625C7"/>
    <w:rsid w:val="00A62A6B"/>
    <w:rsid w:val="00A63873"/>
    <w:rsid w:val="00A63ABC"/>
    <w:rsid w:val="00A64AA8"/>
    <w:rsid w:val="00A64D97"/>
    <w:rsid w:val="00A65B2D"/>
    <w:rsid w:val="00A6617B"/>
    <w:rsid w:val="00A66192"/>
    <w:rsid w:val="00A665B1"/>
    <w:rsid w:val="00A66D41"/>
    <w:rsid w:val="00A66DF6"/>
    <w:rsid w:val="00A67223"/>
    <w:rsid w:val="00A67EA9"/>
    <w:rsid w:val="00A701C8"/>
    <w:rsid w:val="00A7028E"/>
    <w:rsid w:val="00A71953"/>
    <w:rsid w:val="00A71A3D"/>
    <w:rsid w:val="00A72159"/>
    <w:rsid w:val="00A722D3"/>
    <w:rsid w:val="00A724B2"/>
    <w:rsid w:val="00A72C60"/>
    <w:rsid w:val="00A730CC"/>
    <w:rsid w:val="00A7318F"/>
    <w:rsid w:val="00A73324"/>
    <w:rsid w:val="00A73503"/>
    <w:rsid w:val="00A73684"/>
    <w:rsid w:val="00A73FC4"/>
    <w:rsid w:val="00A7465B"/>
    <w:rsid w:val="00A7490C"/>
    <w:rsid w:val="00A749EE"/>
    <w:rsid w:val="00A75691"/>
    <w:rsid w:val="00A758BD"/>
    <w:rsid w:val="00A7622E"/>
    <w:rsid w:val="00A76A94"/>
    <w:rsid w:val="00A76D4A"/>
    <w:rsid w:val="00A76DEF"/>
    <w:rsid w:val="00A7763B"/>
    <w:rsid w:val="00A77AE4"/>
    <w:rsid w:val="00A77C70"/>
    <w:rsid w:val="00A77C80"/>
    <w:rsid w:val="00A805D4"/>
    <w:rsid w:val="00A81A0C"/>
    <w:rsid w:val="00A81A80"/>
    <w:rsid w:val="00A81ED6"/>
    <w:rsid w:val="00A82622"/>
    <w:rsid w:val="00A82C9C"/>
    <w:rsid w:val="00A832BF"/>
    <w:rsid w:val="00A84163"/>
    <w:rsid w:val="00A848E4"/>
    <w:rsid w:val="00A84FAB"/>
    <w:rsid w:val="00A8508C"/>
    <w:rsid w:val="00A858DC"/>
    <w:rsid w:val="00A86182"/>
    <w:rsid w:val="00A86C37"/>
    <w:rsid w:val="00A86ED7"/>
    <w:rsid w:val="00A873B2"/>
    <w:rsid w:val="00A903C6"/>
    <w:rsid w:val="00A905C4"/>
    <w:rsid w:val="00A90D2D"/>
    <w:rsid w:val="00A90D3E"/>
    <w:rsid w:val="00A91511"/>
    <w:rsid w:val="00A91565"/>
    <w:rsid w:val="00A917E6"/>
    <w:rsid w:val="00A91A0F"/>
    <w:rsid w:val="00A91BD6"/>
    <w:rsid w:val="00A92B2C"/>
    <w:rsid w:val="00A93BAC"/>
    <w:rsid w:val="00A93C48"/>
    <w:rsid w:val="00A946A5"/>
    <w:rsid w:val="00A94D86"/>
    <w:rsid w:val="00A950AC"/>
    <w:rsid w:val="00A9561B"/>
    <w:rsid w:val="00A95795"/>
    <w:rsid w:val="00A95C89"/>
    <w:rsid w:val="00A96635"/>
    <w:rsid w:val="00A968B5"/>
    <w:rsid w:val="00A969CC"/>
    <w:rsid w:val="00A96A8A"/>
    <w:rsid w:val="00A96EB1"/>
    <w:rsid w:val="00A971C3"/>
    <w:rsid w:val="00AA00C1"/>
    <w:rsid w:val="00AA0498"/>
    <w:rsid w:val="00AA1234"/>
    <w:rsid w:val="00AA150C"/>
    <w:rsid w:val="00AA189C"/>
    <w:rsid w:val="00AA1E60"/>
    <w:rsid w:val="00AA237D"/>
    <w:rsid w:val="00AA2600"/>
    <w:rsid w:val="00AA2F3D"/>
    <w:rsid w:val="00AA311A"/>
    <w:rsid w:val="00AA3CDD"/>
    <w:rsid w:val="00AA3FEC"/>
    <w:rsid w:val="00AA425A"/>
    <w:rsid w:val="00AA439E"/>
    <w:rsid w:val="00AA43B5"/>
    <w:rsid w:val="00AA4501"/>
    <w:rsid w:val="00AA45EE"/>
    <w:rsid w:val="00AA4A8C"/>
    <w:rsid w:val="00AA4D1B"/>
    <w:rsid w:val="00AA5085"/>
    <w:rsid w:val="00AA61E3"/>
    <w:rsid w:val="00AA6485"/>
    <w:rsid w:val="00AA66EA"/>
    <w:rsid w:val="00AA6E8D"/>
    <w:rsid w:val="00AA72CF"/>
    <w:rsid w:val="00AA7655"/>
    <w:rsid w:val="00AA7E32"/>
    <w:rsid w:val="00AB085E"/>
    <w:rsid w:val="00AB0942"/>
    <w:rsid w:val="00AB0F93"/>
    <w:rsid w:val="00AB279D"/>
    <w:rsid w:val="00AB2EDA"/>
    <w:rsid w:val="00AB369F"/>
    <w:rsid w:val="00AB39FA"/>
    <w:rsid w:val="00AB3D9B"/>
    <w:rsid w:val="00AB3E7C"/>
    <w:rsid w:val="00AB4599"/>
    <w:rsid w:val="00AB4853"/>
    <w:rsid w:val="00AB486E"/>
    <w:rsid w:val="00AB4EF2"/>
    <w:rsid w:val="00AB523E"/>
    <w:rsid w:val="00AB5507"/>
    <w:rsid w:val="00AB5FDF"/>
    <w:rsid w:val="00AB6C79"/>
    <w:rsid w:val="00AB7343"/>
    <w:rsid w:val="00AB7828"/>
    <w:rsid w:val="00AB7D5A"/>
    <w:rsid w:val="00AB7D97"/>
    <w:rsid w:val="00AC00B6"/>
    <w:rsid w:val="00AC01F3"/>
    <w:rsid w:val="00AC0341"/>
    <w:rsid w:val="00AC0934"/>
    <w:rsid w:val="00AC0951"/>
    <w:rsid w:val="00AC0AF1"/>
    <w:rsid w:val="00AC0E1E"/>
    <w:rsid w:val="00AC2896"/>
    <w:rsid w:val="00AC2D71"/>
    <w:rsid w:val="00AC3CF7"/>
    <w:rsid w:val="00AC3CFA"/>
    <w:rsid w:val="00AC526F"/>
    <w:rsid w:val="00AC5476"/>
    <w:rsid w:val="00AC6021"/>
    <w:rsid w:val="00AC6735"/>
    <w:rsid w:val="00AC6962"/>
    <w:rsid w:val="00AC7072"/>
    <w:rsid w:val="00AC7329"/>
    <w:rsid w:val="00AC73D0"/>
    <w:rsid w:val="00AC742E"/>
    <w:rsid w:val="00AC7798"/>
    <w:rsid w:val="00AC7860"/>
    <w:rsid w:val="00AC7B29"/>
    <w:rsid w:val="00AD0AF7"/>
    <w:rsid w:val="00AD0DCD"/>
    <w:rsid w:val="00AD151D"/>
    <w:rsid w:val="00AD2A88"/>
    <w:rsid w:val="00AD2D5B"/>
    <w:rsid w:val="00AD3078"/>
    <w:rsid w:val="00AD3DC4"/>
    <w:rsid w:val="00AD4069"/>
    <w:rsid w:val="00AD4109"/>
    <w:rsid w:val="00AD4EFD"/>
    <w:rsid w:val="00AD54FC"/>
    <w:rsid w:val="00AD55C7"/>
    <w:rsid w:val="00AD5B9C"/>
    <w:rsid w:val="00AD5C83"/>
    <w:rsid w:val="00AD5D16"/>
    <w:rsid w:val="00AD670E"/>
    <w:rsid w:val="00AD6C00"/>
    <w:rsid w:val="00AD6D68"/>
    <w:rsid w:val="00AD6E75"/>
    <w:rsid w:val="00AD79DF"/>
    <w:rsid w:val="00AD7A48"/>
    <w:rsid w:val="00AE0105"/>
    <w:rsid w:val="00AE0DF6"/>
    <w:rsid w:val="00AE0EF3"/>
    <w:rsid w:val="00AE1D1A"/>
    <w:rsid w:val="00AE2D83"/>
    <w:rsid w:val="00AE3281"/>
    <w:rsid w:val="00AE3424"/>
    <w:rsid w:val="00AE35AF"/>
    <w:rsid w:val="00AE3628"/>
    <w:rsid w:val="00AE3ABC"/>
    <w:rsid w:val="00AE4812"/>
    <w:rsid w:val="00AE4B70"/>
    <w:rsid w:val="00AE4EFC"/>
    <w:rsid w:val="00AE4FE5"/>
    <w:rsid w:val="00AE50EB"/>
    <w:rsid w:val="00AE544A"/>
    <w:rsid w:val="00AE59D3"/>
    <w:rsid w:val="00AE5B39"/>
    <w:rsid w:val="00AE5B84"/>
    <w:rsid w:val="00AE5FA2"/>
    <w:rsid w:val="00AE6217"/>
    <w:rsid w:val="00AE645A"/>
    <w:rsid w:val="00AE6ABF"/>
    <w:rsid w:val="00AE6C80"/>
    <w:rsid w:val="00AE7B10"/>
    <w:rsid w:val="00AF0ACE"/>
    <w:rsid w:val="00AF16CE"/>
    <w:rsid w:val="00AF18B8"/>
    <w:rsid w:val="00AF1B67"/>
    <w:rsid w:val="00AF20BF"/>
    <w:rsid w:val="00AF2193"/>
    <w:rsid w:val="00AF2712"/>
    <w:rsid w:val="00AF2DF2"/>
    <w:rsid w:val="00AF2E4A"/>
    <w:rsid w:val="00AF2E7C"/>
    <w:rsid w:val="00AF354E"/>
    <w:rsid w:val="00AF3C1F"/>
    <w:rsid w:val="00AF3D55"/>
    <w:rsid w:val="00AF3E69"/>
    <w:rsid w:val="00AF467C"/>
    <w:rsid w:val="00AF4738"/>
    <w:rsid w:val="00AF492B"/>
    <w:rsid w:val="00AF4BC3"/>
    <w:rsid w:val="00AF5353"/>
    <w:rsid w:val="00AF53BF"/>
    <w:rsid w:val="00AF5EF3"/>
    <w:rsid w:val="00AF62DB"/>
    <w:rsid w:val="00AF62E8"/>
    <w:rsid w:val="00AF65B5"/>
    <w:rsid w:val="00AF6794"/>
    <w:rsid w:val="00AF69E6"/>
    <w:rsid w:val="00AF6AFE"/>
    <w:rsid w:val="00AF738D"/>
    <w:rsid w:val="00AF78D4"/>
    <w:rsid w:val="00AF7912"/>
    <w:rsid w:val="00AF7CE8"/>
    <w:rsid w:val="00B001E0"/>
    <w:rsid w:val="00B001E3"/>
    <w:rsid w:val="00B00251"/>
    <w:rsid w:val="00B006FF"/>
    <w:rsid w:val="00B01325"/>
    <w:rsid w:val="00B014FC"/>
    <w:rsid w:val="00B01E25"/>
    <w:rsid w:val="00B01F7C"/>
    <w:rsid w:val="00B025F6"/>
    <w:rsid w:val="00B02DC2"/>
    <w:rsid w:val="00B030DC"/>
    <w:rsid w:val="00B03D23"/>
    <w:rsid w:val="00B049E4"/>
    <w:rsid w:val="00B055DF"/>
    <w:rsid w:val="00B055E5"/>
    <w:rsid w:val="00B056D1"/>
    <w:rsid w:val="00B05850"/>
    <w:rsid w:val="00B05C11"/>
    <w:rsid w:val="00B061F7"/>
    <w:rsid w:val="00B066C4"/>
    <w:rsid w:val="00B069EF"/>
    <w:rsid w:val="00B06C3B"/>
    <w:rsid w:val="00B06CA8"/>
    <w:rsid w:val="00B0706A"/>
    <w:rsid w:val="00B07847"/>
    <w:rsid w:val="00B10749"/>
    <w:rsid w:val="00B109C5"/>
    <w:rsid w:val="00B11402"/>
    <w:rsid w:val="00B116FD"/>
    <w:rsid w:val="00B11776"/>
    <w:rsid w:val="00B118E8"/>
    <w:rsid w:val="00B11900"/>
    <w:rsid w:val="00B11912"/>
    <w:rsid w:val="00B11A27"/>
    <w:rsid w:val="00B11B5B"/>
    <w:rsid w:val="00B13129"/>
    <w:rsid w:val="00B138B7"/>
    <w:rsid w:val="00B139DF"/>
    <w:rsid w:val="00B143DF"/>
    <w:rsid w:val="00B14599"/>
    <w:rsid w:val="00B148E4"/>
    <w:rsid w:val="00B14F08"/>
    <w:rsid w:val="00B1524F"/>
    <w:rsid w:val="00B15CC3"/>
    <w:rsid w:val="00B1634C"/>
    <w:rsid w:val="00B16417"/>
    <w:rsid w:val="00B1669D"/>
    <w:rsid w:val="00B1698A"/>
    <w:rsid w:val="00B16DB6"/>
    <w:rsid w:val="00B170F3"/>
    <w:rsid w:val="00B20A5A"/>
    <w:rsid w:val="00B211F6"/>
    <w:rsid w:val="00B2180E"/>
    <w:rsid w:val="00B21839"/>
    <w:rsid w:val="00B225FF"/>
    <w:rsid w:val="00B2274C"/>
    <w:rsid w:val="00B22E05"/>
    <w:rsid w:val="00B23365"/>
    <w:rsid w:val="00B241F7"/>
    <w:rsid w:val="00B24236"/>
    <w:rsid w:val="00B2435A"/>
    <w:rsid w:val="00B24633"/>
    <w:rsid w:val="00B25553"/>
    <w:rsid w:val="00B2558A"/>
    <w:rsid w:val="00B25CCE"/>
    <w:rsid w:val="00B266B3"/>
    <w:rsid w:val="00B26CBA"/>
    <w:rsid w:val="00B27580"/>
    <w:rsid w:val="00B276A9"/>
    <w:rsid w:val="00B276B3"/>
    <w:rsid w:val="00B3107F"/>
    <w:rsid w:val="00B312DC"/>
    <w:rsid w:val="00B319D9"/>
    <w:rsid w:val="00B31C4D"/>
    <w:rsid w:val="00B31E25"/>
    <w:rsid w:val="00B31E74"/>
    <w:rsid w:val="00B31F54"/>
    <w:rsid w:val="00B32610"/>
    <w:rsid w:val="00B334F6"/>
    <w:rsid w:val="00B3382F"/>
    <w:rsid w:val="00B33833"/>
    <w:rsid w:val="00B33B34"/>
    <w:rsid w:val="00B33C17"/>
    <w:rsid w:val="00B33CA1"/>
    <w:rsid w:val="00B33E78"/>
    <w:rsid w:val="00B34365"/>
    <w:rsid w:val="00B347DD"/>
    <w:rsid w:val="00B34A1F"/>
    <w:rsid w:val="00B34DD8"/>
    <w:rsid w:val="00B35788"/>
    <w:rsid w:val="00B360B8"/>
    <w:rsid w:val="00B3613F"/>
    <w:rsid w:val="00B362AD"/>
    <w:rsid w:val="00B3659D"/>
    <w:rsid w:val="00B366DC"/>
    <w:rsid w:val="00B366EE"/>
    <w:rsid w:val="00B367B9"/>
    <w:rsid w:val="00B367C0"/>
    <w:rsid w:val="00B36F3C"/>
    <w:rsid w:val="00B3727E"/>
    <w:rsid w:val="00B37403"/>
    <w:rsid w:val="00B37D1F"/>
    <w:rsid w:val="00B37D7E"/>
    <w:rsid w:val="00B403F9"/>
    <w:rsid w:val="00B40527"/>
    <w:rsid w:val="00B41A3E"/>
    <w:rsid w:val="00B41C00"/>
    <w:rsid w:val="00B41FE5"/>
    <w:rsid w:val="00B42098"/>
    <w:rsid w:val="00B4274F"/>
    <w:rsid w:val="00B42C38"/>
    <w:rsid w:val="00B43698"/>
    <w:rsid w:val="00B436ED"/>
    <w:rsid w:val="00B438E1"/>
    <w:rsid w:val="00B43EB5"/>
    <w:rsid w:val="00B4435C"/>
    <w:rsid w:val="00B444F0"/>
    <w:rsid w:val="00B445E3"/>
    <w:rsid w:val="00B44966"/>
    <w:rsid w:val="00B44ABF"/>
    <w:rsid w:val="00B44B7E"/>
    <w:rsid w:val="00B453E6"/>
    <w:rsid w:val="00B4548C"/>
    <w:rsid w:val="00B45D40"/>
    <w:rsid w:val="00B46281"/>
    <w:rsid w:val="00B4641E"/>
    <w:rsid w:val="00B465A7"/>
    <w:rsid w:val="00B46F3F"/>
    <w:rsid w:val="00B47178"/>
    <w:rsid w:val="00B47330"/>
    <w:rsid w:val="00B47C99"/>
    <w:rsid w:val="00B47F27"/>
    <w:rsid w:val="00B50AC4"/>
    <w:rsid w:val="00B51EDD"/>
    <w:rsid w:val="00B5207A"/>
    <w:rsid w:val="00B52145"/>
    <w:rsid w:val="00B523A2"/>
    <w:rsid w:val="00B52611"/>
    <w:rsid w:val="00B52918"/>
    <w:rsid w:val="00B52A03"/>
    <w:rsid w:val="00B54C52"/>
    <w:rsid w:val="00B5545C"/>
    <w:rsid w:val="00B55808"/>
    <w:rsid w:val="00B567E7"/>
    <w:rsid w:val="00B56A81"/>
    <w:rsid w:val="00B56BBF"/>
    <w:rsid w:val="00B570D6"/>
    <w:rsid w:val="00B578A0"/>
    <w:rsid w:val="00B57E99"/>
    <w:rsid w:val="00B6010A"/>
    <w:rsid w:val="00B603E7"/>
    <w:rsid w:val="00B60927"/>
    <w:rsid w:val="00B60A0A"/>
    <w:rsid w:val="00B618EA"/>
    <w:rsid w:val="00B61FC2"/>
    <w:rsid w:val="00B623CA"/>
    <w:rsid w:val="00B628D9"/>
    <w:rsid w:val="00B6291B"/>
    <w:rsid w:val="00B62FF0"/>
    <w:rsid w:val="00B636D6"/>
    <w:rsid w:val="00B63925"/>
    <w:rsid w:val="00B63B04"/>
    <w:rsid w:val="00B63D48"/>
    <w:rsid w:val="00B63FBA"/>
    <w:rsid w:val="00B6404A"/>
    <w:rsid w:val="00B641D2"/>
    <w:rsid w:val="00B64283"/>
    <w:rsid w:val="00B646F9"/>
    <w:rsid w:val="00B64952"/>
    <w:rsid w:val="00B64AA1"/>
    <w:rsid w:val="00B64BCC"/>
    <w:rsid w:val="00B64C01"/>
    <w:rsid w:val="00B65AF5"/>
    <w:rsid w:val="00B65BBD"/>
    <w:rsid w:val="00B65F92"/>
    <w:rsid w:val="00B66988"/>
    <w:rsid w:val="00B66DC2"/>
    <w:rsid w:val="00B67FE6"/>
    <w:rsid w:val="00B70168"/>
    <w:rsid w:val="00B71494"/>
    <w:rsid w:val="00B71C3B"/>
    <w:rsid w:val="00B71D9F"/>
    <w:rsid w:val="00B71E8D"/>
    <w:rsid w:val="00B72027"/>
    <w:rsid w:val="00B72453"/>
    <w:rsid w:val="00B726A1"/>
    <w:rsid w:val="00B72864"/>
    <w:rsid w:val="00B72BEE"/>
    <w:rsid w:val="00B738CF"/>
    <w:rsid w:val="00B73904"/>
    <w:rsid w:val="00B74314"/>
    <w:rsid w:val="00B746DE"/>
    <w:rsid w:val="00B74748"/>
    <w:rsid w:val="00B74801"/>
    <w:rsid w:val="00B74A3D"/>
    <w:rsid w:val="00B74A88"/>
    <w:rsid w:val="00B74B1A"/>
    <w:rsid w:val="00B74E98"/>
    <w:rsid w:val="00B75675"/>
    <w:rsid w:val="00B759BD"/>
    <w:rsid w:val="00B75E0E"/>
    <w:rsid w:val="00B75EDC"/>
    <w:rsid w:val="00B76948"/>
    <w:rsid w:val="00B76B9C"/>
    <w:rsid w:val="00B76C6B"/>
    <w:rsid w:val="00B7732C"/>
    <w:rsid w:val="00B801B5"/>
    <w:rsid w:val="00B80387"/>
    <w:rsid w:val="00B80610"/>
    <w:rsid w:val="00B80AE8"/>
    <w:rsid w:val="00B81124"/>
    <w:rsid w:val="00B812D8"/>
    <w:rsid w:val="00B818BC"/>
    <w:rsid w:val="00B82529"/>
    <w:rsid w:val="00B82A89"/>
    <w:rsid w:val="00B8305F"/>
    <w:rsid w:val="00B83207"/>
    <w:rsid w:val="00B8381E"/>
    <w:rsid w:val="00B84074"/>
    <w:rsid w:val="00B85028"/>
    <w:rsid w:val="00B85241"/>
    <w:rsid w:val="00B871F7"/>
    <w:rsid w:val="00B878E9"/>
    <w:rsid w:val="00B87C5E"/>
    <w:rsid w:val="00B87CC0"/>
    <w:rsid w:val="00B87EE5"/>
    <w:rsid w:val="00B90BCB"/>
    <w:rsid w:val="00B90BEA"/>
    <w:rsid w:val="00B90C73"/>
    <w:rsid w:val="00B90DCD"/>
    <w:rsid w:val="00B93022"/>
    <w:rsid w:val="00B93248"/>
    <w:rsid w:val="00B93C6B"/>
    <w:rsid w:val="00B95DA3"/>
    <w:rsid w:val="00B95E09"/>
    <w:rsid w:val="00B9607D"/>
    <w:rsid w:val="00B96621"/>
    <w:rsid w:val="00B96726"/>
    <w:rsid w:val="00B96FA3"/>
    <w:rsid w:val="00B97073"/>
    <w:rsid w:val="00B976CB"/>
    <w:rsid w:val="00B978EF"/>
    <w:rsid w:val="00B97C0A"/>
    <w:rsid w:val="00BA0190"/>
    <w:rsid w:val="00BA044B"/>
    <w:rsid w:val="00BA08F0"/>
    <w:rsid w:val="00BA129C"/>
    <w:rsid w:val="00BA1C0D"/>
    <w:rsid w:val="00BA251F"/>
    <w:rsid w:val="00BA2F0A"/>
    <w:rsid w:val="00BA2FB7"/>
    <w:rsid w:val="00BA3300"/>
    <w:rsid w:val="00BA33F5"/>
    <w:rsid w:val="00BA34DB"/>
    <w:rsid w:val="00BA3DC8"/>
    <w:rsid w:val="00BA41F4"/>
    <w:rsid w:val="00BA45BB"/>
    <w:rsid w:val="00BA4679"/>
    <w:rsid w:val="00BA4948"/>
    <w:rsid w:val="00BA4A26"/>
    <w:rsid w:val="00BA4C5C"/>
    <w:rsid w:val="00BA5C61"/>
    <w:rsid w:val="00BA614B"/>
    <w:rsid w:val="00BA6DD1"/>
    <w:rsid w:val="00BA70BD"/>
    <w:rsid w:val="00BA71AF"/>
    <w:rsid w:val="00BB0322"/>
    <w:rsid w:val="00BB0436"/>
    <w:rsid w:val="00BB0F4B"/>
    <w:rsid w:val="00BB106F"/>
    <w:rsid w:val="00BB1502"/>
    <w:rsid w:val="00BB1DCE"/>
    <w:rsid w:val="00BB1F5B"/>
    <w:rsid w:val="00BB23FD"/>
    <w:rsid w:val="00BB37F9"/>
    <w:rsid w:val="00BB3DAB"/>
    <w:rsid w:val="00BB3DEF"/>
    <w:rsid w:val="00BB5A5C"/>
    <w:rsid w:val="00BB5A79"/>
    <w:rsid w:val="00BB5AF2"/>
    <w:rsid w:val="00BB5FF8"/>
    <w:rsid w:val="00BB6635"/>
    <w:rsid w:val="00BB6BE5"/>
    <w:rsid w:val="00BB7491"/>
    <w:rsid w:val="00BB74A6"/>
    <w:rsid w:val="00BB7CB9"/>
    <w:rsid w:val="00BC0088"/>
    <w:rsid w:val="00BC00AC"/>
    <w:rsid w:val="00BC044F"/>
    <w:rsid w:val="00BC0620"/>
    <w:rsid w:val="00BC079F"/>
    <w:rsid w:val="00BC0896"/>
    <w:rsid w:val="00BC0D93"/>
    <w:rsid w:val="00BC1112"/>
    <w:rsid w:val="00BC1486"/>
    <w:rsid w:val="00BC1A94"/>
    <w:rsid w:val="00BC1E63"/>
    <w:rsid w:val="00BC21AF"/>
    <w:rsid w:val="00BC27FD"/>
    <w:rsid w:val="00BC29E1"/>
    <w:rsid w:val="00BC2D7D"/>
    <w:rsid w:val="00BC2F01"/>
    <w:rsid w:val="00BC34C3"/>
    <w:rsid w:val="00BC3673"/>
    <w:rsid w:val="00BC36D5"/>
    <w:rsid w:val="00BC3ED0"/>
    <w:rsid w:val="00BC416F"/>
    <w:rsid w:val="00BC42B1"/>
    <w:rsid w:val="00BC43C3"/>
    <w:rsid w:val="00BC479C"/>
    <w:rsid w:val="00BC5403"/>
    <w:rsid w:val="00BC6AF7"/>
    <w:rsid w:val="00BC6AFA"/>
    <w:rsid w:val="00BC6E42"/>
    <w:rsid w:val="00BC7458"/>
    <w:rsid w:val="00BC7461"/>
    <w:rsid w:val="00BC774F"/>
    <w:rsid w:val="00BD0117"/>
    <w:rsid w:val="00BD05EC"/>
    <w:rsid w:val="00BD0A1F"/>
    <w:rsid w:val="00BD0C2F"/>
    <w:rsid w:val="00BD0CBA"/>
    <w:rsid w:val="00BD0F48"/>
    <w:rsid w:val="00BD1459"/>
    <w:rsid w:val="00BD1860"/>
    <w:rsid w:val="00BD1A55"/>
    <w:rsid w:val="00BD1CB2"/>
    <w:rsid w:val="00BD1CFA"/>
    <w:rsid w:val="00BD1F32"/>
    <w:rsid w:val="00BD29E6"/>
    <w:rsid w:val="00BD2A37"/>
    <w:rsid w:val="00BD2FBE"/>
    <w:rsid w:val="00BD3313"/>
    <w:rsid w:val="00BD39FC"/>
    <w:rsid w:val="00BD3B4C"/>
    <w:rsid w:val="00BD4C79"/>
    <w:rsid w:val="00BD50AF"/>
    <w:rsid w:val="00BD51E0"/>
    <w:rsid w:val="00BD5E15"/>
    <w:rsid w:val="00BD60AA"/>
    <w:rsid w:val="00BD61F7"/>
    <w:rsid w:val="00BD6BBD"/>
    <w:rsid w:val="00BD7468"/>
    <w:rsid w:val="00BD7BA5"/>
    <w:rsid w:val="00BD7D11"/>
    <w:rsid w:val="00BE044E"/>
    <w:rsid w:val="00BE0862"/>
    <w:rsid w:val="00BE0B71"/>
    <w:rsid w:val="00BE20B8"/>
    <w:rsid w:val="00BE22F7"/>
    <w:rsid w:val="00BE2CB8"/>
    <w:rsid w:val="00BE2E4C"/>
    <w:rsid w:val="00BE33FE"/>
    <w:rsid w:val="00BE3770"/>
    <w:rsid w:val="00BE3817"/>
    <w:rsid w:val="00BE3A12"/>
    <w:rsid w:val="00BE417D"/>
    <w:rsid w:val="00BE466C"/>
    <w:rsid w:val="00BE4B15"/>
    <w:rsid w:val="00BE519D"/>
    <w:rsid w:val="00BE5248"/>
    <w:rsid w:val="00BE5320"/>
    <w:rsid w:val="00BE5B64"/>
    <w:rsid w:val="00BE66EB"/>
    <w:rsid w:val="00BE6769"/>
    <w:rsid w:val="00BE68AA"/>
    <w:rsid w:val="00BE68B5"/>
    <w:rsid w:val="00BE715D"/>
    <w:rsid w:val="00BE7D1B"/>
    <w:rsid w:val="00BE7E0B"/>
    <w:rsid w:val="00BF0341"/>
    <w:rsid w:val="00BF036B"/>
    <w:rsid w:val="00BF0DA4"/>
    <w:rsid w:val="00BF129E"/>
    <w:rsid w:val="00BF22D0"/>
    <w:rsid w:val="00BF2C1F"/>
    <w:rsid w:val="00BF32EF"/>
    <w:rsid w:val="00BF347F"/>
    <w:rsid w:val="00BF34D6"/>
    <w:rsid w:val="00BF3773"/>
    <w:rsid w:val="00BF41CA"/>
    <w:rsid w:val="00BF4A2C"/>
    <w:rsid w:val="00BF4D6F"/>
    <w:rsid w:val="00BF4D7B"/>
    <w:rsid w:val="00BF51EF"/>
    <w:rsid w:val="00BF54EA"/>
    <w:rsid w:val="00BF553A"/>
    <w:rsid w:val="00BF560E"/>
    <w:rsid w:val="00BF563A"/>
    <w:rsid w:val="00BF5BDE"/>
    <w:rsid w:val="00BF69AF"/>
    <w:rsid w:val="00BF6CE1"/>
    <w:rsid w:val="00BF7055"/>
    <w:rsid w:val="00BF71E4"/>
    <w:rsid w:val="00BF7385"/>
    <w:rsid w:val="00C00602"/>
    <w:rsid w:val="00C00F5B"/>
    <w:rsid w:val="00C01311"/>
    <w:rsid w:val="00C0156A"/>
    <w:rsid w:val="00C01F9C"/>
    <w:rsid w:val="00C02652"/>
    <w:rsid w:val="00C02CE5"/>
    <w:rsid w:val="00C02EC1"/>
    <w:rsid w:val="00C035B5"/>
    <w:rsid w:val="00C03697"/>
    <w:rsid w:val="00C036A4"/>
    <w:rsid w:val="00C04015"/>
    <w:rsid w:val="00C04083"/>
    <w:rsid w:val="00C0456A"/>
    <w:rsid w:val="00C0496A"/>
    <w:rsid w:val="00C04D45"/>
    <w:rsid w:val="00C05480"/>
    <w:rsid w:val="00C057A9"/>
    <w:rsid w:val="00C05C90"/>
    <w:rsid w:val="00C05DBC"/>
    <w:rsid w:val="00C06035"/>
    <w:rsid w:val="00C06407"/>
    <w:rsid w:val="00C06677"/>
    <w:rsid w:val="00C067D5"/>
    <w:rsid w:val="00C06B3E"/>
    <w:rsid w:val="00C06C19"/>
    <w:rsid w:val="00C06CAA"/>
    <w:rsid w:val="00C073DA"/>
    <w:rsid w:val="00C07F02"/>
    <w:rsid w:val="00C10011"/>
    <w:rsid w:val="00C102D0"/>
    <w:rsid w:val="00C10440"/>
    <w:rsid w:val="00C10AE9"/>
    <w:rsid w:val="00C10FF2"/>
    <w:rsid w:val="00C113ED"/>
    <w:rsid w:val="00C11608"/>
    <w:rsid w:val="00C11666"/>
    <w:rsid w:val="00C118B7"/>
    <w:rsid w:val="00C11A14"/>
    <w:rsid w:val="00C11BEC"/>
    <w:rsid w:val="00C123A0"/>
    <w:rsid w:val="00C123C8"/>
    <w:rsid w:val="00C12587"/>
    <w:rsid w:val="00C125FB"/>
    <w:rsid w:val="00C1276E"/>
    <w:rsid w:val="00C13FF9"/>
    <w:rsid w:val="00C1401B"/>
    <w:rsid w:val="00C14291"/>
    <w:rsid w:val="00C146FB"/>
    <w:rsid w:val="00C148D1"/>
    <w:rsid w:val="00C15217"/>
    <w:rsid w:val="00C15869"/>
    <w:rsid w:val="00C15BB2"/>
    <w:rsid w:val="00C15BF7"/>
    <w:rsid w:val="00C15C57"/>
    <w:rsid w:val="00C16045"/>
    <w:rsid w:val="00C1649C"/>
    <w:rsid w:val="00C167B4"/>
    <w:rsid w:val="00C16D43"/>
    <w:rsid w:val="00C16DC5"/>
    <w:rsid w:val="00C16E94"/>
    <w:rsid w:val="00C17553"/>
    <w:rsid w:val="00C17BE9"/>
    <w:rsid w:val="00C17FF0"/>
    <w:rsid w:val="00C2025E"/>
    <w:rsid w:val="00C20A7B"/>
    <w:rsid w:val="00C20BF0"/>
    <w:rsid w:val="00C20FDA"/>
    <w:rsid w:val="00C211F7"/>
    <w:rsid w:val="00C21AC7"/>
    <w:rsid w:val="00C2233A"/>
    <w:rsid w:val="00C22488"/>
    <w:rsid w:val="00C22748"/>
    <w:rsid w:val="00C22B0E"/>
    <w:rsid w:val="00C22CB6"/>
    <w:rsid w:val="00C22EBC"/>
    <w:rsid w:val="00C23216"/>
    <w:rsid w:val="00C23821"/>
    <w:rsid w:val="00C23F6A"/>
    <w:rsid w:val="00C24420"/>
    <w:rsid w:val="00C24D18"/>
    <w:rsid w:val="00C24D51"/>
    <w:rsid w:val="00C25014"/>
    <w:rsid w:val="00C2502B"/>
    <w:rsid w:val="00C2503E"/>
    <w:rsid w:val="00C261A3"/>
    <w:rsid w:val="00C2621C"/>
    <w:rsid w:val="00C26237"/>
    <w:rsid w:val="00C26967"/>
    <w:rsid w:val="00C26A59"/>
    <w:rsid w:val="00C26EEC"/>
    <w:rsid w:val="00C274A1"/>
    <w:rsid w:val="00C275F4"/>
    <w:rsid w:val="00C277D9"/>
    <w:rsid w:val="00C27CC2"/>
    <w:rsid w:val="00C30273"/>
    <w:rsid w:val="00C3027F"/>
    <w:rsid w:val="00C30739"/>
    <w:rsid w:val="00C30AFD"/>
    <w:rsid w:val="00C30B55"/>
    <w:rsid w:val="00C30FB8"/>
    <w:rsid w:val="00C31AEF"/>
    <w:rsid w:val="00C31BE5"/>
    <w:rsid w:val="00C32D85"/>
    <w:rsid w:val="00C32DD9"/>
    <w:rsid w:val="00C339C7"/>
    <w:rsid w:val="00C349A1"/>
    <w:rsid w:val="00C34C94"/>
    <w:rsid w:val="00C34F39"/>
    <w:rsid w:val="00C35E34"/>
    <w:rsid w:val="00C36123"/>
    <w:rsid w:val="00C3656B"/>
    <w:rsid w:val="00C370E5"/>
    <w:rsid w:val="00C37285"/>
    <w:rsid w:val="00C373B8"/>
    <w:rsid w:val="00C37664"/>
    <w:rsid w:val="00C37C61"/>
    <w:rsid w:val="00C37F8F"/>
    <w:rsid w:val="00C40338"/>
    <w:rsid w:val="00C406CD"/>
    <w:rsid w:val="00C41024"/>
    <w:rsid w:val="00C4140E"/>
    <w:rsid w:val="00C41741"/>
    <w:rsid w:val="00C41F4A"/>
    <w:rsid w:val="00C42223"/>
    <w:rsid w:val="00C42513"/>
    <w:rsid w:val="00C42523"/>
    <w:rsid w:val="00C42DA2"/>
    <w:rsid w:val="00C43585"/>
    <w:rsid w:val="00C4449C"/>
    <w:rsid w:val="00C444DC"/>
    <w:rsid w:val="00C4460F"/>
    <w:rsid w:val="00C45220"/>
    <w:rsid w:val="00C45773"/>
    <w:rsid w:val="00C45D8E"/>
    <w:rsid w:val="00C46128"/>
    <w:rsid w:val="00C465DD"/>
    <w:rsid w:val="00C466C9"/>
    <w:rsid w:val="00C47A98"/>
    <w:rsid w:val="00C47C15"/>
    <w:rsid w:val="00C47CB8"/>
    <w:rsid w:val="00C50430"/>
    <w:rsid w:val="00C508A6"/>
    <w:rsid w:val="00C50CEA"/>
    <w:rsid w:val="00C5144D"/>
    <w:rsid w:val="00C514C3"/>
    <w:rsid w:val="00C51576"/>
    <w:rsid w:val="00C518A4"/>
    <w:rsid w:val="00C52738"/>
    <w:rsid w:val="00C53697"/>
    <w:rsid w:val="00C542E7"/>
    <w:rsid w:val="00C55207"/>
    <w:rsid w:val="00C55B62"/>
    <w:rsid w:val="00C56093"/>
    <w:rsid w:val="00C577EB"/>
    <w:rsid w:val="00C57BB9"/>
    <w:rsid w:val="00C601B5"/>
    <w:rsid w:val="00C605E7"/>
    <w:rsid w:val="00C60836"/>
    <w:rsid w:val="00C615A0"/>
    <w:rsid w:val="00C6196A"/>
    <w:rsid w:val="00C61EE7"/>
    <w:rsid w:val="00C621C9"/>
    <w:rsid w:val="00C62766"/>
    <w:rsid w:val="00C63A17"/>
    <w:rsid w:val="00C63C38"/>
    <w:rsid w:val="00C640FC"/>
    <w:rsid w:val="00C64167"/>
    <w:rsid w:val="00C64866"/>
    <w:rsid w:val="00C65646"/>
    <w:rsid w:val="00C65918"/>
    <w:rsid w:val="00C65B71"/>
    <w:rsid w:val="00C65FD1"/>
    <w:rsid w:val="00C66747"/>
    <w:rsid w:val="00C6694E"/>
    <w:rsid w:val="00C66E71"/>
    <w:rsid w:val="00C66EA6"/>
    <w:rsid w:val="00C67099"/>
    <w:rsid w:val="00C70223"/>
    <w:rsid w:val="00C717D4"/>
    <w:rsid w:val="00C71992"/>
    <w:rsid w:val="00C72166"/>
    <w:rsid w:val="00C721AD"/>
    <w:rsid w:val="00C723B5"/>
    <w:rsid w:val="00C72F98"/>
    <w:rsid w:val="00C7344F"/>
    <w:rsid w:val="00C7372D"/>
    <w:rsid w:val="00C73A4E"/>
    <w:rsid w:val="00C7475B"/>
    <w:rsid w:val="00C74CE4"/>
    <w:rsid w:val="00C74D2F"/>
    <w:rsid w:val="00C74DEC"/>
    <w:rsid w:val="00C74FF9"/>
    <w:rsid w:val="00C755EA"/>
    <w:rsid w:val="00C75AE4"/>
    <w:rsid w:val="00C75EB1"/>
    <w:rsid w:val="00C764C5"/>
    <w:rsid w:val="00C769D1"/>
    <w:rsid w:val="00C76B88"/>
    <w:rsid w:val="00C77596"/>
    <w:rsid w:val="00C7765A"/>
    <w:rsid w:val="00C77785"/>
    <w:rsid w:val="00C77EBA"/>
    <w:rsid w:val="00C77FB2"/>
    <w:rsid w:val="00C801C8"/>
    <w:rsid w:val="00C80607"/>
    <w:rsid w:val="00C80996"/>
    <w:rsid w:val="00C80A85"/>
    <w:rsid w:val="00C80D0F"/>
    <w:rsid w:val="00C80DFB"/>
    <w:rsid w:val="00C81593"/>
    <w:rsid w:val="00C815F9"/>
    <w:rsid w:val="00C82292"/>
    <w:rsid w:val="00C82635"/>
    <w:rsid w:val="00C82C89"/>
    <w:rsid w:val="00C82FC5"/>
    <w:rsid w:val="00C831E7"/>
    <w:rsid w:val="00C83E6A"/>
    <w:rsid w:val="00C83E7B"/>
    <w:rsid w:val="00C840A6"/>
    <w:rsid w:val="00C84EFB"/>
    <w:rsid w:val="00C85D91"/>
    <w:rsid w:val="00C85F67"/>
    <w:rsid w:val="00C86454"/>
    <w:rsid w:val="00C8735D"/>
    <w:rsid w:val="00C903EA"/>
    <w:rsid w:val="00C90C74"/>
    <w:rsid w:val="00C90CD2"/>
    <w:rsid w:val="00C91A65"/>
    <w:rsid w:val="00C93240"/>
    <w:rsid w:val="00C933AD"/>
    <w:rsid w:val="00C9411C"/>
    <w:rsid w:val="00C943DF"/>
    <w:rsid w:val="00C945E7"/>
    <w:rsid w:val="00C95504"/>
    <w:rsid w:val="00C955A0"/>
    <w:rsid w:val="00C95B38"/>
    <w:rsid w:val="00C95B3D"/>
    <w:rsid w:val="00C95CD8"/>
    <w:rsid w:val="00C95E05"/>
    <w:rsid w:val="00C96BED"/>
    <w:rsid w:val="00C97256"/>
    <w:rsid w:val="00C97760"/>
    <w:rsid w:val="00C97799"/>
    <w:rsid w:val="00C97A54"/>
    <w:rsid w:val="00C97B2B"/>
    <w:rsid w:val="00CA0745"/>
    <w:rsid w:val="00CA109F"/>
    <w:rsid w:val="00CA10BA"/>
    <w:rsid w:val="00CA1711"/>
    <w:rsid w:val="00CA1E98"/>
    <w:rsid w:val="00CA1ED0"/>
    <w:rsid w:val="00CA1F5C"/>
    <w:rsid w:val="00CA245E"/>
    <w:rsid w:val="00CA2880"/>
    <w:rsid w:val="00CA2D95"/>
    <w:rsid w:val="00CA3524"/>
    <w:rsid w:val="00CA38D9"/>
    <w:rsid w:val="00CA390E"/>
    <w:rsid w:val="00CA518B"/>
    <w:rsid w:val="00CA54D2"/>
    <w:rsid w:val="00CA5A87"/>
    <w:rsid w:val="00CA5DA0"/>
    <w:rsid w:val="00CA5FDA"/>
    <w:rsid w:val="00CA609E"/>
    <w:rsid w:val="00CA636F"/>
    <w:rsid w:val="00CA647E"/>
    <w:rsid w:val="00CA64C3"/>
    <w:rsid w:val="00CA64EB"/>
    <w:rsid w:val="00CA6AC1"/>
    <w:rsid w:val="00CA71E0"/>
    <w:rsid w:val="00CA7A36"/>
    <w:rsid w:val="00CA7C0B"/>
    <w:rsid w:val="00CA7C75"/>
    <w:rsid w:val="00CA7F1A"/>
    <w:rsid w:val="00CB053D"/>
    <w:rsid w:val="00CB05C8"/>
    <w:rsid w:val="00CB0F4B"/>
    <w:rsid w:val="00CB12AD"/>
    <w:rsid w:val="00CB15C7"/>
    <w:rsid w:val="00CB228F"/>
    <w:rsid w:val="00CB3A66"/>
    <w:rsid w:val="00CB476D"/>
    <w:rsid w:val="00CB4AB1"/>
    <w:rsid w:val="00CB55F3"/>
    <w:rsid w:val="00CB60F4"/>
    <w:rsid w:val="00CB6354"/>
    <w:rsid w:val="00CB6DD7"/>
    <w:rsid w:val="00CB725A"/>
    <w:rsid w:val="00CB77E9"/>
    <w:rsid w:val="00CB7A0B"/>
    <w:rsid w:val="00CB7A8C"/>
    <w:rsid w:val="00CB7EFD"/>
    <w:rsid w:val="00CC036E"/>
    <w:rsid w:val="00CC0400"/>
    <w:rsid w:val="00CC04C8"/>
    <w:rsid w:val="00CC0B3C"/>
    <w:rsid w:val="00CC0BB1"/>
    <w:rsid w:val="00CC0BC1"/>
    <w:rsid w:val="00CC1BCF"/>
    <w:rsid w:val="00CC2C23"/>
    <w:rsid w:val="00CC3361"/>
    <w:rsid w:val="00CC3477"/>
    <w:rsid w:val="00CC39BB"/>
    <w:rsid w:val="00CC42A9"/>
    <w:rsid w:val="00CC4588"/>
    <w:rsid w:val="00CC47C7"/>
    <w:rsid w:val="00CC498B"/>
    <w:rsid w:val="00CC4B20"/>
    <w:rsid w:val="00CC53DE"/>
    <w:rsid w:val="00CC5403"/>
    <w:rsid w:val="00CC5492"/>
    <w:rsid w:val="00CC55BB"/>
    <w:rsid w:val="00CC5A8A"/>
    <w:rsid w:val="00CC5C0E"/>
    <w:rsid w:val="00CC5DC7"/>
    <w:rsid w:val="00CC672F"/>
    <w:rsid w:val="00CC68AF"/>
    <w:rsid w:val="00CC68CB"/>
    <w:rsid w:val="00CC6973"/>
    <w:rsid w:val="00CC6CCA"/>
    <w:rsid w:val="00CC7180"/>
    <w:rsid w:val="00CC71B8"/>
    <w:rsid w:val="00CC7399"/>
    <w:rsid w:val="00CC76AB"/>
    <w:rsid w:val="00CC771B"/>
    <w:rsid w:val="00CC7B4A"/>
    <w:rsid w:val="00CC7C4F"/>
    <w:rsid w:val="00CC7E71"/>
    <w:rsid w:val="00CD010E"/>
    <w:rsid w:val="00CD0400"/>
    <w:rsid w:val="00CD0689"/>
    <w:rsid w:val="00CD07FB"/>
    <w:rsid w:val="00CD0ABA"/>
    <w:rsid w:val="00CD0C8C"/>
    <w:rsid w:val="00CD0F65"/>
    <w:rsid w:val="00CD100D"/>
    <w:rsid w:val="00CD10CF"/>
    <w:rsid w:val="00CD1E46"/>
    <w:rsid w:val="00CD267B"/>
    <w:rsid w:val="00CD2BEB"/>
    <w:rsid w:val="00CD35EC"/>
    <w:rsid w:val="00CD3948"/>
    <w:rsid w:val="00CD3CEB"/>
    <w:rsid w:val="00CD41D5"/>
    <w:rsid w:val="00CD462A"/>
    <w:rsid w:val="00CD4E46"/>
    <w:rsid w:val="00CD4E7B"/>
    <w:rsid w:val="00CD5774"/>
    <w:rsid w:val="00CD591D"/>
    <w:rsid w:val="00CD69FD"/>
    <w:rsid w:val="00CD6A68"/>
    <w:rsid w:val="00CD6AC1"/>
    <w:rsid w:val="00CD70FC"/>
    <w:rsid w:val="00CD77CD"/>
    <w:rsid w:val="00CD78A2"/>
    <w:rsid w:val="00CD7A39"/>
    <w:rsid w:val="00CD7F00"/>
    <w:rsid w:val="00CE011A"/>
    <w:rsid w:val="00CE0A8C"/>
    <w:rsid w:val="00CE1528"/>
    <w:rsid w:val="00CE1C90"/>
    <w:rsid w:val="00CE1CDA"/>
    <w:rsid w:val="00CE1CEA"/>
    <w:rsid w:val="00CE289A"/>
    <w:rsid w:val="00CE2E59"/>
    <w:rsid w:val="00CE330F"/>
    <w:rsid w:val="00CE37DC"/>
    <w:rsid w:val="00CE3D91"/>
    <w:rsid w:val="00CE3DA2"/>
    <w:rsid w:val="00CE3FDF"/>
    <w:rsid w:val="00CE42CA"/>
    <w:rsid w:val="00CE45F2"/>
    <w:rsid w:val="00CE4F26"/>
    <w:rsid w:val="00CE53C5"/>
    <w:rsid w:val="00CE5459"/>
    <w:rsid w:val="00CE5D5F"/>
    <w:rsid w:val="00CE5DB9"/>
    <w:rsid w:val="00CE5FB6"/>
    <w:rsid w:val="00CE6859"/>
    <w:rsid w:val="00CE68EF"/>
    <w:rsid w:val="00CE69A7"/>
    <w:rsid w:val="00CE7E3A"/>
    <w:rsid w:val="00CE7E63"/>
    <w:rsid w:val="00CF02AE"/>
    <w:rsid w:val="00CF03E8"/>
    <w:rsid w:val="00CF0AF0"/>
    <w:rsid w:val="00CF1288"/>
    <w:rsid w:val="00CF142B"/>
    <w:rsid w:val="00CF190D"/>
    <w:rsid w:val="00CF1947"/>
    <w:rsid w:val="00CF1BFE"/>
    <w:rsid w:val="00CF1EEA"/>
    <w:rsid w:val="00CF2639"/>
    <w:rsid w:val="00CF2946"/>
    <w:rsid w:val="00CF2D17"/>
    <w:rsid w:val="00CF4262"/>
    <w:rsid w:val="00CF442D"/>
    <w:rsid w:val="00CF5AE5"/>
    <w:rsid w:val="00CF6112"/>
    <w:rsid w:val="00CF64B1"/>
    <w:rsid w:val="00CF6DAD"/>
    <w:rsid w:val="00CF78FB"/>
    <w:rsid w:val="00CF7F65"/>
    <w:rsid w:val="00D00ABF"/>
    <w:rsid w:val="00D00CB4"/>
    <w:rsid w:val="00D00EC3"/>
    <w:rsid w:val="00D01340"/>
    <w:rsid w:val="00D0195E"/>
    <w:rsid w:val="00D01D56"/>
    <w:rsid w:val="00D02779"/>
    <w:rsid w:val="00D02B2F"/>
    <w:rsid w:val="00D036F8"/>
    <w:rsid w:val="00D03F8B"/>
    <w:rsid w:val="00D0401E"/>
    <w:rsid w:val="00D041A9"/>
    <w:rsid w:val="00D04FA3"/>
    <w:rsid w:val="00D05750"/>
    <w:rsid w:val="00D061FA"/>
    <w:rsid w:val="00D0621E"/>
    <w:rsid w:val="00D0630D"/>
    <w:rsid w:val="00D063B1"/>
    <w:rsid w:val="00D0660D"/>
    <w:rsid w:val="00D0674F"/>
    <w:rsid w:val="00D06ABC"/>
    <w:rsid w:val="00D06EAD"/>
    <w:rsid w:val="00D07015"/>
    <w:rsid w:val="00D07996"/>
    <w:rsid w:val="00D07ACC"/>
    <w:rsid w:val="00D10239"/>
    <w:rsid w:val="00D102B5"/>
    <w:rsid w:val="00D103B2"/>
    <w:rsid w:val="00D10917"/>
    <w:rsid w:val="00D10EDF"/>
    <w:rsid w:val="00D10FAA"/>
    <w:rsid w:val="00D111E7"/>
    <w:rsid w:val="00D1123E"/>
    <w:rsid w:val="00D1181A"/>
    <w:rsid w:val="00D11C6C"/>
    <w:rsid w:val="00D11D96"/>
    <w:rsid w:val="00D1219C"/>
    <w:rsid w:val="00D12223"/>
    <w:rsid w:val="00D12493"/>
    <w:rsid w:val="00D1256D"/>
    <w:rsid w:val="00D12C59"/>
    <w:rsid w:val="00D13185"/>
    <w:rsid w:val="00D13ACD"/>
    <w:rsid w:val="00D13BE4"/>
    <w:rsid w:val="00D157FF"/>
    <w:rsid w:val="00D15F00"/>
    <w:rsid w:val="00D1604B"/>
    <w:rsid w:val="00D161EA"/>
    <w:rsid w:val="00D1703A"/>
    <w:rsid w:val="00D20145"/>
    <w:rsid w:val="00D20384"/>
    <w:rsid w:val="00D20A30"/>
    <w:rsid w:val="00D21071"/>
    <w:rsid w:val="00D21F8F"/>
    <w:rsid w:val="00D2220A"/>
    <w:rsid w:val="00D22663"/>
    <w:rsid w:val="00D22677"/>
    <w:rsid w:val="00D229F2"/>
    <w:rsid w:val="00D22DFB"/>
    <w:rsid w:val="00D22ECC"/>
    <w:rsid w:val="00D235A3"/>
    <w:rsid w:val="00D23647"/>
    <w:rsid w:val="00D23F28"/>
    <w:rsid w:val="00D243CD"/>
    <w:rsid w:val="00D24DB5"/>
    <w:rsid w:val="00D24EF0"/>
    <w:rsid w:val="00D24F74"/>
    <w:rsid w:val="00D255FE"/>
    <w:rsid w:val="00D256F6"/>
    <w:rsid w:val="00D25D0C"/>
    <w:rsid w:val="00D26092"/>
    <w:rsid w:val="00D265E6"/>
    <w:rsid w:val="00D27272"/>
    <w:rsid w:val="00D275DC"/>
    <w:rsid w:val="00D2762C"/>
    <w:rsid w:val="00D301A1"/>
    <w:rsid w:val="00D3030C"/>
    <w:rsid w:val="00D306F9"/>
    <w:rsid w:val="00D3098F"/>
    <w:rsid w:val="00D30B62"/>
    <w:rsid w:val="00D310E1"/>
    <w:rsid w:val="00D31541"/>
    <w:rsid w:val="00D3215B"/>
    <w:rsid w:val="00D321D7"/>
    <w:rsid w:val="00D32562"/>
    <w:rsid w:val="00D32983"/>
    <w:rsid w:val="00D32A62"/>
    <w:rsid w:val="00D32DB4"/>
    <w:rsid w:val="00D33288"/>
    <w:rsid w:val="00D34128"/>
    <w:rsid w:val="00D34A06"/>
    <w:rsid w:val="00D35891"/>
    <w:rsid w:val="00D35CE1"/>
    <w:rsid w:val="00D360D1"/>
    <w:rsid w:val="00D36F29"/>
    <w:rsid w:val="00D401EF"/>
    <w:rsid w:val="00D4046C"/>
    <w:rsid w:val="00D4072B"/>
    <w:rsid w:val="00D4117B"/>
    <w:rsid w:val="00D41680"/>
    <w:rsid w:val="00D41825"/>
    <w:rsid w:val="00D41A2F"/>
    <w:rsid w:val="00D42962"/>
    <w:rsid w:val="00D4341B"/>
    <w:rsid w:val="00D43B21"/>
    <w:rsid w:val="00D43C8F"/>
    <w:rsid w:val="00D4454F"/>
    <w:rsid w:val="00D449CD"/>
    <w:rsid w:val="00D44A8B"/>
    <w:rsid w:val="00D45434"/>
    <w:rsid w:val="00D45B6A"/>
    <w:rsid w:val="00D45FFB"/>
    <w:rsid w:val="00D463D7"/>
    <w:rsid w:val="00D47113"/>
    <w:rsid w:val="00D471B2"/>
    <w:rsid w:val="00D5001D"/>
    <w:rsid w:val="00D5080F"/>
    <w:rsid w:val="00D508AA"/>
    <w:rsid w:val="00D50B62"/>
    <w:rsid w:val="00D514FE"/>
    <w:rsid w:val="00D51857"/>
    <w:rsid w:val="00D524F5"/>
    <w:rsid w:val="00D52FC7"/>
    <w:rsid w:val="00D53ABE"/>
    <w:rsid w:val="00D53FA2"/>
    <w:rsid w:val="00D5464C"/>
    <w:rsid w:val="00D54CDA"/>
    <w:rsid w:val="00D54D1E"/>
    <w:rsid w:val="00D54EC5"/>
    <w:rsid w:val="00D5529F"/>
    <w:rsid w:val="00D555B7"/>
    <w:rsid w:val="00D556E6"/>
    <w:rsid w:val="00D559D9"/>
    <w:rsid w:val="00D55BC2"/>
    <w:rsid w:val="00D55EDA"/>
    <w:rsid w:val="00D569A9"/>
    <w:rsid w:val="00D56CD3"/>
    <w:rsid w:val="00D56DDF"/>
    <w:rsid w:val="00D57106"/>
    <w:rsid w:val="00D5779B"/>
    <w:rsid w:val="00D57A5D"/>
    <w:rsid w:val="00D57B21"/>
    <w:rsid w:val="00D6043F"/>
    <w:rsid w:val="00D609E5"/>
    <w:rsid w:val="00D60A9C"/>
    <w:rsid w:val="00D6110A"/>
    <w:rsid w:val="00D61B91"/>
    <w:rsid w:val="00D61E75"/>
    <w:rsid w:val="00D62DC3"/>
    <w:rsid w:val="00D62FA6"/>
    <w:rsid w:val="00D63659"/>
    <w:rsid w:val="00D641B7"/>
    <w:rsid w:val="00D644D7"/>
    <w:rsid w:val="00D650CC"/>
    <w:rsid w:val="00D650EE"/>
    <w:rsid w:val="00D65379"/>
    <w:rsid w:val="00D653FC"/>
    <w:rsid w:val="00D65592"/>
    <w:rsid w:val="00D664DC"/>
    <w:rsid w:val="00D6657D"/>
    <w:rsid w:val="00D665ED"/>
    <w:rsid w:val="00D667B8"/>
    <w:rsid w:val="00D66DF9"/>
    <w:rsid w:val="00D6742A"/>
    <w:rsid w:val="00D675D7"/>
    <w:rsid w:val="00D67960"/>
    <w:rsid w:val="00D67AEA"/>
    <w:rsid w:val="00D67DC8"/>
    <w:rsid w:val="00D67F4C"/>
    <w:rsid w:val="00D711B9"/>
    <w:rsid w:val="00D71267"/>
    <w:rsid w:val="00D715A2"/>
    <w:rsid w:val="00D71DA0"/>
    <w:rsid w:val="00D71EE0"/>
    <w:rsid w:val="00D72961"/>
    <w:rsid w:val="00D72E55"/>
    <w:rsid w:val="00D72EBD"/>
    <w:rsid w:val="00D74327"/>
    <w:rsid w:val="00D74568"/>
    <w:rsid w:val="00D749F8"/>
    <w:rsid w:val="00D7514B"/>
    <w:rsid w:val="00D75912"/>
    <w:rsid w:val="00D760BE"/>
    <w:rsid w:val="00D76706"/>
    <w:rsid w:val="00D76730"/>
    <w:rsid w:val="00D76DCE"/>
    <w:rsid w:val="00D77AE7"/>
    <w:rsid w:val="00D77F9B"/>
    <w:rsid w:val="00D80374"/>
    <w:rsid w:val="00D80442"/>
    <w:rsid w:val="00D80E12"/>
    <w:rsid w:val="00D80E85"/>
    <w:rsid w:val="00D810D7"/>
    <w:rsid w:val="00D813AA"/>
    <w:rsid w:val="00D81ABE"/>
    <w:rsid w:val="00D81D03"/>
    <w:rsid w:val="00D81DF6"/>
    <w:rsid w:val="00D823E3"/>
    <w:rsid w:val="00D828FA"/>
    <w:rsid w:val="00D831D1"/>
    <w:rsid w:val="00D837E5"/>
    <w:rsid w:val="00D83C72"/>
    <w:rsid w:val="00D840ED"/>
    <w:rsid w:val="00D844AA"/>
    <w:rsid w:val="00D84AAC"/>
    <w:rsid w:val="00D85010"/>
    <w:rsid w:val="00D8505A"/>
    <w:rsid w:val="00D858E6"/>
    <w:rsid w:val="00D85B7F"/>
    <w:rsid w:val="00D86212"/>
    <w:rsid w:val="00D86550"/>
    <w:rsid w:val="00D86A9F"/>
    <w:rsid w:val="00D86D87"/>
    <w:rsid w:val="00D870B7"/>
    <w:rsid w:val="00D870E0"/>
    <w:rsid w:val="00D87217"/>
    <w:rsid w:val="00D90C24"/>
    <w:rsid w:val="00D90D75"/>
    <w:rsid w:val="00D90F01"/>
    <w:rsid w:val="00D91055"/>
    <w:rsid w:val="00D91189"/>
    <w:rsid w:val="00D91436"/>
    <w:rsid w:val="00D91DC8"/>
    <w:rsid w:val="00D92E61"/>
    <w:rsid w:val="00D93448"/>
    <w:rsid w:val="00D935E9"/>
    <w:rsid w:val="00D93874"/>
    <w:rsid w:val="00D93929"/>
    <w:rsid w:val="00D93B37"/>
    <w:rsid w:val="00D9497B"/>
    <w:rsid w:val="00D952AA"/>
    <w:rsid w:val="00D95FE7"/>
    <w:rsid w:val="00D966CF"/>
    <w:rsid w:val="00D97A75"/>
    <w:rsid w:val="00DA0273"/>
    <w:rsid w:val="00DA0667"/>
    <w:rsid w:val="00DA1576"/>
    <w:rsid w:val="00DA216C"/>
    <w:rsid w:val="00DA2322"/>
    <w:rsid w:val="00DA2B21"/>
    <w:rsid w:val="00DA2C1E"/>
    <w:rsid w:val="00DA328A"/>
    <w:rsid w:val="00DA3C32"/>
    <w:rsid w:val="00DA3E79"/>
    <w:rsid w:val="00DA4367"/>
    <w:rsid w:val="00DA4954"/>
    <w:rsid w:val="00DA51AC"/>
    <w:rsid w:val="00DA5B29"/>
    <w:rsid w:val="00DA6C82"/>
    <w:rsid w:val="00DA6D0C"/>
    <w:rsid w:val="00DA6DC2"/>
    <w:rsid w:val="00DA78E1"/>
    <w:rsid w:val="00DA7D93"/>
    <w:rsid w:val="00DB078B"/>
    <w:rsid w:val="00DB13D9"/>
    <w:rsid w:val="00DB19C5"/>
    <w:rsid w:val="00DB1A20"/>
    <w:rsid w:val="00DB21DD"/>
    <w:rsid w:val="00DB3B28"/>
    <w:rsid w:val="00DB3F00"/>
    <w:rsid w:val="00DB41E6"/>
    <w:rsid w:val="00DB42FD"/>
    <w:rsid w:val="00DB4AA2"/>
    <w:rsid w:val="00DB4ADC"/>
    <w:rsid w:val="00DB516E"/>
    <w:rsid w:val="00DB5BDD"/>
    <w:rsid w:val="00DB5EDC"/>
    <w:rsid w:val="00DB68AA"/>
    <w:rsid w:val="00DB6E17"/>
    <w:rsid w:val="00DB6E96"/>
    <w:rsid w:val="00DB718D"/>
    <w:rsid w:val="00DB731B"/>
    <w:rsid w:val="00DB76A2"/>
    <w:rsid w:val="00DB7AE1"/>
    <w:rsid w:val="00DC032E"/>
    <w:rsid w:val="00DC034D"/>
    <w:rsid w:val="00DC0881"/>
    <w:rsid w:val="00DC1211"/>
    <w:rsid w:val="00DC1545"/>
    <w:rsid w:val="00DC159D"/>
    <w:rsid w:val="00DC1BCA"/>
    <w:rsid w:val="00DC22DA"/>
    <w:rsid w:val="00DC2922"/>
    <w:rsid w:val="00DC2952"/>
    <w:rsid w:val="00DC2C97"/>
    <w:rsid w:val="00DC2CC7"/>
    <w:rsid w:val="00DC2CDA"/>
    <w:rsid w:val="00DC2EE4"/>
    <w:rsid w:val="00DC3C21"/>
    <w:rsid w:val="00DC4236"/>
    <w:rsid w:val="00DC441A"/>
    <w:rsid w:val="00DC47A2"/>
    <w:rsid w:val="00DC47C3"/>
    <w:rsid w:val="00DC4860"/>
    <w:rsid w:val="00DC50C6"/>
    <w:rsid w:val="00DC5368"/>
    <w:rsid w:val="00DC5600"/>
    <w:rsid w:val="00DC5D0F"/>
    <w:rsid w:val="00DC671D"/>
    <w:rsid w:val="00DC6772"/>
    <w:rsid w:val="00DC6B86"/>
    <w:rsid w:val="00DC6C20"/>
    <w:rsid w:val="00DC6F9C"/>
    <w:rsid w:val="00DD01CE"/>
    <w:rsid w:val="00DD0A6B"/>
    <w:rsid w:val="00DD0AB3"/>
    <w:rsid w:val="00DD0EF2"/>
    <w:rsid w:val="00DD1231"/>
    <w:rsid w:val="00DD1D13"/>
    <w:rsid w:val="00DD2D10"/>
    <w:rsid w:val="00DD2F31"/>
    <w:rsid w:val="00DD2F3F"/>
    <w:rsid w:val="00DD3094"/>
    <w:rsid w:val="00DD31A6"/>
    <w:rsid w:val="00DD3F65"/>
    <w:rsid w:val="00DD5A46"/>
    <w:rsid w:val="00DD5D1F"/>
    <w:rsid w:val="00DD5EA8"/>
    <w:rsid w:val="00DD6AAD"/>
    <w:rsid w:val="00DD76DA"/>
    <w:rsid w:val="00DD7B72"/>
    <w:rsid w:val="00DD7D84"/>
    <w:rsid w:val="00DE01EE"/>
    <w:rsid w:val="00DE01FE"/>
    <w:rsid w:val="00DE0624"/>
    <w:rsid w:val="00DE1D57"/>
    <w:rsid w:val="00DE22C9"/>
    <w:rsid w:val="00DE258E"/>
    <w:rsid w:val="00DE2B1A"/>
    <w:rsid w:val="00DE2F83"/>
    <w:rsid w:val="00DE375A"/>
    <w:rsid w:val="00DE3F33"/>
    <w:rsid w:val="00DE4029"/>
    <w:rsid w:val="00DE4479"/>
    <w:rsid w:val="00DE57FD"/>
    <w:rsid w:val="00DE58B3"/>
    <w:rsid w:val="00DE5A7B"/>
    <w:rsid w:val="00DE5B1E"/>
    <w:rsid w:val="00DE6231"/>
    <w:rsid w:val="00DE6954"/>
    <w:rsid w:val="00DE6BD9"/>
    <w:rsid w:val="00DE7779"/>
    <w:rsid w:val="00DE7978"/>
    <w:rsid w:val="00DE7C69"/>
    <w:rsid w:val="00DE7F36"/>
    <w:rsid w:val="00DF01A7"/>
    <w:rsid w:val="00DF0D54"/>
    <w:rsid w:val="00DF17A4"/>
    <w:rsid w:val="00DF1C36"/>
    <w:rsid w:val="00DF22F2"/>
    <w:rsid w:val="00DF2449"/>
    <w:rsid w:val="00DF26F0"/>
    <w:rsid w:val="00DF31C8"/>
    <w:rsid w:val="00DF376F"/>
    <w:rsid w:val="00DF3DFC"/>
    <w:rsid w:val="00DF4719"/>
    <w:rsid w:val="00DF5445"/>
    <w:rsid w:val="00DF588C"/>
    <w:rsid w:val="00DF58DC"/>
    <w:rsid w:val="00DF5C7A"/>
    <w:rsid w:val="00DF6308"/>
    <w:rsid w:val="00DF70F6"/>
    <w:rsid w:val="00DF7485"/>
    <w:rsid w:val="00DF74A3"/>
    <w:rsid w:val="00DF7589"/>
    <w:rsid w:val="00DF77A9"/>
    <w:rsid w:val="00DF7864"/>
    <w:rsid w:val="00DF7918"/>
    <w:rsid w:val="00DF7AB2"/>
    <w:rsid w:val="00DF7BB8"/>
    <w:rsid w:val="00DF7F80"/>
    <w:rsid w:val="00E00D66"/>
    <w:rsid w:val="00E01371"/>
    <w:rsid w:val="00E01846"/>
    <w:rsid w:val="00E02353"/>
    <w:rsid w:val="00E023EE"/>
    <w:rsid w:val="00E02501"/>
    <w:rsid w:val="00E02741"/>
    <w:rsid w:val="00E02AC9"/>
    <w:rsid w:val="00E02F34"/>
    <w:rsid w:val="00E03721"/>
    <w:rsid w:val="00E03944"/>
    <w:rsid w:val="00E03A8B"/>
    <w:rsid w:val="00E03B4C"/>
    <w:rsid w:val="00E04529"/>
    <w:rsid w:val="00E045D6"/>
    <w:rsid w:val="00E05875"/>
    <w:rsid w:val="00E06A1F"/>
    <w:rsid w:val="00E06F03"/>
    <w:rsid w:val="00E071FC"/>
    <w:rsid w:val="00E07324"/>
    <w:rsid w:val="00E0755B"/>
    <w:rsid w:val="00E07FE8"/>
    <w:rsid w:val="00E1089B"/>
    <w:rsid w:val="00E10A48"/>
    <w:rsid w:val="00E10E5B"/>
    <w:rsid w:val="00E11B2F"/>
    <w:rsid w:val="00E11BB1"/>
    <w:rsid w:val="00E11C67"/>
    <w:rsid w:val="00E11C93"/>
    <w:rsid w:val="00E11F55"/>
    <w:rsid w:val="00E12203"/>
    <w:rsid w:val="00E12647"/>
    <w:rsid w:val="00E127B4"/>
    <w:rsid w:val="00E12CE0"/>
    <w:rsid w:val="00E12F67"/>
    <w:rsid w:val="00E13294"/>
    <w:rsid w:val="00E1363A"/>
    <w:rsid w:val="00E136D5"/>
    <w:rsid w:val="00E137D1"/>
    <w:rsid w:val="00E14423"/>
    <w:rsid w:val="00E15DB0"/>
    <w:rsid w:val="00E15DD0"/>
    <w:rsid w:val="00E16376"/>
    <w:rsid w:val="00E16C70"/>
    <w:rsid w:val="00E20C29"/>
    <w:rsid w:val="00E213B2"/>
    <w:rsid w:val="00E21970"/>
    <w:rsid w:val="00E21CAA"/>
    <w:rsid w:val="00E22068"/>
    <w:rsid w:val="00E22190"/>
    <w:rsid w:val="00E225C4"/>
    <w:rsid w:val="00E226A5"/>
    <w:rsid w:val="00E22A4B"/>
    <w:rsid w:val="00E22C4C"/>
    <w:rsid w:val="00E22F45"/>
    <w:rsid w:val="00E2325D"/>
    <w:rsid w:val="00E24665"/>
    <w:rsid w:val="00E246ED"/>
    <w:rsid w:val="00E24894"/>
    <w:rsid w:val="00E24FA4"/>
    <w:rsid w:val="00E255B1"/>
    <w:rsid w:val="00E2575F"/>
    <w:rsid w:val="00E26A70"/>
    <w:rsid w:val="00E26D5C"/>
    <w:rsid w:val="00E27025"/>
    <w:rsid w:val="00E2763A"/>
    <w:rsid w:val="00E27EA9"/>
    <w:rsid w:val="00E30606"/>
    <w:rsid w:val="00E31171"/>
    <w:rsid w:val="00E31287"/>
    <w:rsid w:val="00E3159C"/>
    <w:rsid w:val="00E316DE"/>
    <w:rsid w:val="00E3197F"/>
    <w:rsid w:val="00E3235F"/>
    <w:rsid w:val="00E3287C"/>
    <w:rsid w:val="00E338B1"/>
    <w:rsid w:val="00E338CD"/>
    <w:rsid w:val="00E33B01"/>
    <w:rsid w:val="00E33CDA"/>
    <w:rsid w:val="00E347F0"/>
    <w:rsid w:val="00E34A08"/>
    <w:rsid w:val="00E34C6C"/>
    <w:rsid w:val="00E34DDA"/>
    <w:rsid w:val="00E34F82"/>
    <w:rsid w:val="00E3603F"/>
    <w:rsid w:val="00E36538"/>
    <w:rsid w:val="00E3662D"/>
    <w:rsid w:val="00E36E92"/>
    <w:rsid w:val="00E3780D"/>
    <w:rsid w:val="00E402CA"/>
    <w:rsid w:val="00E40573"/>
    <w:rsid w:val="00E40B49"/>
    <w:rsid w:val="00E40F81"/>
    <w:rsid w:val="00E41130"/>
    <w:rsid w:val="00E417C1"/>
    <w:rsid w:val="00E41B88"/>
    <w:rsid w:val="00E41D70"/>
    <w:rsid w:val="00E41E05"/>
    <w:rsid w:val="00E41EAC"/>
    <w:rsid w:val="00E420FC"/>
    <w:rsid w:val="00E4222D"/>
    <w:rsid w:val="00E42347"/>
    <w:rsid w:val="00E427DA"/>
    <w:rsid w:val="00E42D73"/>
    <w:rsid w:val="00E435CD"/>
    <w:rsid w:val="00E43777"/>
    <w:rsid w:val="00E438C9"/>
    <w:rsid w:val="00E440DA"/>
    <w:rsid w:val="00E44ED2"/>
    <w:rsid w:val="00E45199"/>
    <w:rsid w:val="00E4549D"/>
    <w:rsid w:val="00E455D0"/>
    <w:rsid w:val="00E45773"/>
    <w:rsid w:val="00E45FD1"/>
    <w:rsid w:val="00E461CD"/>
    <w:rsid w:val="00E47083"/>
    <w:rsid w:val="00E50026"/>
    <w:rsid w:val="00E50A55"/>
    <w:rsid w:val="00E50E0D"/>
    <w:rsid w:val="00E50EC0"/>
    <w:rsid w:val="00E5186C"/>
    <w:rsid w:val="00E5195D"/>
    <w:rsid w:val="00E5198F"/>
    <w:rsid w:val="00E51B0A"/>
    <w:rsid w:val="00E52197"/>
    <w:rsid w:val="00E522D6"/>
    <w:rsid w:val="00E52390"/>
    <w:rsid w:val="00E52683"/>
    <w:rsid w:val="00E528EA"/>
    <w:rsid w:val="00E52BC9"/>
    <w:rsid w:val="00E53708"/>
    <w:rsid w:val="00E53896"/>
    <w:rsid w:val="00E55198"/>
    <w:rsid w:val="00E55913"/>
    <w:rsid w:val="00E55B18"/>
    <w:rsid w:val="00E55CB3"/>
    <w:rsid w:val="00E56183"/>
    <w:rsid w:val="00E5682C"/>
    <w:rsid w:val="00E571FD"/>
    <w:rsid w:val="00E57CF7"/>
    <w:rsid w:val="00E6048E"/>
    <w:rsid w:val="00E60514"/>
    <w:rsid w:val="00E608A3"/>
    <w:rsid w:val="00E61B50"/>
    <w:rsid w:val="00E61E5D"/>
    <w:rsid w:val="00E61F6D"/>
    <w:rsid w:val="00E62A07"/>
    <w:rsid w:val="00E62E04"/>
    <w:rsid w:val="00E62ED3"/>
    <w:rsid w:val="00E63808"/>
    <w:rsid w:val="00E64174"/>
    <w:rsid w:val="00E64AC9"/>
    <w:rsid w:val="00E6594A"/>
    <w:rsid w:val="00E65983"/>
    <w:rsid w:val="00E65EFB"/>
    <w:rsid w:val="00E6610C"/>
    <w:rsid w:val="00E66136"/>
    <w:rsid w:val="00E66270"/>
    <w:rsid w:val="00E66406"/>
    <w:rsid w:val="00E705F7"/>
    <w:rsid w:val="00E706C7"/>
    <w:rsid w:val="00E709C4"/>
    <w:rsid w:val="00E70A28"/>
    <w:rsid w:val="00E70C84"/>
    <w:rsid w:val="00E70D96"/>
    <w:rsid w:val="00E70FAA"/>
    <w:rsid w:val="00E71694"/>
    <w:rsid w:val="00E7178B"/>
    <w:rsid w:val="00E7190A"/>
    <w:rsid w:val="00E71BEB"/>
    <w:rsid w:val="00E71C0C"/>
    <w:rsid w:val="00E7204B"/>
    <w:rsid w:val="00E72244"/>
    <w:rsid w:val="00E72367"/>
    <w:rsid w:val="00E729CB"/>
    <w:rsid w:val="00E7314F"/>
    <w:rsid w:val="00E73ED5"/>
    <w:rsid w:val="00E750AC"/>
    <w:rsid w:val="00E75259"/>
    <w:rsid w:val="00E7533E"/>
    <w:rsid w:val="00E755BB"/>
    <w:rsid w:val="00E756FC"/>
    <w:rsid w:val="00E75D56"/>
    <w:rsid w:val="00E75F1A"/>
    <w:rsid w:val="00E761C6"/>
    <w:rsid w:val="00E76987"/>
    <w:rsid w:val="00E7728F"/>
    <w:rsid w:val="00E775B7"/>
    <w:rsid w:val="00E8063F"/>
    <w:rsid w:val="00E81495"/>
    <w:rsid w:val="00E815BC"/>
    <w:rsid w:val="00E8199C"/>
    <w:rsid w:val="00E81BE3"/>
    <w:rsid w:val="00E81C69"/>
    <w:rsid w:val="00E821CC"/>
    <w:rsid w:val="00E82802"/>
    <w:rsid w:val="00E82828"/>
    <w:rsid w:val="00E82AB8"/>
    <w:rsid w:val="00E82C42"/>
    <w:rsid w:val="00E82C70"/>
    <w:rsid w:val="00E83048"/>
    <w:rsid w:val="00E831A7"/>
    <w:rsid w:val="00E84485"/>
    <w:rsid w:val="00E84FBE"/>
    <w:rsid w:val="00E85081"/>
    <w:rsid w:val="00E85CD9"/>
    <w:rsid w:val="00E86001"/>
    <w:rsid w:val="00E86FB4"/>
    <w:rsid w:val="00E872F1"/>
    <w:rsid w:val="00E87594"/>
    <w:rsid w:val="00E875B1"/>
    <w:rsid w:val="00E877E2"/>
    <w:rsid w:val="00E906D7"/>
    <w:rsid w:val="00E906FB"/>
    <w:rsid w:val="00E91933"/>
    <w:rsid w:val="00E9193F"/>
    <w:rsid w:val="00E91ACD"/>
    <w:rsid w:val="00E93062"/>
    <w:rsid w:val="00E93160"/>
    <w:rsid w:val="00E93392"/>
    <w:rsid w:val="00E93972"/>
    <w:rsid w:val="00E93BDF"/>
    <w:rsid w:val="00E9453E"/>
    <w:rsid w:val="00E94AFA"/>
    <w:rsid w:val="00E94E51"/>
    <w:rsid w:val="00E95131"/>
    <w:rsid w:val="00E9531D"/>
    <w:rsid w:val="00E9554C"/>
    <w:rsid w:val="00E955B9"/>
    <w:rsid w:val="00E956FE"/>
    <w:rsid w:val="00E95C43"/>
    <w:rsid w:val="00E95F03"/>
    <w:rsid w:val="00E960A3"/>
    <w:rsid w:val="00E961F0"/>
    <w:rsid w:val="00E96FDF"/>
    <w:rsid w:val="00E970B5"/>
    <w:rsid w:val="00EA0003"/>
    <w:rsid w:val="00EA0330"/>
    <w:rsid w:val="00EA0457"/>
    <w:rsid w:val="00EA06D7"/>
    <w:rsid w:val="00EA0807"/>
    <w:rsid w:val="00EA0822"/>
    <w:rsid w:val="00EA1075"/>
    <w:rsid w:val="00EA1D7E"/>
    <w:rsid w:val="00EA1FB6"/>
    <w:rsid w:val="00EA20FA"/>
    <w:rsid w:val="00EA2651"/>
    <w:rsid w:val="00EA2DA0"/>
    <w:rsid w:val="00EA2F6D"/>
    <w:rsid w:val="00EA32D8"/>
    <w:rsid w:val="00EA3525"/>
    <w:rsid w:val="00EA3653"/>
    <w:rsid w:val="00EA3754"/>
    <w:rsid w:val="00EA4274"/>
    <w:rsid w:val="00EA4702"/>
    <w:rsid w:val="00EA4C27"/>
    <w:rsid w:val="00EA4C48"/>
    <w:rsid w:val="00EA4CC9"/>
    <w:rsid w:val="00EA4D2E"/>
    <w:rsid w:val="00EA5658"/>
    <w:rsid w:val="00EA5B83"/>
    <w:rsid w:val="00EA5C0F"/>
    <w:rsid w:val="00EA61D4"/>
    <w:rsid w:val="00EA63A0"/>
    <w:rsid w:val="00EA6619"/>
    <w:rsid w:val="00EA6864"/>
    <w:rsid w:val="00EA70F6"/>
    <w:rsid w:val="00EA725E"/>
    <w:rsid w:val="00EA7D59"/>
    <w:rsid w:val="00EA7FB6"/>
    <w:rsid w:val="00EB00D6"/>
    <w:rsid w:val="00EB022B"/>
    <w:rsid w:val="00EB1283"/>
    <w:rsid w:val="00EB1649"/>
    <w:rsid w:val="00EB173D"/>
    <w:rsid w:val="00EB181B"/>
    <w:rsid w:val="00EB3000"/>
    <w:rsid w:val="00EB32B0"/>
    <w:rsid w:val="00EB48D1"/>
    <w:rsid w:val="00EB4A9D"/>
    <w:rsid w:val="00EB4BAD"/>
    <w:rsid w:val="00EB4BE9"/>
    <w:rsid w:val="00EB4CF0"/>
    <w:rsid w:val="00EB51D5"/>
    <w:rsid w:val="00EB5B46"/>
    <w:rsid w:val="00EB5CAA"/>
    <w:rsid w:val="00EB6249"/>
    <w:rsid w:val="00EB696E"/>
    <w:rsid w:val="00EB72F1"/>
    <w:rsid w:val="00EB7802"/>
    <w:rsid w:val="00EB7BB1"/>
    <w:rsid w:val="00EB7D96"/>
    <w:rsid w:val="00EC0173"/>
    <w:rsid w:val="00EC0296"/>
    <w:rsid w:val="00EC08EE"/>
    <w:rsid w:val="00EC119F"/>
    <w:rsid w:val="00EC121C"/>
    <w:rsid w:val="00EC1414"/>
    <w:rsid w:val="00EC2052"/>
    <w:rsid w:val="00EC2059"/>
    <w:rsid w:val="00EC23C6"/>
    <w:rsid w:val="00EC27BA"/>
    <w:rsid w:val="00EC2AD3"/>
    <w:rsid w:val="00EC2C9A"/>
    <w:rsid w:val="00EC2D26"/>
    <w:rsid w:val="00EC33A9"/>
    <w:rsid w:val="00EC3679"/>
    <w:rsid w:val="00EC3872"/>
    <w:rsid w:val="00EC3AB7"/>
    <w:rsid w:val="00EC4113"/>
    <w:rsid w:val="00EC411A"/>
    <w:rsid w:val="00EC472C"/>
    <w:rsid w:val="00EC4B3E"/>
    <w:rsid w:val="00EC507E"/>
    <w:rsid w:val="00EC5BD5"/>
    <w:rsid w:val="00EC5D96"/>
    <w:rsid w:val="00EC6200"/>
    <w:rsid w:val="00EC62C0"/>
    <w:rsid w:val="00EC6BA9"/>
    <w:rsid w:val="00EC78D3"/>
    <w:rsid w:val="00EC78EE"/>
    <w:rsid w:val="00EC7C18"/>
    <w:rsid w:val="00ED08C3"/>
    <w:rsid w:val="00ED0F77"/>
    <w:rsid w:val="00ED1472"/>
    <w:rsid w:val="00ED1777"/>
    <w:rsid w:val="00ED1BD7"/>
    <w:rsid w:val="00ED2CBD"/>
    <w:rsid w:val="00ED2D08"/>
    <w:rsid w:val="00ED30DE"/>
    <w:rsid w:val="00ED4056"/>
    <w:rsid w:val="00ED498A"/>
    <w:rsid w:val="00ED5219"/>
    <w:rsid w:val="00ED5526"/>
    <w:rsid w:val="00ED6084"/>
    <w:rsid w:val="00ED62DB"/>
    <w:rsid w:val="00ED65E1"/>
    <w:rsid w:val="00ED7705"/>
    <w:rsid w:val="00ED7FE2"/>
    <w:rsid w:val="00ED7FE5"/>
    <w:rsid w:val="00EE01FA"/>
    <w:rsid w:val="00EE0322"/>
    <w:rsid w:val="00EE03AA"/>
    <w:rsid w:val="00EE06F3"/>
    <w:rsid w:val="00EE0FC2"/>
    <w:rsid w:val="00EE12B3"/>
    <w:rsid w:val="00EE2304"/>
    <w:rsid w:val="00EE2A64"/>
    <w:rsid w:val="00EE3BCC"/>
    <w:rsid w:val="00EE4F8B"/>
    <w:rsid w:val="00EE5349"/>
    <w:rsid w:val="00EE55ED"/>
    <w:rsid w:val="00EE5615"/>
    <w:rsid w:val="00EE588A"/>
    <w:rsid w:val="00EE5A9B"/>
    <w:rsid w:val="00EE5FF1"/>
    <w:rsid w:val="00EE62C7"/>
    <w:rsid w:val="00EE6520"/>
    <w:rsid w:val="00EE7438"/>
    <w:rsid w:val="00EE76AF"/>
    <w:rsid w:val="00EE79D4"/>
    <w:rsid w:val="00EE7C04"/>
    <w:rsid w:val="00EE7FD6"/>
    <w:rsid w:val="00EF0627"/>
    <w:rsid w:val="00EF0D4B"/>
    <w:rsid w:val="00EF1832"/>
    <w:rsid w:val="00EF1FCA"/>
    <w:rsid w:val="00EF25E2"/>
    <w:rsid w:val="00EF27D4"/>
    <w:rsid w:val="00EF2C8C"/>
    <w:rsid w:val="00EF31AA"/>
    <w:rsid w:val="00EF37D4"/>
    <w:rsid w:val="00EF3CD6"/>
    <w:rsid w:val="00EF3E9E"/>
    <w:rsid w:val="00EF441F"/>
    <w:rsid w:val="00EF5DB9"/>
    <w:rsid w:val="00EF67B5"/>
    <w:rsid w:val="00EF6848"/>
    <w:rsid w:val="00EF7188"/>
    <w:rsid w:val="00EF71A1"/>
    <w:rsid w:val="00EF79BD"/>
    <w:rsid w:val="00EF7B40"/>
    <w:rsid w:val="00EF7D2E"/>
    <w:rsid w:val="00EF7EC2"/>
    <w:rsid w:val="00F004BA"/>
    <w:rsid w:val="00F00AE7"/>
    <w:rsid w:val="00F01295"/>
    <w:rsid w:val="00F01498"/>
    <w:rsid w:val="00F01608"/>
    <w:rsid w:val="00F01CA3"/>
    <w:rsid w:val="00F01F0E"/>
    <w:rsid w:val="00F02AF7"/>
    <w:rsid w:val="00F02E56"/>
    <w:rsid w:val="00F02F0D"/>
    <w:rsid w:val="00F0305D"/>
    <w:rsid w:val="00F0323F"/>
    <w:rsid w:val="00F04753"/>
    <w:rsid w:val="00F04F37"/>
    <w:rsid w:val="00F05217"/>
    <w:rsid w:val="00F0548A"/>
    <w:rsid w:val="00F062A3"/>
    <w:rsid w:val="00F06364"/>
    <w:rsid w:val="00F066B4"/>
    <w:rsid w:val="00F06A28"/>
    <w:rsid w:val="00F06CA2"/>
    <w:rsid w:val="00F073E2"/>
    <w:rsid w:val="00F0756B"/>
    <w:rsid w:val="00F07B9B"/>
    <w:rsid w:val="00F07BFA"/>
    <w:rsid w:val="00F07E1B"/>
    <w:rsid w:val="00F102AD"/>
    <w:rsid w:val="00F10307"/>
    <w:rsid w:val="00F1035E"/>
    <w:rsid w:val="00F10522"/>
    <w:rsid w:val="00F108B6"/>
    <w:rsid w:val="00F109BC"/>
    <w:rsid w:val="00F10DBF"/>
    <w:rsid w:val="00F10EB1"/>
    <w:rsid w:val="00F11916"/>
    <w:rsid w:val="00F11B99"/>
    <w:rsid w:val="00F1221E"/>
    <w:rsid w:val="00F124EE"/>
    <w:rsid w:val="00F1269E"/>
    <w:rsid w:val="00F12B55"/>
    <w:rsid w:val="00F12FD5"/>
    <w:rsid w:val="00F13123"/>
    <w:rsid w:val="00F13B56"/>
    <w:rsid w:val="00F13C42"/>
    <w:rsid w:val="00F141AF"/>
    <w:rsid w:val="00F14501"/>
    <w:rsid w:val="00F145B5"/>
    <w:rsid w:val="00F14814"/>
    <w:rsid w:val="00F14985"/>
    <w:rsid w:val="00F14B0B"/>
    <w:rsid w:val="00F15546"/>
    <w:rsid w:val="00F1580D"/>
    <w:rsid w:val="00F15AB8"/>
    <w:rsid w:val="00F15B5A"/>
    <w:rsid w:val="00F15C8B"/>
    <w:rsid w:val="00F15ED9"/>
    <w:rsid w:val="00F16E88"/>
    <w:rsid w:val="00F17798"/>
    <w:rsid w:val="00F17FB9"/>
    <w:rsid w:val="00F202C2"/>
    <w:rsid w:val="00F203BD"/>
    <w:rsid w:val="00F2070B"/>
    <w:rsid w:val="00F2085B"/>
    <w:rsid w:val="00F20912"/>
    <w:rsid w:val="00F20A2B"/>
    <w:rsid w:val="00F20BF8"/>
    <w:rsid w:val="00F20D82"/>
    <w:rsid w:val="00F21352"/>
    <w:rsid w:val="00F216E6"/>
    <w:rsid w:val="00F21C29"/>
    <w:rsid w:val="00F21D2F"/>
    <w:rsid w:val="00F21E69"/>
    <w:rsid w:val="00F223AA"/>
    <w:rsid w:val="00F22542"/>
    <w:rsid w:val="00F22DE6"/>
    <w:rsid w:val="00F232B8"/>
    <w:rsid w:val="00F2382C"/>
    <w:rsid w:val="00F23E18"/>
    <w:rsid w:val="00F23EA8"/>
    <w:rsid w:val="00F23FD9"/>
    <w:rsid w:val="00F247F9"/>
    <w:rsid w:val="00F255D6"/>
    <w:rsid w:val="00F25991"/>
    <w:rsid w:val="00F26CEF"/>
    <w:rsid w:val="00F26E5B"/>
    <w:rsid w:val="00F2702B"/>
    <w:rsid w:val="00F27972"/>
    <w:rsid w:val="00F27B65"/>
    <w:rsid w:val="00F30171"/>
    <w:rsid w:val="00F30469"/>
    <w:rsid w:val="00F3070D"/>
    <w:rsid w:val="00F309E9"/>
    <w:rsid w:val="00F30FDC"/>
    <w:rsid w:val="00F31D28"/>
    <w:rsid w:val="00F31FC2"/>
    <w:rsid w:val="00F320E2"/>
    <w:rsid w:val="00F3216C"/>
    <w:rsid w:val="00F326FF"/>
    <w:rsid w:val="00F327DA"/>
    <w:rsid w:val="00F32D04"/>
    <w:rsid w:val="00F32E2B"/>
    <w:rsid w:val="00F331A9"/>
    <w:rsid w:val="00F334D9"/>
    <w:rsid w:val="00F3361F"/>
    <w:rsid w:val="00F33B83"/>
    <w:rsid w:val="00F343E1"/>
    <w:rsid w:val="00F34563"/>
    <w:rsid w:val="00F34B6F"/>
    <w:rsid w:val="00F35433"/>
    <w:rsid w:val="00F355AE"/>
    <w:rsid w:val="00F3572C"/>
    <w:rsid w:val="00F35814"/>
    <w:rsid w:val="00F36A0F"/>
    <w:rsid w:val="00F36BAA"/>
    <w:rsid w:val="00F37A8A"/>
    <w:rsid w:val="00F40144"/>
    <w:rsid w:val="00F402AF"/>
    <w:rsid w:val="00F40A72"/>
    <w:rsid w:val="00F40E88"/>
    <w:rsid w:val="00F413A7"/>
    <w:rsid w:val="00F413EB"/>
    <w:rsid w:val="00F414EA"/>
    <w:rsid w:val="00F41774"/>
    <w:rsid w:val="00F41F7C"/>
    <w:rsid w:val="00F420B1"/>
    <w:rsid w:val="00F426A2"/>
    <w:rsid w:val="00F42CC3"/>
    <w:rsid w:val="00F434DA"/>
    <w:rsid w:val="00F43862"/>
    <w:rsid w:val="00F43CB6"/>
    <w:rsid w:val="00F43EBA"/>
    <w:rsid w:val="00F44318"/>
    <w:rsid w:val="00F4456B"/>
    <w:rsid w:val="00F44D2A"/>
    <w:rsid w:val="00F44D34"/>
    <w:rsid w:val="00F4515F"/>
    <w:rsid w:val="00F4523C"/>
    <w:rsid w:val="00F45309"/>
    <w:rsid w:val="00F45D5B"/>
    <w:rsid w:val="00F45DDA"/>
    <w:rsid w:val="00F45F5E"/>
    <w:rsid w:val="00F462BC"/>
    <w:rsid w:val="00F46567"/>
    <w:rsid w:val="00F46A33"/>
    <w:rsid w:val="00F46B85"/>
    <w:rsid w:val="00F47055"/>
    <w:rsid w:val="00F477D3"/>
    <w:rsid w:val="00F47E1B"/>
    <w:rsid w:val="00F50C9B"/>
    <w:rsid w:val="00F50FDA"/>
    <w:rsid w:val="00F5140E"/>
    <w:rsid w:val="00F5174A"/>
    <w:rsid w:val="00F522F8"/>
    <w:rsid w:val="00F523B1"/>
    <w:rsid w:val="00F523E6"/>
    <w:rsid w:val="00F5240A"/>
    <w:rsid w:val="00F524A6"/>
    <w:rsid w:val="00F52677"/>
    <w:rsid w:val="00F5278D"/>
    <w:rsid w:val="00F533AA"/>
    <w:rsid w:val="00F53F28"/>
    <w:rsid w:val="00F53F5D"/>
    <w:rsid w:val="00F543B5"/>
    <w:rsid w:val="00F543FC"/>
    <w:rsid w:val="00F545DC"/>
    <w:rsid w:val="00F54C17"/>
    <w:rsid w:val="00F54D9F"/>
    <w:rsid w:val="00F54EC3"/>
    <w:rsid w:val="00F54F58"/>
    <w:rsid w:val="00F55090"/>
    <w:rsid w:val="00F55310"/>
    <w:rsid w:val="00F55792"/>
    <w:rsid w:val="00F55799"/>
    <w:rsid w:val="00F559C1"/>
    <w:rsid w:val="00F55FEA"/>
    <w:rsid w:val="00F560C8"/>
    <w:rsid w:val="00F563FD"/>
    <w:rsid w:val="00F56818"/>
    <w:rsid w:val="00F56B43"/>
    <w:rsid w:val="00F5791F"/>
    <w:rsid w:val="00F57EB4"/>
    <w:rsid w:val="00F6009B"/>
    <w:rsid w:val="00F600EF"/>
    <w:rsid w:val="00F6084D"/>
    <w:rsid w:val="00F60947"/>
    <w:rsid w:val="00F60C40"/>
    <w:rsid w:val="00F60D41"/>
    <w:rsid w:val="00F60DDE"/>
    <w:rsid w:val="00F60E3A"/>
    <w:rsid w:val="00F615A3"/>
    <w:rsid w:val="00F61A11"/>
    <w:rsid w:val="00F61B51"/>
    <w:rsid w:val="00F61B91"/>
    <w:rsid w:val="00F61D2C"/>
    <w:rsid w:val="00F624E2"/>
    <w:rsid w:val="00F627B8"/>
    <w:rsid w:val="00F62942"/>
    <w:rsid w:val="00F62B41"/>
    <w:rsid w:val="00F62D8B"/>
    <w:rsid w:val="00F62EF4"/>
    <w:rsid w:val="00F63240"/>
    <w:rsid w:val="00F63F54"/>
    <w:rsid w:val="00F642F6"/>
    <w:rsid w:val="00F65003"/>
    <w:rsid w:val="00F653EE"/>
    <w:rsid w:val="00F655F2"/>
    <w:rsid w:val="00F656C1"/>
    <w:rsid w:val="00F65F1E"/>
    <w:rsid w:val="00F65F65"/>
    <w:rsid w:val="00F65FD2"/>
    <w:rsid w:val="00F66572"/>
    <w:rsid w:val="00F66626"/>
    <w:rsid w:val="00F66910"/>
    <w:rsid w:val="00F6695A"/>
    <w:rsid w:val="00F66AF6"/>
    <w:rsid w:val="00F6713F"/>
    <w:rsid w:val="00F677A5"/>
    <w:rsid w:val="00F6790B"/>
    <w:rsid w:val="00F67D94"/>
    <w:rsid w:val="00F705C1"/>
    <w:rsid w:val="00F70A02"/>
    <w:rsid w:val="00F71344"/>
    <w:rsid w:val="00F71736"/>
    <w:rsid w:val="00F72008"/>
    <w:rsid w:val="00F729C4"/>
    <w:rsid w:val="00F73465"/>
    <w:rsid w:val="00F73798"/>
    <w:rsid w:val="00F74643"/>
    <w:rsid w:val="00F74B74"/>
    <w:rsid w:val="00F75047"/>
    <w:rsid w:val="00F7596B"/>
    <w:rsid w:val="00F75973"/>
    <w:rsid w:val="00F76152"/>
    <w:rsid w:val="00F762DD"/>
    <w:rsid w:val="00F76981"/>
    <w:rsid w:val="00F76B7E"/>
    <w:rsid w:val="00F771DF"/>
    <w:rsid w:val="00F77306"/>
    <w:rsid w:val="00F776D4"/>
    <w:rsid w:val="00F779F6"/>
    <w:rsid w:val="00F77C55"/>
    <w:rsid w:val="00F77C82"/>
    <w:rsid w:val="00F77F8D"/>
    <w:rsid w:val="00F80DA6"/>
    <w:rsid w:val="00F81A03"/>
    <w:rsid w:val="00F81DEF"/>
    <w:rsid w:val="00F82217"/>
    <w:rsid w:val="00F822EA"/>
    <w:rsid w:val="00F827D3"/>
    <w:rsid w:val="00F83320"/>
    <w:rsid w:val="00F833E6"/>
    <w:rsid w:val="00F83968"/>
    <w:rsid w:val="00F83E85"/>
    <w:rsid w:val="00F8432B"/>
    <w:rsid w:val="00F84357"/>
    <w:rsid w:val="00F844D3"/>
    <w:rsid w:val="00F84798"/>
    <w:rsid w:val="00F84ADC"/>
    <w:rsid w:val="00F84C0E"/>
    <w:rsid w:val="00F85567"/>
    <w:rsid w:val="00F858D4"/>
    <w:rsid w:val="00F86558"/>
    <w:rsid w:val="00F86898"/>
    <w:rsid w:val="00F86F43"/>
    <w:rsid w:val="00F87252"/>
    <w:rsid w:val="00F878C2"/>
    <w:rsid w:val="00F878FC"/>
    <w:rsid w:val="00F90083"/>
    <w:rsid w:val="00F908BD"/>
    <w:rsid w:val="00F90991"/>
    <w:rsid w:val="00F90E03"/>
    <w:rsid w:val="00F91016"/>
    <w:rsid w:val="00F91D0B"/>
    <w:rsid w:val="00F92250"/>
    <w:rsid w:val="00F9297D"/>
    <w:rsid w:val="00F92B40"/>
    <w:rsid w:val="00F93170"/>
    <w:rsid w:val="00F9585F"/>
    <w:rsid w:val="00F95A1B"/>
    <w:rsid w:val="00F96072"/>
    <w:rsid w:val="00F97231"/>
    <w:rsid w:val="00F97296"/>
    <w:rsid w:val="00F97810"/>
    <w:rsid w:val="00F97825"/>
    <w:rsid w:val="00F97E3C"/>
    <w:rsid w:val="00FA0275"/>
    <w:rsid w:val="00FA06FD"/>
    <w:rsid w:val="00FA0844"/>
    <w:rsid w:val="00FA1ADE"/>
    <w:rsid w:val="00FA1D7F"/>
    <w:rsid w:val="00FA1E12"/>
    <w:rsid w:val="00FA1E79"/>
    <w:rsid w:val="00FA1EBC"/>
    <w:rsid w:val="00FA2194"/>
    <w:rsid w:val="00FA21E4"/>
    <w:rsid w:val="00FA2700"/>
    <w:rsid w:val="00FA2FDD"/>
    <w:rsid w:val="00FA32C3"/>
    <w:rsid w:val="00FA32EB"/>
    <w:rsid w:val="00FA34EE"/>
    <w:rsid w:val="00FA354C"/>
    <w:rsid w:val="00FA38C2"/>
    <w:rsid w:val="00FA39AE"/>
    <w:rsid w:val="00FA45FF"/>
    <w:rsid w:val="00FA48BF"/>
    <w:rsid w:val="00FA4B44"/>
    <w:rsid w:val="00FA4BF9"/>
    <w:rsid w:val="00FA5529"/>
    <w:rsid w:val="00FA5A50"/>
    <w:rsid w:val="00FA5E1A"/>
    <w:rsid w:val="00FA6136"/>
    <w:rsid w:val="00FA6690"/>
    <w:rsid w:val="00FA6F62"/>
    <w:rsid w:val="00FA7224"/>
    <w:rsid w:val="00FA72FD"/>
    <w:rsid w:val="00FA73E3"/>
    <w:rsid w:val="00FA76D1"/>
    <w:rsid w:val="00FA7A28"/>
    <w:rsid w:val="00FA7CDF"/>
    <w:rsid w:val="00FB0028"/>
    <w:rsid w:val="00FB00F6"/>
    <w:rsid w:val="00FB0500"/>
    <w:rsid w:val="00FB05FE"/>
    <w:rsid w:val="00FB0BB2"/>
    <w:rsid w:val="00FB0C42"/>
    <w:rsid w:val="00FB0E7C"/>
    <w:rsid w:val="00FB111C"/>
    <w:rsid w:val="00FB1720"/>
    <w:rsid w:val="00FB19BB"/>
    <w:rsid w:val="00FB1B7E"/>
    <w:rsid w:val="00FB1F11"/>
    <w:rsid w:val="00FB2C4C"/>
    <w:rsid w:val="00FB2D77"/>
    <w:rsid w:val="00FB362E"/>
    <w:rsid w:val="00FB408D"/>
    <w:rsid w:val="00FB40B0"/>
    <w:rsid w:val="00FB4764"/>
    <w:rsid w:val="00FB4876"/>
    <w:rsid w:val="00FB4D0F"/>
    <w:rsid w:val="00FB4FED"/>
    <w:rsid w:val="00FB5800"/>
    <w:rsid w:val="00FB5E23"/>
    <w:rsid w:val="00FB6671"/>
    <w:rsid w:val="00FB6AF3"/>
    <w:rsid w:val="00FB7093"/>
    <w:rsid w:val="00FB7D1F"/>
    <w:rsid w:val="00FB7FA4"/>
    <w:rsid w:val="00FB7FFD"/>
    <w:rsid w:val="00FC0434"/>
    <w:rsid w:val="00FC0E5A"/>
    <w:rsid w:val="00FC0F47"/>
    <w:rsid w:val="00FC1032"/>
    <w:rsid w:val="00FC10E3"/>
    <w:rsid w:val="00FC11B9"/>
    <w:rsid w:val="00FC132C"/>
    <w:rsid w:val="00FC14E9"/>
    <w:rsid w:val="00FC169E"/>
    <w:rsid w:val="00FC1802"/>
    <w:rsid w:val="00FC20B0"/>
    <w:rsid w:val="00FC24B8"/>
    <w:rsid w:val="00FC2D75"/>
    <w:rsid w:val="00FC308E"/>
    <w:rsid w:val="00FC3687"/>
    <w:rsid w:val="00FC397C"/>
    <w:rsid w:val="00FC4056"/>
    <w:rsid w:val="00FC4161"/>
    <w:rsid w:val="00FC42A7"/>
    <w:rsid w:val="00FC4723"/>
    <w:rsid w:val="00FC4B4C"/>
    <w:rsid w:val="00FC4BF4"/>
    <w:rsid w:val="00FC58E1"/>
    <w:rsid w:val="00FC5EA8"/>
    <w:rsid w:val="00FC639D"/>
    <w:rsid w:val="00FC6B76"/>
    <w:rsid w:val="00FC6D5A"/>
    <w:rsid w:val="00FC70CA"/>
    <w:rsid w:val="00FC7823"/>
    <w:rsid w:val="00FC7852"/>
    <w:rsid w:val="00FC795B"/>
    <w:rsid w:val="00FC7CF0"/>
    <w:rsid w:val="00FC7E6B"/>
    <w:rsid w:val="00FD0513"/>
    <w:rsid w:val="00FD0B66"/>
    <w:rsid w:val="00FD0CB2"/>
    <w:rsid w:val="00FD183F"/>
    <w:rsid w:val="00FD2363"/>
    <w:rsid w:val="00FD2908"/>
    <w:rsid w:val="00FD2FF3"/>
    <w:rsid w:val="00FD4690"/>
    <w:rsid w:val="00FD48F6"/>
    <w:rsid w:val="00FD54B0"/>
    <w:rsid w:val="00FD58E5"/>
    <w:rsid w:val="00FD5C59"/>
    <w:rsid w:val="00FD5CF8"/>
    <w:rsid w:val="00FD6138"/>
    <w:rsid w:val="00FD6C2B"/>
    <w:rsid w:val="00FD7C05"/>
    <w:rsid w:val="00FD7D71"/>
    <w:rsid w:val="00FD7F9A"/>
    <w:rsid w:val="00FE0566"/>
    <w:rsid w:val="00FE05C1"/>
    <w:rsid w:val="00FE065B"/>
    <w:rsid w:val="00FE15E6"/>
    <w:rsid w:val="00FE2147"/>
    <w:rsid w:val="00FE2ECA"/>
    <w:rsid w:val="00FE333C"/>
    <w:rsid w:val="00FE35E6"/>
    <w:rsid w:val="00FE3FE8"/>
    <w:rsid w:val="00FE549E"/>
    <w:rsid w:val="00FE5D49"/>
    <w:rsid w:val="00FE65E0"/>
    <w:rsid w:val="00FE680E"/>
    <w:rsid w:val="00FE6846"/>
    <w:rsid w:val="00FE6D74"/>
    <w:rsid w:val="00FE7D0D"/>
    <w:rsid w:val="00FF099E"/>
    <w:rsid w:val="00FF1387"/>
    <w:rsid w:val="00FF32A0"/>
    <w:rsid w:val="00FF36DD"/>
    <w:rsid w:val="00FF3850"/>
    <w:rsid w:val="00FF38BA"/>
    <w:rsid w:val="00FF3BC2"/>
    <w:rsid w:val="00FF3F70"/>
    <w:rsid w:val="00FF486D"/>
    <w:rsid w:val="00FF4E8D"/>
    <w:rsid w:val="00FF5611"/>
    <w:rsid w:val="00FF5707"/>
    <w:rsid w:val="00FF5AC8"/>
    <w:rsid w:val="00FF5C33"/>
    <w:rsid w:val="00FF5EF0"/>
    <w:rsid w:val="00FF5F5D"/>
    <w:rsid w:val="00FF604D"/>
    <w:rsid w:val="00FF65B5"/>
    <w:rsid w:val="00FF6620"/>
    <w:rsid w:val="00FF6ADE"/>
    <w:rsid w:val="00FF6DF3"/>
    <w:rsid w:val="00FF7407"/>
    <w:rsid w:val="00FF7BC9"/>
    <w:rsid w:val="066D9CF9"/>
    <w:rsid w:val="2112886C"/>
    <w:rsid w:val="212078CE"/>
    <w:rsid w:val="351EAB66"/>
    <w:rsid w:val="3705EA57"/>
    <w:rsid w:val="37B62B30"/>
    <w:rsid w:val="3E03A2B8"/>
    <w:rsid w:val="41887FB0"/>
    <w:rsid w:val="431DF5CC"/>
    <w:rsid w:val="45750634"/>
    <w:rsid w:val="5AD57D7A"/>
    <w:rsid w:val="752FF4EE"/>
    <w:rsid w:val="76AF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9C4DB"/>
  <w15:docId w15:val="{56C33870-7FD2-49EC-8233-5B58162D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00"/>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D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263275"/>
    <w:pPr>
      <w:tabs>
        <w:tab w:val="right" w:leader="dot" w:pos="10490"/>
      </w:tabs>
      <w:spacing w:before="240"/>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4047D9"/>
    <w:pPr>
      <w:tabs>
        <w:tab w:val="right" w:leader="dot" w:pos="10773"/>
      </w:tabs>
      <w:spacing w:after="100"/>
      <w:ind w:left="220"/>
    </w:pPr>
  </w:style>
  <w:style w:type="character" w:customStyle="1" w:styleId="Mencinsinresolver1">
    <w:name w:val="Mención sin resolver1"/>
    <w:basedOn w:val="Fuentedeprrafopredeter"/>
    <w:uiPriority w:val="99"/>
    <w:semiHidden/>
    <w:unhideWhenUsed/>
    <w:rsid w:val="00204ED0"/>
    <w:rPr>
      <w:color w:val="605E5C"/>
      <w:shd w:val="clear" w:color="auto" w:fill="E1DFDD"/>
    </w:rPr>
  </w:style>
  <w:style w:type="paragraph" w:customStyle="1" w:styleId="msonormal0">
    <w:name w:val="msonormal"/>
    <w:basedOn w:val="Normal"/>
    <w:rsid w:val="004B76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4B76C5"/>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xl65">
    <w:name w:val="xl6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6">
    <w:name w:val="xl6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7">
    <w:name w:val="xl6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8">
    <w:name w:val="xl6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9">
    <w:name w:val="xl69"/>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0">
    <w:name w:val="xl7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1">
    <w:name w:val="xl71"/>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2">
    <w:name w:val="xl7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3">
    <w:name w:val="xl73"/>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4">
    <w:name w:val="xl7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5">
    <w:name w:val="xl7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6">
    <w:name w:val="xl76"/>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7">
    <w:name w:val="xl7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8">
    <w:name w:val="xl78"/>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9">
    <w:name w:val="xl79"/>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0">
    <w:name w:val="xl80"/>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1">
    <w:name w:val="xl8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2">
    <w:name w:val="xl8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3">
    <w:name w:val="xl83"/>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4">
    <w:name w:val="xl84"/>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5">
    <w:name w:val="xl8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6">
    <w:name w:val="xl8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7">
    <w:name w:val="xl8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8">
    <w:name w:val="xl88"/>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9">
    <w:name w:val="xl8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0">
    <w:name w:val="xl90"/>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1">
    <w:name w:val="xl91"/>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2">
    <w:name w:val="xl92"/>
    <w:basedOn w:val="Normal"/>
    <w:rsid w:val="004B76C5"/>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3">
    <w:name w:val="xl93"/>
    <w:basedOn w:val="Normal"/>
    <w:rsid w:val="004B76C5"/>
    <w:pP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4">
    <w:name w:val="xl94"/>
    <w:basedOn w:val="Normal"/>
    <w:rsid w:val="004B76C5"/>
    <w:pPr>
      <w:pBdr>
        <w:lef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5">
    <w:name w:val="xl95"/>
    <w:basedOn w:val="Normal"/>
    <w:rsid w:val="004B76C5"/>
    <w:pPr>
      <w:pBdr>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6">
    <w:name w:val="xl96"/>
    <w:basedOn w:val="Normal"/>
    <w:rsid w:val="004B76C5"/>
    <w:pPr>
      <w:pBdr>
        <w:left w:val="single" w:sz="8" w:space="0" w:color="BFBFBF"/>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7">
    <w:name w:val="xl9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8">
    <w:name w:val="xl9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9">
    <w:name w:val="xl9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00">
    <w:name w:val="xl100"/>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1">
    <w:name w:val="xl101"/>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2">
    <w:name w:val="xl10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3">
    <w:name w:val="xl10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4">
    <w:name w:val="xl104"/>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5">
    <w:name w:val="xl10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6">
    <w:name w:val="xl10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7">
    <w:name w:val="xl10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8">
    <w:name w:val="xl1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9">
    <w:name w:val="xl10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0">
    <w:name w:val="xl1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1">
    <w:name w:val="xl11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2">
    <w:name w:val="xl112"/>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3">
    <w:name w:val="xl113"/>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4">
    <w:name w:val="xl11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5">
    <w:name w:val="xl11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6">
    <w:name w:val="xl116"/>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7">
    <w:name w:val="xl117"/>
    <w:basedOn w:val="Normal"/>
    <w:rsid w:val="004B76C5"/>
    <w:pPr>
      <w:pBdr>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8">
    <w:name w:val="xl11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9">
    <w:name w:val="xl119"/>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0">
    <w:name w:val="xl120"/>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1">
    <w:name w:val="xl121"/>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2">
    <w:name w:val="xl12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3">
    <w:name w:val="xl12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4">
    <w:name w:val="xl124"/>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5">
    <w:name w:val="xl12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6">
    <w:name w:val="xl126"/>
    <w:basedOn w:val="Normal"/>
    <w:rsid w:val="004B76C5"/>
    <w:pPr>
      <w:pBdr>
        <w:top w:val="single" w:sz="4"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7">
    <w:name w:val="xl127"/>
    <w:basedOn w:val="Normal"/>
    <w:rsid w:val="004B76C5"/>
    <w:pPr>
      <w:pBdr>
        <w:top w:val="single" w:sz="8" w:space="0" w:color="BFBFBF"/>
        <w:left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8">
    <w:name w:val="xl128"/>
    <w:basedOn w:val="Normal"/>
    <w:rsid w:val="004B76C5"/>
    <w:pPr>
      <w:pBdr>
        <w:top w:val="single" w:sz="8"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9">
    <w:name w:val="xl129"/>
    <w:basedOn w:val="Normal"/>
    <w:rsid w:val="004B76C5"/>
    <w:pPr>
      <w:pBdr>
        <w:top w:val="single" w:sz="8"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0">
    <w:name w:val="xl130"/>
    <w:basedOn w:val="Normal"/>
    <w:rsid w:val="004B76C5"/>
    <w:pPr>
      <w:pBdr>
        <w:top w:val="single" w:sz="4"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1">
    <w:name w:val="xl131"/>
    <w:basedOn w:val="Normal"/>
    <w:rsid w:val="004B76C5"/>
    <w:pPr>
      <w:pBdr>
        <w:top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2">
    <w:name w:val="xl132"/>
    <w:basedOn w:val="Normal"/>
    <w:rsid w:val="004B76C5"/>
    <w:pPr>
      <w:pBdr>
        <w:top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3">
    <w:name w:val="xl133"/>
    <w:basedOn w:val="Normal"/>
    <w:rsid w:val="004B76C5"/>
    <w:pPr>
      <w:pBdr>
        <w:top w:val="single" w:sz="8"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4">
    <w:name w:val="xl134"/>
    <w:basedOn w:val="Normal"/>
    <w:rsid w:val="004B76C5"/>
    <w:pPr>
      <w:pBdr>
        <w:top w:val="single" w:sz="4"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5">
    <w:name w:val="xl135"/>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36">
    <w:name w:val="xl136"/>
    <w:basedOn w:val="Normal"/>
    <w:rsid w:val="004B76C5"/>
    <w:pPr>
      <w:pBdr>
        <w:top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7">
    <w:name w:val="xl137"/>
    <w:basedOn w:val="Normal"/>
    <w:rsid w:val="004B76C5"/>
    <w:pPr>
      <w:pBdr>
        <w:top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8">
    <w:name w:val="xl138"/>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39">
    <w:name w:val="xl13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0">
    <w:name w:val="xl140"/>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1">
    <w:name w:val="xl141"/>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2">
    <w:name w:val="xl14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3">
    <w:name w:val="xl143"/>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4">
    <w:name w:val="xl144"/>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5">
    <w:name w:val="xl145"/>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6">
    <w:name w:val="xl146"/>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7">
    <w:name w:val="xl147"/>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8">
    <w:name w:val="xl148"/>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9">
    <w:name w:val="xl149"/>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50">
    <w:name w:val="xl150"/>
    <w:basedOn w:val="Normal"/>
    <w:rsid w:val="004B76C5"/>
    <w:pPr>
      <w:pBdr>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1">
    <w:name w:val="xl15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2">
    <w:name w:val="xl152"/>
    <w:basedOn w:val="Normal"/>
    <w:rsid w:val="004B76C5"/>
    <w:pPr>
      <w:pBdr>
        <w:top w:val="single" w:sz="8" w:space="0" w:color="BFBFBF"/>
        <w:left w:val="single" w:sz="8"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3">
    <w:name w:val="xl153"/>
    <w:basedOn w:val="Normal"/>
    <w:rsid w:val="004B76C5"/>
    <w:pPr>
      <w:pBdr>
        <w:top w:val="single" w:sz="8" w:space="0" w:color="BFBFBF"/>
        <w:left w:val="single" w:sz="4"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4">
    <w:name w:val="xl154"/>
    <w:basedOn w:val="Normal"/>
    <w:rsid w:val="004B76C5"/>
    <w:pPr>
      <w:pBdr>
        <w:top w:val="single" w:sz="8" w:space="0" w:color="BFBFBF"/>
        <w:left w:val="single" w:sz="4" w:space="0" w:color="BFBFBF"/>
        <w:bottom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5">
    <w:name w:val="xl155"/>
    <w:basedOn w:val="Normal"/>
    <w:rsid w:val="004B76C5"/>
    <w:pPr>
      <w:pBdr>
        <w:top w:val="single" w:sz="4" w:space="0" w:color="BFBFBF"/>
        <w:left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6">
    <w:name w:val="xl156"/>
    <w:basedOn w:val="Normal"/>
    <w:rsid w:val="004B76C5"/>
    <w:pPr>
      <w:pBdr>
        <w:top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7">
    <w:name w:val="xl157"/>
    <w:basedOn w:val="Normal"/>
    <w:rsid w:val="004B76C5"/>
    <w:pPr>
      <w:pBdr>
        <w:top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8">
    <w:name w:val="xl158"/>
    <w:basedOn w:val="Normal"/>
    <w:rsid w:val="004B76C5"/>
    <w:pPr>
      <w:pBdr>
        <w:top w:val="single" w:sz="4" w:space="0" w:color="BFBFBF"/>
        <w:left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9">
    <w:name w:val="xl159"/>
    <w:basedOn w:val="Normal"/>
    <w:rsid w:val="004B76C5"/>
    <w:pPr>
      <w:pBdr>
        <w:top w:val="single" w:sz="4" w:space="0" w:color="BFBFBF"/>
        <w:left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0">
    <w:name w:val="xl160"/>
    <w:basedOn w:val="Normal"/>
    <w:rsid w:val="004B76C5"/>
    <w:pPr>
      <w:pBdr>
        <w:top w:val="single" w:sz="4" w:space="0" w:color="BFBFBF"/>
        <w:left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1">
    <w:name w:val="xl161"/>
    <w:basedOn w:val="Normal"/>
    <w:rsid w:val="004B76C5"/>
    <w:pPr>
      <w:pBdr>
        <w:top w:val="single" w:sz="8" w:space="0" w:color="BFBFBF"/>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2">
    <w:name w:val="xl162"/>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63">
    <w:name w:val="xl163"/>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64">
    <w:name w:val="xl164"/>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5">
    <w:name w:val="xl165"/>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6">
    <w:name w:val="xl166"/>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7">
    <w:name w:val="xl167"/>
    <w:basedOn w:val="Normal"/>
    <w:rsid w:val="004B76C5"/>
    <w:pPr>
      <w:pBdr>
        <w:top w:val="single" w:sz="8" w:space="0" w:color="BFBFBF"/>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8">
    <w:name w:val="xl168"/>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9">
    <w:name w:val="xl169"/>
    <w:basedOn w:val="Normal"/>
    <w:rsid w:val="004B76C5"/>
    <w:pPr>
      <w:pBdr>
        <w:top w:val="single" w:sz="8" w:space="0" w:color="BFBFBF"/>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0">
    <w:name w:val="xl170"/>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1">
    <w:name w:val="xl171"/>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72">
    <w:name w:val="xl17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3">
    <w:name w:val="xl17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4">
    <w:name w:val="xl174"/>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5">
    <w:name w:val="xl175"/>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6">
    <w:name w:val="xl176"/>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7">
    <w:name w:val="xl177"/>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8">
    <w:name w:val="xl178"/>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9">
    <w:name w:val="xl17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0">
    <w:name w:val="xl180"/>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1">
    <w:name w:val="xl181"/>
    <w:basedOn w:val="Normal"/>
    <w:rsid w:val="004B76C5"/>
    <w:pPr>
      <w:pBdr>
        <w:top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82">
    <w:name w:val="xl182"/>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3">
    <w:name w:val="xl18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4">
    <w:name w:val="xl184"/>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5">
    <w:name w:val="xl18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6">
    <w:name w:val="xl186"/>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7">
    <w:name w:val="xl187"/>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8">
    <w:name w:val="xl188"/>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9">
    <w:name w:val="xl18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0">
    <w:name w:val="xl190"/>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1">
    <w:name w:val="xl191"/>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2">
    <w:name w:val="xl19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3">
    <w:name w:val="xl193"/>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4">
    <w:name w:val="xl194"/>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5">
    <w:name w:val="xl195"/>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6">
    <w:name w:val="xl196"/>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7">
    <w:name w:val="xl197"/>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8">
    <w:name w:val="xl19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9">
    <w:name w:val="xl19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0">
    <w:name w:val="xl200"/>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1">
    <w:name w:val="xl20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2">
    <w:name w:val="xl20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3">
    <w:name w:val="xl20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4">
    <w:name w:val="xl204"/>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5">
    <w:name w:val="xl205"/>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6">
    <w:name w:val="xl20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7">
    <w:name w:val="xl20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8">
    <w:name w:val="xl2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09">
    <w:name w:val="xl20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0">
    <w:name w:val="xl2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1">
    <w:name w:val="xl211"/>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2">
    <w:name w:val="xl212"/>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3">
    <w:name w:val="xl213"/>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4">
    <w:name w:val="xl214"/>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5">
    <w:name w:val="xl21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6">
    <w:name w:val="xl21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7">
    <w:name w:val="xl217"/>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8">
    <w:name w:val="xl21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9">
    <w:name w:val="xl21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0">
    <w:name w:val="xl22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1">
    <w:name w:val="xl22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2">
    <w:name w:val="xl222"/>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3">
    <w:name w:val="xl22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4">
    <w:name w:val="xl22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5">
    <w:name w:val="xl22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6">
    <w:name w:val="xl22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7">
    <w:name w:val="xl227"/>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8">
    <w:name w:val="xl228"/>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29">
    <w:name w:val="xl229"/>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0">
    <w:name w:val="xl230"/>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1">
    <w:name w:val="xl23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2">
    <w:name w:val="xl232"/>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3">
    <w:name w:val="xl233"/>
    <w:basedOn w:val="Normal"/>
    <w:rsid w:val="004B76C5"/>
    <w:pPr>
      <w:pBdr>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34">
    <w:name w:val="xl23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5">
    <w:name w:val="xl23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sz w:val="17"/>
      <w:szCs w:val="17"/>
      <w:lang w:eastAsia="es-MX"/>
    </w:rPr>
  </w:style>
  <w:style w:type="paragraph" w:customStyle="1" w:styleId="xl236">
    <w:name w:val="xl23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37">
    <w:name w:val="xl23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8">
    <w:name w:val="xl23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9">
    <w:name w:val="xl239"/>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0">
    <w:name w:val="xl240"/>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41">
    <w:name w:val="xl241"/>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42">
    <w:name w:val="xl242"/>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3">
    <w:name w:val="xl243"/>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4">
    <w:name w:val="xl244"/>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5">
    <w:name w:val="xl245"/>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6">
    <w:name w:val="xl24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7">
    <w:name w:val="xl247"/>
    <w:basedOn w:val="Normal"/>
    <w:rsid w:val="004B76C5"/>
    <w:pPr>
      <w:pBdr>
        <w:lef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8">
    <w:name w:val="xl248"/>
    <w:basedOn w:val="Normal"/>
    <w:rsid w:val="004B76C5"/>
    <w:pP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9">
    <w:name w:val="xl249"/>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0">
    <w:name w:val="xl250"/>
    <w:basedOn w:val="Normal"/>
    <w:rsid w:val="004B76C5"/>
    <w:pPr>
      <w:pBdr>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1">
    <w:name w:val="xl251"/>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2">
    <w:name w:val="xl252"/>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b/>
      <w:bCs/>
      <w:color w:val="BF8F00"/>
      <w:sz w:val="17"/>
      <w:szCs w:val="17"/>
      <w:lang w:eastAsia="es-MX"/>
    </w:rPr>
  </w:style>
  <w:style w:type="paragraph" w:customStyle="1" w:styleId="xl253">
    <w:name w:val="xl253"/>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4">
    <w:name w:val="xl25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5">
    <w:name w:val="xl255"/>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6">
    <w:name w:val="xl25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7">
    <w:name w:val="xl25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8">
    <w:name w:val="xl258"/>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9">
    <w:name w:val="xl259"/>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60">
    <w:name w:val="xl260"/>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1">
    <w:name w:val="xl261"/>
    <w:basedOn w:val="Normal"/>
    <w:rsid w:val="004B76C5"/>
    <w:pPr>
      <w:pBdr>
        <w:top w:val="single" w:sz="8" w:space="0" w:color="BFBFBF"/>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2">
    <w:name w:val="xl262"/>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3">
    <w:name w:val="xl263"/>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264">
    <w:name w:val="xl264"/>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5">
    <w:name w:val="xl265"/>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6">
    <w:name w:val="xl266"/>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7">
    <w:name w:val="xl267"/>
    <w:basedOn w:val="Normal"/>
    <w:rsid w:val="004B76C5"/>
    <w:pPr>
      <w:pBdr>
        <w:top w:val="single" w:sz="8" w:space="0" w:color="BFBFBF"/>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8">
    <w:name w:val="xl268"/>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Hipervnculovisitado">
    <w:name w:val="FollowedHyperlink"/>
    <w:basedOn w:val="Fuentedeprrafopredeter"/>
    <w:uiPriority w:val="99"/>
    <w:semiHidden/>
    <w:unhideWhenUsed/>
    <w:rsid w:val="00E10E5B"/>
    <w:rPr>
      <w:color w:val="954F72"/>
      <w:u w:val="single"/>
    </w:rPr>
  </w:style>
  <w:style w:type="paragraph" w:customStyle="1" w:styleId="xl63">
    <w:name w:val="xl6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4">
    <w:name w:val="xl64"/>
    <w:basedOn w:val="Normal"/>
    <w:rsid w:val="00E10E5B"/>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9">
    <w:name w:val="xl269"/>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0">
    <w:name w:val="xl270"/>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1">
    <w:name w:val="xl271"/>
    <w:basedOn w:val="Normal"/>
    <w:rsid w:val="00E10E5B"/>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2">
    <w:name w:val="xl272"/>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3">
    <w:name w:val="xl273"/>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4">
    <w:name w:val="xl274"/>
    <w:basedOn w:val="Normal"/>
    <w:rsid w:val="00E10E5B"/>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5">
    <w:name w:val="xl275"/>
    <w:basedOn w:val="Normal"/>
    <w:rsid w:val="00E10E5B"/>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6">
    <w:name w:val="xl276"/>
    <w:basedOn w:val="Normal"/>
    <w:rsid w:val="00E10E5B"/>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7">
    <w:name w:val="xl277"/>
    <w:basedOn w:val="Normal"/>
    <w:rsid w:val="00E10E5B"/>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8">
    <w:name w:val="xl278"/>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79">
    <w:name w:val="xl279"/>
    <w:basedOn w:val="Normal"/>
    <w:rsid w:val="00E10E5B"/>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80">
    <w:name w:val="xl280"/>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81">
    <w:name w:val="xl281"/>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2">
    <w:name w:val="xl282"/>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3">
    <w:name w:val="xl28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4">
    <w:name w:val="xl284"/>
    <w:basedOn w:val="Normal"/>
    <w:rsid w:val="00E10E5B"/>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table" w:styleId="Tablaconcuadrcula4-nfasis3">
    <w:name w:val="Grid Table 4 Accent 3"/>
    <w:basedOn w:val="Tablanormal"/>
    <w:uiPriority w:val="49"/>
    <w:rsid w:val="000F482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semiHidden/>
    <w:rsid w:val="002D3AEC"/>
    <w:rPr>
      <w:rFonts w:asciiTheme="majorHAnsi" w:eastAsiaTheme="majorEastAsia" w:hAnsiTheme="majorHAnsi" w:cstheme="majorBidi"/>
      <w:color w:val="1F4D78" w:themeColor="accent1" w:themeShade="7F"/>
      <w:sz w:val="24"/>
      <w:szCs w:val="24"/>
      <w:lang w:val="es-MX"/>
    </w:rPr>
  </w:style>
  <w:style w:type="character" w:styleId="Mencinsinresolver">
    <w:name w:val="Unresolved Mention"/>
    <w:basedOn w:val="Fuentedeprrafopredeter"/>
    <w:uiPriority w:val="99"/>
    <w:semiHidden/>
    <w:unhideWhenUsed/>
    <w:rsid w:val="00931152"/>
    <w:rPr>
      <w:color w:val="605E5C"/>
      <w:shd w:val="clear" w:color="auto" w:fill="E1DFDD"/>
    </w:rPr>
  </w:style>
  <w:style w:type="paragraph" w:customStyle="1" w:styleId="font6">
    <w:name w:val="font6"/>
    <w:basedOn w:val="Normal"/>
    <w:rsid w:val="00931152"/>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font7">
    <w:name w:val="font7"/>
    <w:basedOn w:val="Normal"/>
    <w:rsid w:val="00931152"/>
    <w:pPr>
      <w:spacing w:before="100" w:beforeAutospacing="1" w:after="100" w:afterAutospacing="1" w:line="240" w:lineRule="auto"/>
    </w:pPr>
    <w:rPr>
      <w:rFonts w:ascii="Century Gothic" w:eastAsia="Times New Roman" w:hAnsi="Century Gothic" w:cs="Times New Roman"/>
      <w:i/>
      <w:iCs/>
      <w:color w:val="FFFFFF"/>
      <w:sz w:val="17"/>
      <w:szCs w:val="17"/>
      <w:lang w:eastAsia="es-MX"/>
    </w:rPr>
  </w:style>
  <w:style w:type="paragraph" w:styleId="Sinespaciado">
    <w:name w:val="No Spacing"/>
    <w:link w:val="SinespaciadoCar"/>
    <w:uiPriority w:val="1"/>
    <w:qFormat/>
    <w:rsid w:val="00555CB3"/>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555CB3"/>
    <w:rPr>
      <w:rFonts w:eastAsiaTheme="minorEastAsia"/>
      <w:lang w:val="es-MX" w:eastAsia="es-MX"/>
    </w:rPr>
  </w:style>
  <w:style w:type="paragraph" w:styleId="TDC3">
    <w:name w:val="toc 3"/>
    <w:basedOn w:val="Normal"/>
    <w:next w:val="Normal"/>
    <w:autoRedefine/>
    <w:uiPriority w:val="39"/>
    <w:unhideWhenUsed/>
    <w:rsid w:val="00D56CD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16128596">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65492393">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 w:id="1224095731">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32841489">
      <w:bodyDiv w:val="1"/>
      <w:marLeft w:val="0"/>
      <w:marRight w:val="0"/>
      <w:marTop w:val="0"/>
      <w:marBottom w:val="0"/>
      <w:divBdr>
        <w:top w:val="none" w:sz="0" w:space="0" w:color="auto"/>
        <w:left w:val="none" w:sz="0" w:space="0" w:color="auto"/>
        <w:bottom w:val="none" w:sz="0" w:space="0" w:color="auto"/>
        <w:right w:val="none" w:sz="0" w:space="0" w:color="auto"/>
      </w:divBdr>
    </w:div>
    <w:div w:id="135883024">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2858016">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72695026">
      <w:bodyDiv w:val="1"/>
      <w:marLeft w:val="0"/>
      <w:marRight w:val="0"/>
      <w:marTop w:val="0"/>
      <w:marBottom w:val="0"/>
      <w:divBdr>
        <w:top w:val="none" w:sz="0" w:space="0" w:color="auto"/>
        <w:left w:val="none" w:sz="0" w:space="0" w:color="auto"/>
        <w:bottom w:val="none" w:sz="0" w:space="0" w:color="auto"/>
        <w:right w:val="none" w:sz="0" w:space="0" w:color="auto"/>
      </w:divBdr>
    </w:div>
    <w:div w:id="180316119">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213663296">
      <w:bodyDiv w:val="1"/>
      <w:marLeft w:val="0"/>
      <w:marRight w:val="0"/>
      <w:marTop w:val="0"/>
      <w:marBottom w:val="0"/>
      <w:divBdr>
        <w:top w:val="none" w:sz="0" w:space="0" w:color="auto"/>
        <w:left w:val="none" w:sz="0" w:space="0" w:color="auto"/>
        <w:bottom w:val="none" w:sz="0" w:space="0" w:color="auto"/>
        <w:right w:val="none" w:sz="0" w:space="0" w:color="auto"/>
      </w:divBdr>
    </w:div>
    <w:div w:id="218588550">
      <w:bodyDiv w:val="1"/>
      <w:marLeft w:val="0"/>
      <w:marRight w:val="0"/>
      <w:marTop w:val="0"/>
      <w:marBottom w:val="0"/>
      <w:divBdr>
        <w:top w:val="none" w:sz="0" w:space="0" w:color="auto"/>
        <w:left w:val="none" w:sz="0" w:space="0" w:color="auto"/>
        <w:bottom w:val="none" w:sz="0" w:space="0" w:color="auto"/>
        <w:right w:val="none" w:sz="0" w:space="0" w:color="auto"/>
      </w:divBdr>
    </w:div>
    <w:div w:id="219368166">
      <w:bodyDiv w:val="1"/>
      <w:marLeft w:val="0"/>
      <w:marRight w:val="0"/>
      <w:marTop w:val="0"/>
      <w:marBottom w:val="0"/>
      <w:divBdr>
        <w:top w:val="none" w:sz="0" w:space="0" w:color="auto"/>
        <w:left w:val="none" w:sz="0" w:space="0" w:color="auto"/>
        <w:bottom w:val="none" w:sz="0" w:space="0" w:color="auto"/>
        <w:right w:val="none" w:sz="0" w:space="0" w:color="auto"/>
      </w:divBdr>
    </w:div>
    <w:div w:id="254898868">
      <w:bodyDiv w:val="1"/>
      <w:marLeft w:val="0"/>
      <w:marRight w:val="0"/>
      <w:marTop w:val="0"/>
      <w:marBottom w:val="0"/>
      <w:divBdr>
        <w:top w:val="none" w:sz="0" w:space="0" w:color="auto"/>
        <w:left w:val="none" w:sz="0" w:space="0" w:color="auto"/>
        <w:bottom w:val="none" w:sz="0" w:space="0" w:color="auto"/>
        <w:right w:val="none" w:sz="0" w:space="0" w:color="auto"/>
      </w:divBdr>
    </w:div>
    <w:div w:id="264076057">
      <w:bodyDiv w:val="1"/>
      <w:marLeft w:val="0"/>
      <w:marRight w:val="0"/>
      <w:marTop w:val="0"/>
      <w:marBottom w:val="0"/>
      <w:divBdr>
        <w:top w:val="none" w:sz="0" w:space="0" w:color="auto"/>
        <w:left w:val="none" w:sz="0" w:space="0" w:color="auto"/>
        <w:bottom w:val="none" w:sz="0" w:space="0" w:color="auto"/>
        <w:right w:val="none" w:sz="0" w:space="0" w:color="auto"/>
      </w:divBdr>
    </w:div>
    <w:div w:id="288823389">
      <w:bodyDiv w:val="1"/>
      <w:marLeft w:val="0"/>
      <w:marRight w:val="0"/>
      <w:marTop w:val="0"/>
      <w:marBottom w:val="0"/>
      <w:divBdr>
        <w:top w:val="none" w:sz="0" w:space="0" w:color="auto"/>
        <w:left w:val="none" w:sz="0" w:space="0" w:color="auto"/>
        <w:bottom w:val="none" w:sz="0" w:space="0" w:color="auto"/>
        <w:right w:val="none" w:sz="0" w:space="0" w:color="auto"/>
      </w:divBdr>
    </w:div>
    <w:div w:id="304894440">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26639768">
      <w:bodyDiv w:val="1"/>
      <w:marLeft w:val="0"/>
      <w:marRight w:val="0"/>
      <w:marTop w:val="0"/>
      <w:marBottom w:val="0"/>
      <w:divBdr>
        <w:top w:val="none" w:sz="0" w:space="0" w:color="auto"/>
        <w:left w:val="none" w:sz="0" w:space="0" w:color="auto"/>
        <w:bottom w:val="none" w:sz="0" w:space="0" w:color="auto"/>
        <w:right w:val="none" w:sz="0" w:space="0" w:color="auto"/>
      </w:divBdr>
    </w:div>
    <w:div w:id="329069204">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21952140">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39033268">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27644009">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39368187">
      <w:bodyDiv w:val="1"/>
      <w:marLeft w:val="0"/>
      <w:marRight w:val="0"/>
      <w:marTop w:val="0"/>
      <w:marBottom w:val="0"/>
      <w:divBdr>
        <w:top w:val="none" w:sz="0" w:space="0" w:color="auto"/>
        <w:left w:val="none" w:sz="0" w:space="0" w:color="auto"/>
        <w:bottom w:val="none" w:sz="0" w:space="0" w:color="auto"/>
        <w:right w:val="none" w:sz="0" w:space="0" w:color="auto"/>
      </w:divBdr>
    </w:div>
    <w:div w:id="567038126">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79545827">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696465312">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1979751">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09375921">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16778589">
      <w:bodyDiv w:val="1"/>
      <w:marLeft w:val="0"/>
      <w:marRight w:val="0"/>
      <w:marTop w:val="0"/>
      <w:marBottom w:val="0"/>
      <w:divBdr>
        <w:top w:val="none" w:sz="0" w:space="0" w:color="auto"/>
        <w:left w:val="none" w:sz="0" w:space="0" w:color="auto"/>
        <w:bottom w:val="none" w:sz="0" w:space="0" w:color="auto"/>
        <w:right w:val="none" w:sz="0" w:space="0" w:color="auto"/>
      </w:divBdr>
    </w:div>
    <w:div w:id="722288865">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277623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39403251">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54404913">
      <w:bodyDiv w:val="1"/>
      <w:marLeft w:val="0"/>
      <w:marRight w:val="0"/>
      <w:marTop w:val="0"/>
      <w:marBottom w:val="0"/>
      <w:divBdr>
        <w:top w:val="none" w:sz="0" w:space="0" w:color="auto"/>
        <w:left w:val="none" w:sz="0" w:space="0" w:color="auto"/>
        <w:bottom w:val="none" w:sz="0" w:space="0" w:color="auto"/>
        <w:right w:val="none" w:sz="0" w:space="0" w:color="auto"/>
      </w:divBdr>
    </w:div>
    <w:div w:id="75605159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0581616">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13858804">
      <w:bodyDiv w:val="1"/>
      <w:marLeft w:val="0"/>
      <w:marRight w:val="0"/>
      <w:marTop w:val="0"/>
      <w:marBottom w:val="0"/>
      <w:divBdr>
        <w:top w:val="none" w:sz="0" w:space="0" w:color="auto"/>
        <w:left w:val="none" w:sz="0" w:space="0" w:color="auto"/>
        <w:bottom w:val="none" w:sz="0" w:space="0" w:color="auto"/>
        <w:right w:val="none" w:sz="0" w:space="0" w:color="auto"/>
      </w:divBdr>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47851185">
      <w:bodyDiv w:val="1"/>
      <w:marLeft w:val="0"/>
      <w:marRight w:val="0"/>
      <w:marTop w:val="0"/>
      <w:marBottom w:val="0"/>
      <w:divBdr>
        <w:top w:val="none" w:sz="0" w:space="0" w:color="auto"/>
        <w:left w:val="none" w:sz="0" w:space="0" w:color="auto"/>
        <w:bottom w:val="none" w:sz="0" w:space="0" w:color="auto"/>
        <w:right w:val="none" w:sz="0" w:space="0" w:color="auto"/>
      </w:divBdr>
    </w:div>
    <w:div w:id="95174090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78533273">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994720786">
      <w:bodyDiv w:val="1"/>
      <w:marLeft w:val="0"/>
      <w:marRight w:val="0"/>
      <w:marTop w:val="0"/>
      <w:marBottom w:val="0"/>
      <w:divBdr>
        <w:top w:val="none" w:sz="0" w:space="0" w:color="auto"/>
        <w:left w:val="none" w:sz="0" w:space="0" w:color="auto"/>
        <w:bottom w:val="none" w:sz="0" w:space="0" w:color="auto"/>
        <w:right w:val="none" w:sz="0" w:space="0" w:color="auto"/>
      </w:divBdr>
    </w:div>
    <w:div w:id="995301858">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063604788">
      <w:bodyDiv w:val="1"/>
      <w:marLeft w:val="0"/>
      <w:marRight w:val="0"/>
      <w:marTop w:val="0"/>
      <w:marBottom w:val="0"/>
      <w:divBdr>
        <w:top w:val="none" w:sz="0" w:space="0" w:color="auto"/>
        <w:left w:val="none" w:sz="0" w:space="0" w:color="auto"/>
        <w:bottom w:val="none" w:sz="0" w:space="0" w:color="auto"/>
        <w:right w:val="none" w:sz="0" w:space="0" w:color="auto"/>
      </w:divBdr>
    </w:div>
    <w:div w:id="1129274737">
      <w:bodyDiv w:val="1"/>
      <w:marLeft w:val="0"/>
      <w:marRight w:val="0"/>
      <w:marTop w:val="0"/>
      <w:marBottom w:val="0"/>
      <w:divBdr>
        <w:top w:val="none" w:sz="0" w:space="0" w:color="auto"/>
        <w:left w:val="none" w:sz="0" w:space="0" w:color="auto"/>
        <w:bottom w:val="none" w:sz="0" w:space="0" w:color="auto"/>
        <w:right w:val="none" w:sz="0" w:space="0" w:color="auto"/>
      </w:divBdr>
    </w:div>
    <w:div w:id="1129668968">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53645738">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692015">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06328853">
      <w:bodyDiv w:val="1"/>
      <w:marLeft w:val="0"/>
      <w:marRight w:val="0"/>
      <w:marTop w:val="0"/>
      <w:marBottom w:val="0"/>
      <w:divBdr>
        <w:top w:val="none" w:sz="0" w:space="0" w:color="auto"/>
        <w:left w:val="none" w:sz="0" w:space="0" w:color="auto"/>
        <w:bottom w:val="none" w:sz="0" w:space="0" w:color="auto"/>
        <w:right w:val="none" w:sz="0" w:space="0" w:color="auto"/>
      </w:divBdr>
    </w:div>
    <w:div w:id="1240290067">
      <w:bodyDiv w:val="1"/>
      <w:marLeft w:val="0"/>
      <w:marRight w:val="0"/>
      <w:marTop w:val="0"/>
      <w:marBottom w:val="0"/>
      <w:divBdr>
        <w:top w:val="none" w:sz="0" w:space="0" w:color="auto"/>
        <w:left w:val="none" w:sz="0" w:space="0" w:color="auto"/>
        <w:bottom w:val="none" w:sz="0" w:space="0" w:color="auto"/>
        <w:right w:val="none" w:sz="0" w:space="0" w:color="auto"/>
      </w:divBdr>
    </w:div>
    <w:div w:id="1242333093">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79801563">
      <w:bodyDiv w:val="1"/>
      <w:marLeft w:val="0"/>
      <w:marRight w:val="0"/>
      <w:marTop w:val="0"/>
      <w:marBottom w:val="0"/>
      <w:divBdr>
        <w:top w:val="none" w:sz="0" w:space="0" w:color="auto"/>
        <w:left w:val="none" w:sz="0" w:space="0" w:color="auto"/>
        <w:bottom w:val="none" w:sz="0" w:space="0" w:color="auto"/>
        <w:right w:val="none" w:sz="0" w:space="0" w:color="auto"/>
      </w:divBdr>
    </w:div>
    <w:div w:id="1280841489">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286697422">
      <w:bodyDiv w:val="1"/>
      <w:marLeft w:val="0"/>
      <w:marRight w:val="0"/>
      <w:marTop w:val="0"/>
      <w:marBottom w:val="0"/>
      <w:divBdr>
        <w:top w:val="none" w:sz="0" w:space="0" w:color="auto"/>
        <w:left w:val="none" w:sz="0" w:space="0" w:color="auto"/>
        <w:bottom w:val="none" w:sz="0" w:space="0" w:color="auto"/>
        <w:right w:val="none" w:sz="0" w:space="0" w:color="auto"/>
      </w:divBdr>
    </w:div>
    <w:div w:id="1321076213">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48286781">
      <w:bodyDiv w:val="1"/>
      <w:marLeft w:val="0"/>
      <w:marRight w:val="0"/>
      <w:marTop w:val="0"/>
      <w:marBottom w:val="0"/>
      <w:divBdr>
        <w:top w:val="none" w:sz="0" w:space="0" w:color="auto"/>
        <w:left w:val="none" w:sz="0" w:space="0" w:color="auto"/>
        <w:bottom w:val="none" w:sz="0" w:space="0" w:color="auto"/>
        <w:right w:val="none" w:sz="0" w:space="0" w:color="auto"/>
      </w:divBdr>
    </w:div>
    <w:div w:id="1357345607">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79624889">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19668461">
      <w:bodyDiv w:val="1"/>
      <w:marLeft w:val="0"/>
      <w:marRight w:val="0"/>
      <w:marTop w:val="0"/>
      <w:marBottom w:val="0"/>
      <w:divBdr>
        <w:top w:val="none" w:sz="0" w:space="0" w:color="auto"/>
        <w:left w:val="none" w:sz="0" w:space="0" w:color="auto"/>
        <w:bottom w:val="none" w:sz="0" w:space="0" w:color="auto"/>
        <w:right w:val="none" w:sz="0" w:space="0" w:color="auto"/>
      </w:divBdr>
    </w:div>
    <w:div w:id="1454908546">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08668100">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3841">
          <w:marLeft w:val="1440"/>
          <w:marRight w:val="0"/>
          <w:marTop w:val="240"/>
          <w:marBottom w:val="0"/>
          <w:divBdr>
            <w:top w:val="none" w:sz="0" w:space="0" w:color="auto"/>
            <w:left w:val="none" w:sz="0" w:space="0" w:color="auto"/>
            <w:bottom w:val="none" w:sz="0" w:space="0" w:color="auto"/>
            <w:right w:val="none" w:sz="0" w:space="0" w:color="auto"/>
          </w:divBdr>
        </w:div>
        <w:div w:id="1819027634">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14510459">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4698777">
      <w:bodyDiv w:val="1"/>
      <w:marLeft w:val="0"/>
      <w:marRight w:val="0"/>
      <w:marTop w:val="0"/>
      <w:marBottom w:val="0"/>
      <w:divBdr>
        <w:top w:val="none" w:sz="0" w:space="0" w:color="auto"/>
        <w:left w:val="none" w:sz="0" w:space="0" w:color="auto"/>
        <w:bottom w:val="none" w:sz="0" w:space="0" w:color="auto"/>
        <w:right w:val="none" w:sz="0" w:space="0" w:color="auto"/>
      </w:divBdr>
    </w:div>
    <w:div w:id="1687903332">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21830772">
      <w:bodyDiv w:val="1"/>
      <w:marLeft w:val="0"/>
      <w:marRight w:val="0"/>
      <w:marTop w:val="0"/>
      <w:marBottom w:val="0"/>
      <w:divBdr>
        <w:top w:val="none" w:sz="0" w:space="0" w:color="auto"/>
        <w:left w:val="none" w:sz="0" w:space="0" w:color="auto"/>
        <w:bottom w:val="none" w:sz="0" w:space="0" w:color="auto"/>
        <w:right w:val="none" w:sz="0" w:space="0" w:color="auto"/>
      </w:divBdr>
    </w:div>
    <w:div w:id="1724139015">
      <w:bodyDiv w:val="1"/>
      <w:marLeft w:val="0"/>
      <w:marRight w:val="0"/>
      <w:marTop w:val="0"/>
      <w:marBottom w:val="0"/>
      <w:divBdr>
        <w:top w:val="none" w:sz="0" w:space="0" w:color="auto"/>
        <w:left w:val="none" w:sz="0" w:space="0" w:color="auto"/>
        <w:bottom w:val="none" w:sz="0" w:space="0" w:color="auto"/>
        <w:right w:val="none" w:sz="0" w:space="0" w:color="auto"/>
      </w:divBdr>
    </w:div>
    <w:div w:id="1746804861">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75587226">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76189920">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891502053">
      <w:bodyDiv w:val="1"/>
      <w:marLeft w:val="0"/>
      <w:marRight w:val="0"/>
      <w:marTop w:val="0"/>
      <w:marBottom w:val="0"/>
      <w:divBdr>
        <w:top w:val="none" w:sz="0" w:space="0" w:color="auto"/>
        <w:left w:val="none" w:sz="0" w:space="0" w:color="auto"/>
        <w:bottom w:val="none" w:sz="0" w:space="0" w:color="auto"/>
        <w:right w:val="none" w:sz="0" w:space="0" w:color="auto"/>
      </w:divBdr>
      <w:divsChild>
        <w:div w:id="390689074">
          <w:marLeft w:val="446"/>
          <w:marRight w:val="0"/>
          <w:marTop w:val="120"/>
          <w:marBottom w:val="0"/>
          <w:divBdr>
            <w:top w:val="none" w:sz="0" w:space="0" w:color="auto"/>
            <w:left w:val="none" w:sz="0" w:space="0" w:color="auto"/>
            <w:bottom w:val="none" w:sz="0" w:space="0" w:color="auto"/>
            <w:right w:val="none" w:sz="0" w:space="0" w:color="auto"/>
          </w:divBdr>
        </w:div>
        <w:div w:id="853805868">
          <w:marLeft w:val="446"/>
          <w:marRight w:val="0"/>
          <w:marTop w:val="120"/>
          <w:marBottom w:val="0"/>
          <w:divBdr>
            <w:top w:val="none" w:sz="0" w:space="0" w:color="auto"/>
            <w:left w:val="none" w:sz="0" w:space="0" w:color="auto"/>
            <w:bottom w:val="none" w:sz="0" w:space="0" w:color="auto"/>
            <w:right w:val="none" w:sz="0" w:space="0" w:color="auto"/>
          </w:divBdr>
        </w:div>
        <w:div w:id="954098217">
          <w:marLeft w:val="446"/>
          <w:marRight w:val="0"/>
          <w:marTop w:val="120"/>
          <w:marBottom w:val="0"/>
          <w:divBdr>
            <w:top w:val="none" w:sz="0" w:space="0" w:color="auto"/>
            <w:left w:val="none" w:sz="0" w:space="0" w:color="auto"/>
            <w:bottom w:val="none" w:sz="0" w:space="0" w:color="auto"/>
            <w:right w:val="none" w:sz="0" w:space="0" w:color="auto"/>
          </w:divBdr>
        </w:div>
      </w:divsChild>
    </w:div>
    <w:div w:id="1898780812">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0890317">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36151079">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061975729">
      <w:bodyDiv w:val="1"/>
      <w:marLeft w:val="0"/>
      <w:marRight w:val="0"/>
      <w:marTop w:val="0"/>
      <w:marBottom w:val="0"/>
      <w:divBdr>
        <w:top w:val="none" w:sz="0" w:space="0" w:color="auto"/>
        <w:left w:val="none" w:sz="0" w:space="0" w:color="auto"/>
        <w:bottom w:val="none" w:sz="0" w:space="0" w:color="auto"/>
        <w:right w:val="none" w:sz="0" w:space="0" w:color="auto"/>
      </w:divBdr>
    </w:div>
    <w:div w:id="2077898964">
      <w:bodyDiv w:val="1"/>
      <w:marLeft w:val="0"/>
      <w:marRight w:val="0"/>
      <w:marTop w:val="0"/>
      <w:marBottom w:val="0"/>
      <w:divBdr>
        <w:top w:val="none" w:sz="0" w:space="0" w:color="auto"/>
        <w:left w:val="none" w:sz="0" w:space="0" w:color="auto"/>
        <w:bottom w:val="none" w:sz="0" w:space="0" w:color="auto"/>
        <w:right w:val="none" w:sz="0" w:space="0" w:color="auto"/>
      </w:divBdr>
    </w:div>
    <w:div w:id="208818238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image" Target="media/image26.emf"/><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image" Target="media/image20.emf"/><Relationship Id="rId38"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9EB282-9DB7-4FAD-8E7E-F218C3CF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99</Pages>
  <Words>35687</Words>
  <Characters>196282</Characters>
  <Application>Microsoft Office Word</Application>
  <DocSecurity>0</DocSecurity>
  <Lines>1635</Lines>
  <Paragraphs>463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231506</CharactersWithSpaces>
  <SharedDoc>false</SharedDoc>
  <HLinks>
    <vt:vector size="180" baseType="variant">
      <vt:variant>
        <vt:i4>1245235</vt:i4>
      </vt:variant>
      <vt:variant>
        <vt:i4>176</vt:i4>
      </vt:variant>
      <vt:variant>
        <vt:i4>0</vt:i4>
      </vt:variant>
      <vt:variant>
        <vt:i4>5</vt:i4>
      </vt:variant>
      <vt:variant>
        <vt:lpwstr/>
      </vt:variant>
      <vt:variant>
        <vt:lpwstr>_Toc129697278</vt:lpwstr>
      </vt:variant>
      <vt:variant>
        <vt:i4>1245235</vt:i4>
      </vt:variant>
      <vt:variant>
        <vt:i4>170</vt:i4>
      </vt:variant>
      <vt:variant>
        <vt:i4>0</vt:i4>
      </vt:variant>
      <vt:variant>
        <vt:i4>5</vt:i4>
      </vt:variant>
      <vt:variant>
        <vt:lpwstr/>
      </vt:variant>
      <vt:variant>
        <vt:lpwstr>_Toc129697277</vt:lpwstr>
      </vt:variant>
      <vt:variant>
        <vt:i4>1245235</vt:i4>
      </vt:variant>
      <vt:variant>
        <vt:i4>164</vt:i4>
      </vt:variant>
      <vt:variant>
        <vt:i4>0</vt:i4>
      </vt:variant>
      <vt:variant>
        <vt:i4>5</vt:i4>
      </vt:variant>
      <vt:variant>
        <vt:lpwstr/>
      </vt:variant>
      <vt:variant>
        <vt:lpwstr>_Toc129697276</vt:lpwstr>
      </vt:variant>
      <vt:variant>
        <vt:i4>1245235</vt:i4>
      </vt:variant>
      <vt:variant>
        <vt:i4>158</vt:i4>
      </vt:variant>
      <vt:variant>
        <vt:i4>0</vt:i4>
      </vt:variant>
      <vt:variant>
        <vt:i4>5</vt:i4>
      </vt:variant>
      <vt:variant>
        <vt:lpwstr/>
      </vt:variant>
      <vt:variant>
        <vt:lpwstr>_Toc129697275</vt:lpwstr>
      </vt:variant>
      <vt:variant>
        <vt:i4>1245235</vt:i4>
      </vt:variant>
      <vt:variant>
        <vt:i4>152</vt:i4>
      </vt:variant>
      <vt:variant>
        <vt:i4>0</vt:i4>
      </vt:variant>
      <vt:variant>
        <vt:i4>5</vt:i4>
      </vt:variant>
      <vt:variant>
        <vt:lpwstr/>
      </vt:variant>
      <vt:variant>
        <vt:lpwstr>_Toc129697274</vt:lpwstr>
      </vt:variant>
      <vt:variant>
        <vt:i4>1245235</vt:i4>
      </vt:variant>
      <vt:variant>
        <vt:i4>146</vt:i4>
      </vt:variant>
      <vt:variant>
        <vt:i4>0</vt:i4>
      </vt:variant>
      <vt:variant>
        <vt:i4>5</vt:i4>
      </vt:variant>
      <vt:variant>
        <vt:lpwstr/>
      </vt:variant>
      <vt:variant>
        <vt:lpwstr>_Toc129697273</vt:lpwstr>
      </vt:variant>
      <vt:variant>
        <vt:i4>1245235</vt:i4>
      </vt:variant>
      <vt:variant>
        <vt:i4>140</vt:i4>
      </vt:variant>
      <vt:variant>
        <vt:i4>0</vt:i4>
      </vt:variant>
      <vt:variant>
        <vt:i4>5</vt:i4>
      </vt:variant>
      <vt:variant>
        <vt:lpwstr/>
      </vt:variant>
      <vt:variant>
        <vt:lpwstr>_Toc129697272</vt:lpwstr>
      </vt:variant>
      <vt:variant>
        <vt:i4>1245235</vt:i4>
      </vt:variant>
      <vt:variant>
        <vt:i4>134</vt:i4>
      </vt:variant>
      <vt:variant>
        <vt:i4>0</vt:i4>
      </vt:variant>
      <vt:variant>
        <vt:i4>5</vt:i4>
      </vt:variant>
      <vt:variant>
        <vt:lpwstr/>
      </vt:variant>
      <vt:variant>
        <vt:lpwstr>_Toc129697271</vt:lpwstr>
      </vt:variant>
      <vt:variant>
        <vt:i4>1245235</vt:i4>
      </vt:variant>
      <vt:variant>
        <vt:i4>128</vt:i4>
      </vt:variant>
      <vt:variant>
        <vt:i4>0</vt:i4>
      </vt:variant>
      <vt:variant>
        <vt:i4>5</vt:i4>
      </vt:variant>
      <vt:variant>
        <vt:lpwstr/>
      </vt:variant>
      <vt:variant>
        <vt:lpwstr>_Toc129697270</vt:lpwstr>
      </vt:variant>
      <vt:variant>
        <vt:i4>1179699</vt:i4>
      </vt:variant>
      <vt:variant>
        <vt:i4>122</vt:i4>
      </vt:variant>
      <vt:variant>
        <vt:i4>0</vt:i4>
      </vt:variant>
      <vt:variant>
        <vt:i4>5</vt:i4>
      </vt:variant>
      <vt:variant>
        <vt:lpwstr/>
      </vt:variant>
      <vt:variant>
        <vt:lpwstr>_Toc129697269</vt:lpwstr>
      </vt:variant>
      <vt:variant>
        <vt:i4>1179699</vt:i4>
      </vt:variant>
      <vt:variant>
        <vt:i4>116</vt:i4>
      </vt:variant>
      <vt:variant>
        <vt:i4>0</vt:i4>
      </vt:variant>
      <vt:variant>
        <vt:i4>5</vt:i4>
      </vt:variant>
      <vt:variant>
        <vt:lpwstr/>
      </vt:variant>
      <vt:variant>
        <vt:lpwstr>_Toc129697268</vt:lpwstr>
      </vt:variant>
      <vt:variant>
        <vt:i4>1179699</vt:i4>
      </vt:variant>
      <vt:variant>
        <vt:i4>110</vt:i4>
      </vt:variant>
      <vt:variant>
        <vt:i4>0</vt:i4>
      </vt:variant>
      <vt:variant>
        <vt:i4>5</vt:i4>
      </vt:variant>
      <vt:variant>
        <vt:lpwstr/>
      </vt:variant>
      <vt:variant>
        <vt:lpwstr>_Toc129697267</vt:lpwstr>
      </vt:variant>
      <vt:variant>
        <vt:i4>1179699</vt:i4>
      </vt:variant>
      <vt:variant>
        <vt:i4>104</vt:i4>
      </vt:variant>
      <vt:variant>
        <vt:i4>0</vt:i4>
      </vt:variant>
      <vt:variant>
        <vt:i4>5</vt:i4>
      </vt:variant>
      <vt:variant>
        <vt:lpwstr/>
      </vt:variant>
      <vt:variant>
        <vt:lpwstr>_Toc129697266</vt:lpwstr>
      </vt:variant>
      <vt:variant>
        <vt:i4>1179699</vt:i4>
      </vt:variant>
      <vt:variant>
        <vt:i4>98</vt:i4>
      </vt:variant>
      <vt:variant>
        <vt:i4>0</vt:i4>
      </vt:variant>
      <vt:variant>
        <vt:i4>5</vt:i4>
      </vt:variant>
      <vt:variant>
        <vt:lpwstr/>
      </vt:variant>
      <vt:variant>
        <vt:lpwstr>_Toc129697265</vt:lpwstr>
      </vt:variant>
      <vt:variant>
        <vt:i4>1179699</vt:i4>
      </vt:variant>
      <vt:variant>
        <vt:i4>92</vt:i4>
      </vt:variant>
      <vt:variant>
        <vt:i4>0</vt:i4>
      </vt:variant>
      <vt:variant>
        <vt:i4>5</vt:i4>
      </vt:variant>
      <vt:variant>
        <vt:lpwstr/>
      </vt:variant>
      <vt:variant>
        <vt:lpwstr>_Toc129697264</vt:lpwstr>
      </vt:variant>
      <vt:variant>
        <vt:i4>1179699</vt:i4>
      </vt:variant>
      <vt:variant>
        <vt:i4>86</vt:i4>
      </vt:variant>
      <vt:variant>
        <vt:i4>0</vt:i4>
      </vt:variant>
      <vt:variant>
        <vt:i4>5</vt:i4>
      </vt:variant>
      <vt:variant>
        <vt:lpwstr/>
      </vt:variant>
      <vt:variant>
        <vt:lpwstr>_Toc129697263</vt:lpwstr>
      </vt:variant>
      <vt:variant>
        <vt:i4>1179699</vt:i4>
      </vt:variant>
      <vt:variant>
        <vt:i4>80</vt:i4>
      </vt:variant>
      <vt:variant>
        <vt:i4>0</vt:i4>
      </vt:variant>
      <vt:variant>
        <vt:i4>5</vt:i4>
      </vt:variant>
      <vt:variant>
        <vt:lpwstr/>
      </vt:variant>
      <vt:variant>
        <vt:lpwstr>_Toc129697262</vt:lpwstr>
      </vt:variant>
      <vt:variant>
        <vt:i4>1179699</vt:i4>
      </vt:variant>
      <vt:variant>
        <vt:i4>74</vt:i4>
      </vt:variant>
      <vt:variant>
        <vt:i4>0</vt:i4>
      </vt:variant>
      <vt:variant>
        <vt:i4>5</vt:i4>
      </vt:variant>
      <vt:variant>
        <vt:lpwstr/>
      </vt:variant>
      <vt:variant>
        <vt:lpwstr>_Toc129697261</vt:lpwstr>
      </vt:variant>
      <vt:variant>
        <vt:i4>1179699</vt:i4>
      </vt:variant>
      <vt:variant>
        <vt:i4>68</vt:i4>
      </vt:variant>
      <vt:variant>
        <vt:i4>0</vt:i4>
      </vt:variant>
      <vt:variant>
        <vt:i4>5</vt:i4>
      </vt:variant>
      <vt:variant>
        <vt:lpwstr/>
      </vt:variant>
      <vt:variant>
        <vt:lpwstr>_Toc129697260</vt:lpwstr>
      </vt:variant>
      <vt:variant>
        <vt:i4>1114163</vt:i4>
      </vt:variant>
      <vt:variant>
        <vt:i4>62</vt:i4>
      </vt:variant>
      <vt:variant>
        <vt:i4>0</vt:i4>
      </vt:variant>
      <vt:variant>
        <vt:i4>5</vt:i4>
      </vt:variant>
      <vt:variant>
        <vt:lpwstr/>
      </vt:variant>
      <vt:variant>
        <vt:lpwstr>_Toc129697259</vt:lpwstr>
      </vt:variant>
      <vt:variant>
        <vt:i4>1114163</vt:i4>
      </vt:variant>
      <vt:variant>
        <vt:i4>56</vt:i4>
      </vt:variant>
      <vt:variant>
        <vt:i4>0</vt:i4>
      </vt:variant>
      <vt:variant>
        <vt:i4>5</vt:i4>
      </vt:variant>
      <vt:variant>
        <vt:lpwstr/>
      </vt:variant>
      <vt:variant>
        <vt:lpwstr>_Toc129697258</vt:lpwstr>
      </vt:variant>
      <vt:variant>
        <vt:i4>1114163</vt:i4>
      </vt:variant>
      <vt:variant>
        <vt:i4>50</vt:i4>
      </vt:variant>
      <vt:variant>
        <vt:i4>0</vt:i4>
      </vt:variant>
      <vt:variant>
        <vt:i4>5</vt:i4>
      </vt:variant>
      <vt:variant>
        <vt:lpwstr/>
      </vt:variant>
      <vt:variant>
        <vt:lpwstr>_Toc129697257</vt:lpwstr>
      </vt:variant>
      <vt:variant>
        <vt:i4>1114163</vt:i4>
      </vt:variant>
      <vt:variant>
        <vt:i4>44</vt:i4>
      </vt:variant>
      <vt:variant>
        <vt:i4>0</vt:i4>
      </vt:variant>
      <vt:variant>
        <vt:i4>5</vt:i4>
      </vt:variant>
      <vt:variant>
        <vt:lpwstr/>
      </vt:variant>
      <vt:variant>
        <vt:lpwstr>_Toc129697256</vt:lpwstr>
      </vt:variant>
      <vt:variant>
        <vt:i4>1114163</vt:i4>
      </vt:variant>
      <vt:variant>
        <vt:i4>38</vt:i4>
      </vt:variant>
      <vt:variant>
        <vt:i4>0</vt:i4>
      </vt:variant>
      <vt:variant>
        <vt:i4>5</vt:i4>
      </vt:variant>
      <vt:variant>
        <vt:lpwstr/>
      </vt:variant>
      <vt:variant>
        <vt:lpwstr>_Toc129697255</vt:lpwstr>
      </vt:variant>
      <vt:variant>
        <vt:i4>1114163</vt:i4>
      </vt:variant>
      <vt:variant>
        <vt:i4>32</vt:i4>
      </vt:variant>
      <vt:variant>
        <vt:i4>0</vt:i4>
      </vt:variant>
      <vt:variant>
        <vt:i4>5</vt:i4>
      </vt:variant>
      <vt:variant>
        <vt:lpwstr/>
      </vt:variant>
      <vt:variant>
        <vt:lpwstr>_Toc129697254</vt:lpwstr>
      </vt:variant>
      <vt:variant>
        <vt:i4>1114163</vt:i4>
      </vt:variant>
      <vt:variant>
        <vt:i4>26</vt:i4>
      </vt:variant>
      <vt:variant>
        <vt:i4>0</vt:i4>
      </vt:variant>
      <vt:variant>
        <vt:i4>5</vt:i4>
      </vt:variant>
      <vt:variant>
        <vt:lpwstr/>
      </vt:variant>
      <vt:variant>
        <vt:lpwstr>_Toc129697253</vt:lpwstr>
      </vt:variant>
      <vt:variant>
        <vt:i4>1114163</vt:i4>
      </vt:variant>
      <vt:variant>
        <vt:i4>20</vt:i4>
      </vt:variant>
      <vt:variant>
        <vt:i4>0</vt:i4>
      </vt:variant>
      <vt:variant>
        <vt:i4>5</vt:i4>
      </vt:variant>
      <vt:variant>
        <vt:lpwstr/>
      </vt:variant>
      <vt:variant>
        <vt:lpwstr>_Toc129697252</vt:lpwstr>
      </vt:variant>
      <vt:variant>
        <vt:i4>1114163</vt:i4>
      </vt:variant>
      <vt:variant>
        <vt:i4>14</vt:i4>
      </vt:variant>
      <vt:variant>
        <vt:i4>0</vt:i4>
      </vt:variant>
      <vt:variant>
        <vt:i4>5</vt:i4>
      </vt:variant>
      <vt:variant>
        <vt:lpwstr/>
      </vt:variant>
      <vt:variant>
        <vt:lpwstr>_Toc129697251</vt:lpwstr>
      </vt:variant>
      <vt:variant>
        <vt:i4>1114163</vt:i4>
      </vt:variant>
      <vt:variant>
        <vt:i4>8</vt:i4>
      </vt:variant>
      <vt:variant>
        <vt:i4>0</vt:i4>
      </vt:variant>
      <vt:variant>
        <vt:i4>5</vt:i4>
      </vt:variant>
      <vt:variant>
        <vt:lpwstr/>
      </vt:variant>
      <vt:variant>
        <vt:lpwstr>_Toc129697250</vt:lpwstr>
      </vt:variant>
      <vt:variant>
        <vt:i4>1048627</vt:i4>
      </vt:variant>
      <vt:variant>
        <vt:i4>2</vt:i4>
      </vt:variant>
      <vt:variant>
        <vt:i4>0</vt:i4>
      </vt:variant>
      <vt:variant>
        <vt:i4>5</vt:i4>
      </vt:variant>
      <vt:variant>
        <vt:lpwstr/>
      </vt:variant>
      <vt:variant>
        <vt:lpwstr>_Toc129697249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CUELLAR RIO MANUEL</cp:lastModifiedBy>
  <cp:revision>7</cp:revision>
  <cp:lastPrinted>2023-02-28T20:50:00Z</cp:lastPrinted>
  <dcterms:created xsi:type="dcterms:W3CDTF">2023-03-31T19:31:00Z</dcterms:created>
  <dcterms:modified xsi:type="dcterms:W3CDTF">2023-04-18T17:10:00Z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a664599db613c731f97a50443e8da1587babd54a9db072ad8e8fde3e6656ecf8</vt:lpwstr>
  </property>
</Properties>
</file>